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svg" ContentType="image/svg+xml"/>
  <Default Extension="tmp" ContentType="image/png"/>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28.xml" ContentType="application/vnd.openxmlformats-officedocument.drawingml.chart+xml"/>
  <Override PartName="/word/charts/style28.xml" ContentType="application/vnd.ms-office.chartstyle+xml"/>
  <Override PartName="/word/charts/colors28.xml" ContentType="application/vnd.ms-office.chartcolorstyle+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charts/chart29.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30.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31.xml" ContentType="application/vnd.openxmlformats-officedocument.drawingml.chart+xml"/>
  <Override PartName="/word/charts/style31.xml" ContentType="application/vnd.ms-office.chartstyle+xml"/>
  <Override PartName="/word/charts/colors31.xml" ContentType="application/vnd.ms-office.chartcolorstyle+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charts/chart32.xml" ContentType="application/vnd.openxmlformats-officedocument.drawingml.chart+xml"/>
  <Override PartName="/word/charts/style32.xml" ContentType="application/vnd.ms-office.chartstyle+xml"/>
  <Override PartName="/word/charts/colors32.xml" ContentType="application/vnd.ms-office.chartcolorstyle+xml"/>
  <Override PartName="/word/charts/chart33.xml" ContentType="application/vnd.openxmlformats-officedocument.drawingml.chart+xml"/>
  <Override PartName="/word/charts/style33.xml" ContentType="application/vnd.ms-office.chartstyle+xml"/>
  <Override PartName="/word/charts/colors33.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D73AABF" w14:textId="77777777" w:rsidR="006E781B" w:rsidRPr="00091BAE" w:rsidRDefault="006E781B" w:rsidP="00733091">
      <w:pPr>
        <w:pStyle w:val="elementgraficznytabela"/>
        <w:spacing w:after="240"/>
      </w:pPr>
      <w:r w:rsidRPr="00091BAE">
        <w:drawing>
          <wp:anchor distT="0" distB="0" distL="114300" distR="114300" simplePos="0" relativeHeight="251658240" behindDoc="1" locked="0" layoutInCell="1" allowOverlap="1" wp14:anchorId="194D4DC0" wp14:editId="5443D871">
            <wp:simplePos x="0" y="0"/>
            <wp:positionH relativeFrom="page">
              <wp:align>right</wp:align>
            </wp:positionH>
            <wp:positionV relativeFrom="paragraph">
              <wp:posOffset>-900430</wp:posOffset>
            </wp:positionV>
            <wp:extent cx="7558767" cy="10691998"/>
            <wp:effectExtent l="0" t="0" r="4445" b="0"/>
            <wp:wrapNone/>
            <wp:docPr id="19" name="Obraz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Obraz 19">
                      <a:extLst>
                        <a:ext uri="{C183D7F6-B498-43B3-948B-1728B52AA6E4}">
                          <adec:decorative xmlns:adec="http://schemas.microsoft.com/office/drawing/2017/decorative" val="1"/>
                        </a:ext>
                      </a:extLst>
                    </pic:cNvPr>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558767" cy="10691998"/>
                    </a:xfrm>
                    <a:prstGeom prst="rect">
                      <a:avLst/>
                    </a:prstGeom>
                  </pic:spPr>
                </pic:pic>
              </a:graphicData>
            </a:graphic>
          </wp:anchor>
        </w:drawing>
      </w:r>
      <w:r w:rsidRPr="00091BAE">
        <w:br w:type="page"/>
      </w:r>
    </w:p>
    <w:p w14:paraId="796A2C89" w14:textId="77777777" w:rsidR="006E781B" w:rsidRPr="00091BAE" w:rsidRDefault="006E781B" w:rsidP="00733091">
      <w:pPr>
        <w:ind w:left="0"/>
        <w:rPr>
          <w:b/>
          <w:bCs/>
          <w:noProof/>
          <w:lang w:val="pl-PL"/>
        </w:rPr>
      </w:pPr>
      <w:r w:rsidRPr="00091BAE">
        <w:rPr>
          <w:b/>
          <w:bCs/>
          <w:noProof/>
          <w:lang w:val="pl-PL"/>
        </w:rPr>
        <w:lastRenderedPageBreak/>
        <w:drawing>
          <wp:anchor distT="0" distB="0" distL="114300" distR="114300" simplePos="0" relativeHeight="251658241" behindDoc="1" locked="0" layoutInCell="1" allowOverlap="1" wp14:anchorId="073BE37E" wp14:editId="4B27F4E2">
            <wp:simplePos x="0" y="0"/>
            <wp:positionH relativeFrom="page">
              <wp:align>right</wp:align>
            </wp:positionH>
            <wp:positionV relativeFrom="page">
              <wp:align>top</wp:align>
            </wp:positionV>
            <wp:extent cx="7558767" cy="10692000"/>
            <wp:effectExtent l="0" t="0" r="4445" b="0"/>
            <wp:wrapNone/>
            <wp:docPr id="20" name="Obraz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Obraz 20">
                      <a:extLst>
                        <a:ext uri="{C183D7F6-B498-43B3-948B-1728B52AA6E4}">
                          <adec:decorative xmlns:adec="http://schemas.microsoft.com/office/drawing/2017/decorative" val="1"/>
                        </a:ext>
                      </a:extLst>
                    </pic:cNvPr>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558767" cy="10692000"/>
                    </a:xfrm>
                    <a:prstGeom prst="rect">
                      <a:avLst/>
                    </a:prstGeom>
                  </pic:spPr>
                </pic:pic>
              </a:graphicData>
            </a:graphic>
            <wp14:sizeRelH relativeFrom="margin">
              <wp14:pctWidth>0</wp14:pctWidth>
            </wp14:sizeRelH>
            <wp14:sizeRelV relativeFrom="margin">
              <wp14:pctHeight>0</wp14:pctHeight>
            </wp14:sizeRelV>
          </wp:anchor>
        </w:drawing>
      </w:r>
      <w:r w:rsidRPr="00091BAE">
        <w:rPr>
          <w:b/>
          <w:bCs/>
          <w:noProof/>
          <w:lang w:val="pl-PL"/>
        </w:rPr>
        <w:br w:type="page"/>
      </w:r>
    </w:p>
    <w:p w14:paraId="793B8B16" w14:textId="77777777" w:rsidR="003A1916" w:rsidRPr="00091BAE" w:rsidRDefault="003A1916" w:rsidP="00733091">
      <w:pPr>
        <w:ind w:left="0"/>
        <w:rPr>
          <w:b/>
          <w:bCs/>
          <w:noProof/>
          <w:lang w:val="pl-PL"/>
        </w:rPr>
      </w:pPr>
      <w:r w:rsidRPr="00091BAE">
        <w:rPr>
          <w:b/>
          <w:bCs/>
          <w:noProof/>
          <w:lang w:val="pl-PL"/>
        </w:rPr>
        <w:lastRenderedPageBreak/>
        <w:drawing>
          <wp:anchor distT="0" distB="0" distL="114300" distR="114300" simplePos="0" relativeHeight="251658242" behindDoc="1" locked="0" layoutInCell="1" allowOverlap="1" wp14:anchorId="65AEB76A" wp14:editId="3A753360">
            <wp:simplePos x="0" y="0"/>
            <wp:positionH relativeFrom="page">
              <wp:align>right</wp:align>
            </wp:positionH>
            <wp:positionV relativeFrom="paragraph">
              <wp:posOffset>-900430</wp:posOffset>
            </wp:positionV>
            <wp:extent cx="7558767" cy="10691999"/>
            <wp:effectExtent l="0" t="0" r="4445" b="0"/>
            <wp:wrapNone/>
            <wp:docPr id="21" name="Obraz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Obraz 21">
                      <a:extLst>
                        <a:ext uri="{C183D7F6-B498-43B3-948B-1728B52AA6E4}">
                          <adec:decorative xmlns:adec="http://schemas.microsoft.com/office/drawing/2017/decorative" val="1"/>
                        </a:ext>
                      </a:extLst>
                    </pic:cNvPr>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558767" cy="10691999"/>
                    </a:xfrm>
                    <a:prstGeom prst="rect">
                      <a:avLst/>
                    </a:prstGeom>
                  </pic:spPr>
                </pic:pic>
              </a:graphicData>
            </a:graphic>
            <wp14:sizeRelH relativeFrom="margin">
              <wp14:pctWidth>0</wp14:pctWidth>
            </wp14:sizeRelH>
            <wp14:sizeRelV relativeFrom="margin">
              <wp14:pctHeight>0</wp14:pctHeight>
            </wp14:sizeRelV>
          </wp:anchor>
        </w:drawing>
      </w:r>
      <w:r w:rsidR="006E781B" w:rsidRPr="00091BAE">
        <w:rPr>
          <w:b/>
          <w:bCs/>
          <w:noProof/>
          <w:lang w:val="pl-PL"/>
        </w:rPr>
        <w:br w:type="page"/>
      </w:r>
    </w:p>
    <w:p w14:paraId="7D7BD08B" w14:textId="11D33C53" w:rsidR="00733091" w:rsidRPr="00091BAE" w:rsidRDefault="00FB2512" w:rsidP="00733091">
      <w:pPr>
        <w:pStyle w:val="metryczka"/>
        <w:rPr>
          <w:noProof/>
          <w:lang w:val="pl-PL"/>
        </w:rPr>
      </w:pPr>
      <w:r w:rsidRPr="00091BAE">
        <w:rPr>
          <w:noProof/>
          <w:color w:val="0563C1" w:themeColor="hyperlink"/>
          <w:u w:val="single"/>
          <w:lang w:val="pl-PL"/>
        </w:rPr>
        <w:lastRenderedPageBreak/>
        <w:drawing>
          <wp:anchor distT="0" distB="0" distL="114300" distR="114300" simplePos="0" relativeHeight="251658244" behindDoc="0" locked="0" layoutInCell="1" allowOverlap="1" wp14:anchorId="37E0CC81" wp14:editId="3BE06662">
            <wp:simplePos x="0" y="0"/>
            <wp:positionH relativeFrom="margin">
              <wp:posOffset>108861</wp:posOffset>
            </wp:positionH>
            <wp:positionV relativeFrom="paragraph">
              <wp:posOffset>13970</wp:posOffset>
            </wp:positionV>
            <wp:extent cx="1155939" cy="1155939"/>
            <wp:effectExtent l="0" t="0" r="0" b="0"/>
            <wp:wrapNone/>
            <wp:docPr id="5" name="Obraz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 5">
                      <a:extLst>
                        <a:ext uri="{C183D7F6-B498-43B3-948B-1728B52AA6E4}">
                          <adec:decorative xmlns:adec="http://schemas.microsoft.com/office/drawing/2017/decorative" val="1"/>
                        </a:ext>
                      </a:extLst>
                    </pic:cNvPr>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163469" cy="1163469"/>
                    </a:xfrm>
                    <a:prstGeom prst="rect">
                      <a:avLst/>
                    </a:prstGeom>
                  </pic:spPr>
                </pic:pic>
              </a:graphicData>
            </a:graphic>
            <wp14:sizeRelH relativeFrom="margin">
              <wp14:pctWidth>0</wp14:pctWidth>
            </wp14:sizeRelH>
            <wp14:sizeRelV relativeFrom="margin">
              <wp14:pctHeight>0</wp14:pctHeight>
            </wp14:sizeRelV>
          </wp:anchor>
        </w:drawing>
      </w:r>
      <w:r w:rsidR="009E4CBF" w:rsidRPr="00091BAE">
        <w:rPr>
          <w:noProof/>
          <w:lang w:val="pl-PL"/>
        </w:rPr>
        <w:br/>
      </w:r>
      <w:r w:rsidR="009E4CBF" w:rsidRPr="00091BAE">
        <w:rPr>
          <w:noProof/>
          <w:lang w:val="pl-PL"/>
        </w:rPr>
        <w:br/>
      </w:r>
      <w:r w:rsidR="009E4CBF" w:rsidRPr="00091BAE">
        <w:rPr>
          <w:noProof/>
          <w:lang w:val="pl-PL"/>
        </w:rPr>
        <w:br/>
      </w:r>
      <w:r w:rsidR="009E4CBF" w:rsidRPr="00091BAE">
        <w:rPr>
          <w:noProof/>
          <w:lang w:val="pl-PL"/>
        </w:rPr>
        <w:br/>
      </w:r>
      <w:r w:rsidR="009E4CBF" w:rsidRPr="00091BAE">
        <w:rPr>
          <w:noProof/>
          <w:lang w:val="pl-PL"/>
        </w:rPr>
        <w:br/>
      </w:r>
      <w:r w:rsidR="009E4CBF" w:rsidRPr="00091BAE">
        <w:rPr>
          <w:noProof/>
          <w:lang w:val="pl-PL"/>
        </w:rPr>
        <w:br/>
      </w:r>
      <w:r w:rsidR="009E4CBF" w:rsidRPr="00091BAE">
        <w:rPr>
          <w:noProof/>
          <w:lang w:val="pl-PL"/>
        </w:rPr>
        <w:br/>
      </w:r>
      <w:r w:rsidR="009E4CBF" w:rsidRPr="00091BAE">
        <w:rPr>
          <w:noProof/>
          <w:lang w:val="pl-PL"/>
        </w:rPr>
        <w:br/>
      </w:r>
      <w:r w:rsidR="00E65B11" w:rsidRPr="00091BAE">
        <w:rPr>
          <w:noProof/>
          <w:lang w:val="pl-PL"/>
        </w:rPr>
        <w:br/>
      </w:r>
      <w:r w:rsidR="00E65B11" w:rsidRPr="00091BAE">
        <w:rPr>
          <w:noProof/>
          <w:lang w:val="pl-PL"/>
        </w:rPr>
        <w:br/>
      </w:r>
      <w:r w:rsidR="00422850" w:rsidRPr="00091BAE">
        <w:rPr>
          <w:b/>
          <w:bCs/>
          <w:noProof/>
          <w:lang w:val="pl-PL"/>
        </w:rPr>
        <w:br/>
      </w:r>
      <w:r w:rsidR="00733091" w:rsidRPr="00091BAE">
        <w:rPr>
          <w:b/>
          <w:bCs/>
          <w:noProof/>
          <w:lang w:val="pl-PL"/>
        </w:rPr>
        <w:t>Raport diagnostyczny</w:t>
      </w:r>
      <w:r w:rsidR="00733091" w:rsidRPr="00091BAE">
        <w:rPr>
          <w:b/>
          <w:bCs/>
          <w:noProof/>
          <w:lang w:val="pl-PL"/>
        </w:rPr>
        <w:br/>
      </w:r>
      <w:r w:rsidR="00733091" w:rsidRPr="00091BAE">
        <w:rPr>
          <w:noProof/>
          <w:lang w:val="pl-PL"/>
        </w:rPr>
        <w:t xml:space="preserve">Portret </w:t>
      </w:r>
      <w:r w:rsidR="00C1051A">
        <w:rPr>
          <w:noProof/>
          <w:lang w:val="pl-PL"/>
        </w:rPr>
        <w:t>P</w:t>
      </w:r>
      <w:r w:rsidR="00733091" w:rsidRPr="00091BAE">
        <w:rPr>
          <w:noProof/>
          <w:lang w:val="pl-PL"/>
        </w:rPr>
        <w:t xml:space="preserve">artnerstwa </w:t>
      </w:r>
      <w:r w:rsidR="00733091">
        <w:rPr>
          <w:noProof/>
          <w:lang w:val="pl-PL"/>
        </w:rPr>
        <w:t>Obszar Funkcjonalny Południowe Mazury</w:t>
      </w:r>
      <w:r w:rsidR="00733091" w:rsidRPr="00091BAE">
        <w:rPr>
          <w:noProof/>
          <w:lang w:val="pl-PL"/>
        </w:rPr>
        <w:br/>
      </w:r>
      <w:r w:rsidR="00733091" w:rsidRPr="00091BAE">
        <w:rPr>
          <w:noProof/>
          <w:lang w:val="pl-PL"/>
        </w:rPr>
        <w:br/>
      </w:r>
      <w:r w:rsidR="00733091" w:rsidRPr="00091BAE">
        <w:rPr>
          <w:b/>
          <w:bCs/>
          <w:noProof/>
          <w:lang w:val="pl-PL"/>
        </w:rPr>
        <w:t>Opracowanie</w:t>
      </w:r>
      <w:r w:rsidR="00733091" w:rsidRPr="00091BAE">
        <w:rPr>
          <w:noProof/>
          <w:lang w:val="pl-PL"/>
        </w:rPr>
        <w:br/>
        <w:t>Związek Miast Polskich</w:t>
      </w:r>
      <w:r w:rsidR="00733091" w:rsidRPr="00091BAE">
        <w:rPr>
          <w:noProof/>
          <w:lang w:val="pl-PL"/>
        </w:rPr>
        <w:br/>
      </w:r>
      <w:r w:rsidR="00733091" w:rsidRPr="00091BAE">
        <w:rPr>
          <w:noProof/>
          <w:lang w:val="pl-PL"/>
        </w:rPr>
        <w:br/>
      </w:r>
      <w:r w:rsidR="00733091" w:rsidRPr="00091BAE">
        <w:rPr>
          <w:b/>
          <w:bCs/>
          <w:noProof/>
          <w:lang w:val="pl-PL"/>
        </w:rPr>
        <w:t>Zespół autorski</w:t>
      </w:r>
      <w:r w:rsidR="00733091" w:rsidRPr="00091BAE">
        <w:rPr>
          <w:noProof/>
          <w:lang w:val="pl-PL"/>
        </w:rPr>
        <w:br/>
      </w:r>
      <w:r w:rsidR="00733091">
        <w:rPr>
          <w:noProof/>
          <w:lang w:val="pl-PL"/>
        </w:rPr>
        <w:t>Joanna Ćwiklińska-Ziomek</w:t>
      </w:r>
      <w:r w:rsidR="00733091">
        <w:rPr>
          <w:noProof/>
          <w:lang w:val="pl-PL"/>
        </w:rPr>
        <w:br/>
        <w:t xml:space="preserve">Konsultacje: </w:t>
      </w:r>
      <w:r w:rsidR="009F69CA">
        <w:rPr>
          <w:rFonts w:cstheme="minorHAnsi"/>
          <w:lang w:val="pl-PL"/>
        </w:rPr>
        <w:t xml:space="preserve">Joanna </w:t>
      </w:r>
      <w:r w:rsidR="009F69CA" w:rsidRPr="00E2360E">
        <w:rPr>
          <w:rFonts w:cstheme="minorHAnsi"/>
          <w:lang w:val="pl-PL"/>
        </w:rPr>
        <w:t xml:space="preserve">Agata </w:t>
      </w:r>
      <w:r w:rsidR="009F69CA">
        <w:rPr>
          <w:rFonts w:cstheme="minorHAnsi"/>
          <w:lang w:val="pl-PL"/>
        </w:rPr>
        <w:t>Popielarz-</w:t>
      </w:r>
      <w:r w:rsidR="009F69CA" w:rsidRPr="00E2360E">
        <w:rPr>
          <w:rFonts w:cstheme="minorHAnsi"/>
          <w:lang w:val="pl-PL"/>
        </w:rPr>
        <w:t>Dzielińska</w:t>
      </w:r>
      <w:r w:rsidR="00733091">
        <w:rPr>
          <w:noProof/>
          <w:lang w:val="pl-PL"/>
        </w:rPr>
        <w:t>, Jolanta Tymińska, Aneta Ofman, Piotr Utrata</w:t>
      </w:r>
      <w:r w:rsidR="00E00D96">
        <w:rPr>
          <w:noProof/>
          <w:lang w:val="pl-PL"/>
        </w:rPr>
        <w:t xml:space="preserve">, Grzegorz Dziarski </w:t>
      </w:r>
      <w:r w:rsidR="00733091" w:rsidRPr="00091BAE">
        <w:rPr>
          <w:noProof/>
          <w:lang w:val="pl-PL"/>
        </w:rPr>
        <w:br/>
      </w:r>
      <w:r w:rsidR="00733091" w:rsidRPr="00091BAE">
        <w:rPr>
          <w:noProof/>
          <w:lang w:val="pl-PL"/>
        </w:rPr>
        <w:br/>
      </w:r>
      <w:r w:rsidR="00733091" w:rsidRPr="00091BAE">
        <w:rPr>
          <w:b/>
          <w:bCs/>
          <w:noProof/>
          <w:lang w:val="pl-PL"/>
        </w:rPr>
        <w:t>Kierownik projektu CWD</w:t>
      </w:r>
      <w:r w:rsidR="00733091" w:rsidRPr="00091BAE">
        <w:rPr>
          <w:noProof/>
          <w:lang w:val="pl-PL"/>
        </w:rPr>
        <w:br/>
        <w:t>Jarosław Komża</w:t>
      </w:r>
      <w:r w:rsidR="00733091" w:rsidRPr="00091BAE">
        <w:rPr>
          <w:noProof/>
          <w:lang w:val="pl-PL"/>
        </w:rPr>
        <w:br/>
      </w:r>
      <w:r w:rsidR="00733091" w:rsidRPr="00091BAE">
        <w:rPr>
          <w:noProof/>
          <w:lang w:val="pl-PL"/>
        </w:rPr>
        <w:br/>
        <w:t xml:space="preserve">Projekt „Pilotaż Centrum Wsparcia Doradczego” poprzez bezpośrednie doradztwo ZMP w strategicznym planowaniu rozwoju 38 partnerstw samorządowych, ma na celu popularyzowanie idei partnerstwa międzysamorządowego, wzmocnienie zdolności gmin i powiatów do podejmowania przemyślanej i celowej współpracy oraz planowania kompleksowych przedsięwzięć aktywizujących potencjał obszaru partnerstwa i budujących jego rozwój. </w:t>
      </w:r>
    </w:p>
    <w:p w14:paraId="11FC6BF8" w14:textId="77777777" w:rsidR="00733091" w:rsidRPr="00091BAE" w:rsidRDefault="00733091" w:rsidP="00733091">
      <w:pPr>
        <w:pStyle w:val="metryczka"/>
        <w:jc w:val="both"/>
        <w:rPr>
          <w:noProof/>
          <w:lang w:val="pl-PL"/>
        </w:rPr>
      </w:pPr>
      <w:r w:rsidRPr="00091BAE">
        <w:rPr>
          <w:noProof/>
          <w:lang w:val="pl-PL"/>
        </w:rPr>
        <w:t xml:space="preserve">Dzięki współpracy Związku Miast Polskich, samorządów lokalnych i regionalnych oraz Ministerstwa Funduszy i Polityki Regionalnej, dla ponad 370 partnerskich gmin i powiatów z obszarów borykających się z problemami rozwojowymi przygotowywane są diagnozy sytuacji społeczno-gospodarczo-przestrzennej, a następnie strategie terytorialne oraz pakiety przedsięwzięć podnoszące jakość życia mieszkańców.  </w:t>
      </w:r>
    </w:p>
    <w:p w14:paraId="3B8DCE74" w14:textId="1BC6CC28" w:rsidR="00962D2F" w:rsidRPr="00091BAE" w:rsidRDefault="00733091" w:rsidP="00733091">
      <w:pPr>
        <w:pStyle w:val="metryczka"/>
        <w:spacing w:after="240"/>
        <w:rPr>
          <w:noProof/>
          <w:lang w:val="pl-PL"/>
        </w:rPr>
      </w:pPr>
      <w:r w:rsidRPr="00091BAE">
        <w:rPr>
          <w:noProof/>
          <w:lang w:val="pl-PL"/>
        </w:rPr>
        <w:t>Projekt „Pilotaż Centrum Wsparcia Doradczego” realizowany jest w okresie od września 2020 do marca 2022 roku w ramach Programu Operacyjnego Pomoc Techniczna 2014-2020.</w:t>
      </w:r>
      <w:r w:rsidRPr="00091BAE">
        <w:rPr>
          <w:noProof/>
          <w:lang w:val="pl-PL"/>
        </w:rPr>
        <w:br/>
      </w:r>
      <w:r w:rsidRPr="00091BAE">
        <w:rPr>
          <w:noProof/>
          <w:lang w:val="pl-PL"/>
        </w:rPr>
        <w:br/>
        <w:t>2021 © Związek Miast Polskich</w:t>
      </w:r>
      <w:r w:rsidR="00962D2F" w:rsidRPr="00091BAE">
        <w:rPr>
          <w:noProof/>
          <w:lang w:val="pl-PL"/>
        </w:rPr>
        <w:br w:type="page"/>
      </w:r>
    </w:p>
    <w:p w14:paraId="47D45083" w14:textId="77777777" w:rsidR="00733091" w:rsidRDefault="00733091" w:rsidP="00733091">
      <w:pPr>
        <w:pStyle w:val="metryczka"/>
        <w:jc w:val="both"/>
        <w:rPr>
          <w:rStyle w:val="Wyrnieniedelikatne"/>
          <w:noProof/>
          <w:lang w:val="pl-PL"/>
        </w:rPr>
      </w:pPr>
      <w:r w:rsidRPr="00091BAE">
        <w:rPr>
          <w:rStyle w:val="Wyrnieniedelikatne"/>
          <w:noProof/>
          <w:lang w:val="pl-PL"/>
        </w:rPr>
        <w:lastRenderedPageBreak/>
        <w:t>Skład Partnerstwa</w:t>
      </w:r>
    </w:p>
    <w:p w14:paraId="3721928C" w14:textId="77777777" w:rsidR="00733091" w:rsidRPr="0033548A" w:rsidRDefault="00733091" w:rsidP="00733091">
      <w:pPr>
        <w:spacing w:after="120"/>
        <w:ind w:left="0"/>
        <w:contextualSpacing/>
        <w:jc w:val="both"/>
        <w:rPr>
          <w:rFonts w:cstheme="minorHAnsi"/>
          <w:lang w:val="pl-PL"/>
        </w:rPr>
      </w:pPr>
      <w:r w:rsidRPr="0033548A">
        <w:rPr>
          <w:rFonts w:cstheme="minorHAnsi"/>
          <w:lang w:val="pl-PL"/>
        </w:rPr>
        <w:t>Miasto Szczytno, Gmina Pasym, Gmina Wielbark, Gmina Szczytno, Gmina Dźwierzuty, Gmina Jedwabno, Gmina Rozogi, Gmina Świętajno, Gmina Rybno, Gmina Płośnica, Miasto Lidzbark, Gmina Działdowo, Miasto Działdowo, Gmina Iłowo-Osada, Gmina Kozłowo, Gmina Nidzica, Gmina Janowo, Gmina Janowiec Kościelny, Gmina Ruciane-Nida, Gmina Biała Piska, Gmina Orzysz, Gmina Pisz, Powiat Szczycieński, Powiat Działdowski Powiat Nidzicki, Powiat Piski</w:t>
      </w:r>
    </w:p>
    <w:p w14:paraId="1DFFE059" w14:textId="77777777" w:rsidR="00733091" w:rsidRPr="00091BAE" w:rsidRDefault="00733091" w:rsidP="00733091">
      <w:pPr>
        <w:pStyle w:val="metryczka"/>
        <w:jc w:val="both"/>
        <w:rPr>
          <w:rStyle w:val="Wyrnieniedelikatne"/>
          <w:noProof/>
          <w:lang w:val="pl-PL"/>
        </w:rPr>
      </w:pPr>
      <w:r w:rsidRPr="00091BAE">
        <w:rPr>
          <w:rStyle w:val="Wyrnieniedelikatne"/>
          <w:noProof/>
          <w:lang w:val="pl-PL"/>
        </w:rPr>
        <w:br/>
        <w:t>Skład Rady Partnerstwa</w:t>
      </w:r>
    </w:p>
    <w:p w14:paraId="7C4E87DA" w14:textId="77777777" w:rsidR="00733091" w:rsidRPr="002407D1" w:rsidRDefault="00733091" w:rsidP="00733091">
      <w:pPr>
        <w:spacing w:after="120"/>
        <w:ind w:left="0"/>
        <w:contextualSpacing/>
        <w:jc w:val="both"/>
        <w:rPr>
          <w:rFonts w:cstheme="minorHAnsi"/>
          <w:sz w:val="22"/>
          <w:lang w:val="pl-PL"/>
        </w:rPr>
      </w:pPr>
      <w:r w:rsidRPr="002407D1">
        <w:rPr>
          <w:rFonts w:cstheme="minorHAnsi"/>
          <w:lang w:val="pl-PL"/>
        </w:rPr>
        <w:t xml:space="preserve">Jarosław Matłach – Starosta – Powiat Szczycieński </w:t>
      </w:r>
    </w:p>
    <w:p w14:paraId="6BBEA802" w14:textId="0197EE35" w:rsidR="00733091" w:rsidRPr="002407D1" w:rsidRDefault="00733091" w:rsidP="00733091">
      <w:pPr>
        <w:spacing w:after="120"/>
        <w:ind w:left="0"/>
        <w:contextualSpacing/>
        <w:jc w:val="both"/>
        <w:rPr>
          <w:rFonts w:cstheme="minorHAnsi"/>
          <w:lang w:val="pl-PL"/>
        </w:rPr>
      </w:pPr>
      <w:r w:rsidRPr="002407D1">
        <w:rPr>
          <w:rFonts w:cstheme="minorHAnsi"/>
          <w:lang w:val="pl-PL"/>
        </w:rPr>
        <w:t xml:space="preserve">Krzysztof Mańkowski – Burmistrz – </w:t>
      </w:r>
      <w:r w:rsidR="00C1051A">
        <w:rPr>
          <w:rFonts w:cstheme="minorHAnsi"/>
          <w:lang w:val="pl-PL"/>
        </w:rPr>
        <w:t>G</w:t>
      </w:r>
      <w:r w:rsidRPr="002407D1">
        <w:rPr>
          <w:rFonts w:cstheme="minorHAnsi"/>
          <w:lang w:val="pl-PL"/>
        </w:rPr>
        <w:t>mina miejska Szczytno</w:t>
      </w:r>
    </w:p>
    <w:p w14:paraId="0C4051A3" w14:textId="77777777" w:rsidR="00733091" w:rsidRPr="002407D1" w:rsidRDefault="00733091" w:rsidP="00733091">
      <w:pPr>
        <w:spacing w:after="120"/>
        <w:ind w:left="0"/>
        <w:contextualSpacing/>
        <w:jc w:val="both"/>
        <w:rPr>
          <w:rFonts w:cstheme="minorHAnsi"/>
          <w:lang w:val="pl-PL"/>
        </w:rPr>
      </w:pPr>
      <w:r w:rsidRPr="002407D1">
        <w:rPr>
          <w:rFonts w:cstheme="minorHAnsi"/>
          <w:lang w:val="pl-PL"/>
        </w:rPr>
        <w:t>Cezary Łachmański – Burmistrz – Gmina Pasym</w:t>
      </w:r>
    </w:p>
    <w:p w14:paraId="1A8885E7" w14:textId="77777777" w:rsidR="00733091" w:rsidRPr="002407D1" w:rsidRDefault="00733091" w:rsidP="00733091">
      <w:pPr>
        <w:spacing w:after="120"/>
        <w:ind w:left="0"/>
        <w:contextualSpacing/>
        <w:jc w:val="both"/>
        <w:rPr>
          <w:rFonts w:cstheme="minorHAnsi"/>
          <w:lang w:val="pl-PL"/>
        </w:rPr>
      </w:pPr>
      <w:r w:rsidRPr="002407D1">
        <w:rPr>
          <w:rFonts w:cstheme="minorHAnsi"/>
          <w:lang w:val="pl-PL"/>
        </w:rPr>
        <w:t xml:space="preserve">Grzegorz Zapadka – Burmistrz – Gmina Wielbark </w:t>
      </w:r>
    </w:p>
    <w:p w14:paraId="02859E6D" w14:textId="77777777" w:rsidR="00733091" w:rsidRPr="002407D1" w:rsidRDefault="00733091" w:rsidP="00733091">
      <w:pPr>
        <w:spacing w:after="120"/>
        <w:ind w:left="0"/>
        <w:contextualSpacing/>
        <w:jc w:val="both"/>
        <w:rPr>
          <w:rFonts w:cstheme="minorHAnsi"/>
          <w:lang w:val="pl-PL"/>
        </w:rPr>
      </w:pPr>
      <w:r w:rsidRPr="002407D1">
        <w:rPr>
          <w:rFonts w:cstheme="minorHAnsi"/>
          <w:lang w:val="pl-PL"/>
        </w:rPr>
        <w:t xml:space="preserve">Sławomir Wojciechowski – Wójt – Gmina Szczytno </w:t>
      </w:r>
    </w:p>
    <w:p w14:paraId="5B1B7537" w14:textId="77777777" w:rsidR="00733091" w:rsidRPr="002407D1" w:rsidRDefault="00733091" w:rsidP="00733091">
      <w:pPr>
        <w:spacing w:after="120"/>
        <w:ind w:left="0"/>
        <w:contextualSpacing/>
        <w:jc w:val="both"/>
        <w:rPr>
          <w:rFonts w:cstheme="minorHAnsi"/>
          <w:lang w:val="pl-PL"/>
        </w:rPr>
      </w:pPr>
      <w:r w:rsidRPr="002407D1">
        <w:rPr>
          <w:rFonts w:cstheme="minorHAnsi"/>
          <w:lang w:val="pl-PL"/>
        </w:rPr>
        <w:t xml:space="preserve">Marianna Szydlik – Wójt - Gmina Dźwierzuty </w:t>
      </w:r>
    </w:p>
    <w:p w14:paraId="476CB2F9" w14:textId="77777777" w:rsidR="00733091" w:rsidRPr="002407D1" w:rsidRDefault="00733091" w:rsidP="00733091">
      <w:pPr>
        <w:spacing w:after="120"/>
        <w:ind w:left="0"/>
        <w:contextualSpacing/>
        <w:jc w:val="both"/>
        <w:rPr>
          <w:rFonts w:cstheme="minorHAnsi"/>
          <w:lang w:val="pl-PL"/>
        </w:rPr>
      </w:pPr>
      <w:r w:rsidRPr="002407D1">
        <w:rPr>
          <w:rFonts w:cstheme="minorHAnsi"/>
          <w:lang w:val="pl-PL"/>
        </w:rPr>
        <w:t>Elżbieta Katarzyna Koperska – Zastępca Wójta - Gmina Jedwabno</w:t>
      </w:r>
    </w:p>
    <w:p w14:paraId="301ACBD5" w14:textId="77777777" w:rsidR="00733091" w:rsidRPr="002407D1" w:rsidRDefault="00733091" w:rsidP="00733091">
      <w:pPr>
        <w:spacing w:after="120"/>
        <w:ind w:left="0"/>
        <w:contextualSpacing/>
        <w:jc w:val="both"/>
        <w:rPr>
          <w:rFonts w:cstheme="minorHAnsi"/>
          <w:lang w:val="pl-PL"/>
        </w:rPr>
      </w:pPr>
      <w:r w:rsidRPr="002407D1">
        <w:rPr>
          <w:rFonts w:cstheme="minorHAnsi"/>
          <w:lang w:val="pl-PL"/>
        </w:rPr>
        <w:t xml:space="preserve">Zbigniew Kudrzycki – Wójt – Gmina Rozogi </w:t>
      </w:r>
    </w:p>
    <w:p w14:paraId="0F0A67E6" w14:textId="77777777" w:rsidR="00733091" w:rsidRPr="002407D1" w:rsidRDefault="00733091" w:rsidP="00733091">
      <w:pPr>
        <w:spacing w:after="120"/>
        <w:ind w:left="0"/>
        <w:contextualSpacing/>
        <w:jc w:val="both"/>
        <w:rPr>
          <w:rFonts w:cstheme="minorHAnsi"/>
          <w:lang w:val="pl-PL"/>
        </w:rPr>
      </w:pPr>
      <w:r w:rsidRPr="002407D1">
        <w:rPr>
          <w:rFonts w:cstheme="minorHAnsi"/>
          <w:lang w:val="pl-PL"/>
        </w:rPr>
        <w:t>Alicja Kołakowska – Wójt – Gmina Świętajno</w:t>
      </w:r>
    </w:p>
    <w:p w14:paraId="1D409AE7" w14:textId="77777777" w:rsidR="00733091" w:rsidRPr="002407D1" w:rsidRDefault="00733091" w:rsidP="00733091">
      <w:pPr>
        <w:spacing w:after="120"/>
        <w:ind w:left="0"/>
        <w:contextualSpacing/>
        <w:jc w:val="both"/>
        <w:rPr>
          <w:rFonts w:cstheme="minorHAnsi"/>
          <w:lang w:val="pl-PL"/>
        </w:rPr>
      </w:pPr>
      <w:r w:rsidRPr="002407D1">
        <w:rPr>
          <w:rFonts w:cstheme="minorHAnsi"/>
          <w:lang w:val="pl-PL"/>
        </w:rPr>
        <w:t>Paweł Cieśliński – Starosta – Powiat Działdowski</w:t>
      </w:r>
    </w:p>
    <w:p w14:paraId="52835A2C" w14:textId="77777777" w:rsidR="00733091" w:rsidRPr="002407D1" w:rsidRDefault="00733091" w:rsidP="00733091">
      <w:pPr>
        <w:spacing w:after="120"/>
        <w:ind w:left="0"/>
        <w:contextualSpacing/>
        <w:jc w:val="both"/>
        <w:rPr>
          <w:rFonts w:cstheme="minorHAnsi"/>
          <w:lang w:val="pl-PL"/>
        </w:rPr>
      </w:pPr>
      <w:r w:rsidRPr="002407D1">
        <w:rPr>
          <w:rFonts w:cstheme="minorHAnsi"/>
          <w:lang w:val="pl-PL"/>
        </w:rPr>
        <w:t>Tomasz Węgrzynowski – Wójt – Gmina Rybno</w:t>
      </w:r>
    </w:p>
    <w:p w14:paraId="1427240D" w14:textId="77777777" w:rsidR="00733091" w:rsidRPr="002407D1" w:rsidRDefault="00733091" w:rsidP="00733091">
      <w:pPr>
        <w:spacing w:after="120"/>
        <w:ind w:left="0"/>
        <w:contextualSpacing/>
        <w:jc w:val="both"/>
        <w:rPr>
          <w:rFonts w:cstheme="minorHAnsi"/>
          <w:lang w:val="pl-PL"/>
        </w:rPr>
      </w:pPr>
      <w:r w:rsidRPr="002407D1">
        <w:rPr>
          <w:rFonts w:cstheme="minorHAnsi"/>
          <w:lang w:val="pl-PL"/>
        </w:rPr>
        <w:t>Krzysztof Groblewski – Wójt – Gmina Płośnica</w:t>
      </w:r>
    </w:p>
    <w:p w14:paraId="3C9EC6F0" w14:textId="77777777" w:rsidR="00733091" w:rsidRPr="002407D1" w:rsidRDefault="00733091" w:rsidP="00733091">
      <w:pPr>
        <w:spacing w:after="120"/>
        <w:ind w:left="0"/>
        <w:contextualSpacing/>
        <w:jc w:val="both"/>
        <w:rPr>
          <w:rFonts w:cstheme="minorHAnsi"/>
          <w:lang w:val="pl-PL"/>
        </w:rPr>
      </w:pPr>
      <w:r w:rsidRPr="002407D1">
        <w:rPr>
          <w:rFonts w:cstheme="minorHAnsi"/>
          <w:lang w:val="pl-PL"/>
        </w:rPr>
        <w:t>Maciej Sitarek – Burmistrz – Miasto Lidzbark</w:t>
      </w:r>
    </w:p>
    <w:p w14:paraId="3242B237" w14:textId="77777777" w:rsidR="00733091" w:rsidRPr="002407D1" w:rsidRDefault="00733091" w:rsidP="00733091">
      <w:pPr>
        <w:spacing w:after="120"/>
        <w:ind w:left="0"/>
        <w:contextualSpacing/>
        <w:jc w:val="both"/>
        <w:rPr>
          <w:rFonts w:cstheme="minorHAnsi"/>
          <w:lang w:val="pl-PL"/>
        </w:rPr>
      </w:pPr>
      <w:r w:rsidRPr="002407D1">
        <w:rPr>
          <w:rFonts w:cstheme="minorHAnsi"/>
          <w:lang w:val="pl-PL"/>
        </w:rPr>
        <w:t xml:space="preserve">Mirosław Zieliński – Wójt – Gmina Działdowo </w:t>
      </w:r>
    </w:p>
    <w:p w14:paraId="43BBB754" w14:textId="77777777" w:rsidR="00733091" w:rsidRPr="002407D1" w:rsidRDefault="00733091" w:rsidP="00733091">
      <w:pPr>
        <w:spacing w:after="120"/>
        <w:ind w:left="0"/>
        <w:contextualSpacing/>
        <w:jc w:val="both"/>
        <w:rPr>
          <w:rFonts w:cstheme="minorHAnsi"/>
          <w:lang w:val="pl-PL"/>
        </w:rPr>
      </w:pPr>
      <w:r w:rsidRPr="002407D1">
        <w:rPr>
          <w:rFonts w:cstheme="minorHAnsi"/>
          <w:lang w:val="pl-PL"/>
        </w:rPr>
        <w:t>Grzegorz Mrowiński – Burmistrz – Miasto Działdowo</w:t>
      </w:r>
    </w:p>
    <w:p w14:paraId="1374F912" w14:textId="77777777" w:rsidR="00733091" w:rsidRPr="002407D1" w:rsidRDefault="00733091" w:rsidP="00733091">
      <w:pPr>
        <w:spacing w:after="120"/>
        <w:ind w:left="0"/>
        <w:contextualSpacing/>
        <w:jc w:val="both"/>
        <w:rPr>
          <w:rFonts w:cstheme="minorHAnsi"/>
          <w:lang w:val="pl-PL"/>
        </w:rPr>
      </w:pPr>
      <w:r w:rsidRPr="002407D1">
        <w:rPr>
          <w:rFonts w:cstheme="minorHAnsi"/>
          <w:lang w:val="pl-PL"/>
        </w:rPr>
        <w:t>Sebastian Cichocki – Wójt - Gmina Iłowo-Osada</w:t>
      </w:r>
    </w:p>
    <w:p w14:paraId="0983DC11" w14:textId="77777777" w:rsidR="00733091" w:rsidRPr="002407D1" w:rsidRDefault="00733091" w:rsidP="00733091">
      <w:pPr>
        <w:spacing w:after="120"/>
        <w:ind w:left="0"/>
        <w:contextualSpacing/>
        <w:jc w:val="both"/>
        <w:rPr>
          <w:rFonts w:cstheme="minorHAnsi"/>
          <w:lang w:val="pl-PL"/>
        </w:rPr>
      </w:pPr>
      <w:r w:rsidRPr="002407D1">
        <w:rPr>
          <w:rFonts w:cstheme="minorHAnsi"/>
          <w:lang w:val="pl-PL"/>
        </w:rPr>
        <w:t xml:space="preserve">Marcin Paliński – Starosta – Powiat Nidzicki </w:t>
      </w:r>
    </w:p>
    <w:p w14:paraId="229E3851" w14:textId="77777777" w:rsidR="00733091" w:rsidRPr="002407D1" w:rsidRDefault="00733091" w:rsidP="00733091">
      <w:pPr>
        <w:spacing w:after="120"/>
        <w:ind w:left="0"/>
        <w:contextualSpacing/>
        <w:jc w:val="both"/>
        <w:rPr>
          <w:rFonts w:cstheme="minorHAnsi"/>
          <w:lang w:val="pl-PL"/>
        </w:rPr>
      </w:pPr>
      <w:r w:rsidRPr="002407D1">
        <w:rPr>
          <w:rFonts w:cstheme="minorHAnsi"/>
          <w:lang w:val="pl-PL"/>
        </w:rPr>
        <w:t>Marek Wolszczak – Wójt - Gmina Kozłowo</w:t>
      </w:r>
    </w:p>
    <w:p w14:paraId="2AE3417C" w14:textId="77777777" w:rsidR="00733091" w:rsidRPr="002407D1" w:rsidRDefault="00733091" w:rsidP="00733091">
      <w:pPr>
        <w:spacing w:after="120"/>
        <w:ind w:left="0"/>
        <w:contextualSpacing/>
        <w:jc w:val="both"/>
        <w:rPr>
          <w:rFonts w:cstheme="minorHAnsi"/>
          <w:lang w:val="pl-PL"/>
        </w:rPr>
      </w:pPr>
      <w:r w:rsidRPr="002407D1">
        <w:rPr>
          <w:rFonts w:cstheme="minorHAnsi"/>
          <w:lang w:val="pl-PL"/>
        </w:rPr>
        <w:t xml:space="preserve">Jacek Kosmala – Burmistrz – Gmina Nidzica </w:t>
      </w:r>
    </w:p>
    <w:p w14:paraId="6B540584" w14:textId="77777777" w:rsidR="00733091" w:rsidRPr="002407D1" w:rsidRDefault="00733091" w:rsidP="00733091">
      <w:pPr>
        <w:spacing w:after="120"/>
        <w:ind w:left="0"/>
        <w:contextualSpacing/>
        <w:jc w:val="both"/>
        <w:rPr>
          <w:rFonts w:cstheme="minorHAnsi"/>
          <w:lang w:val="pl-PL"/>
        </w:rPr>
      </w:pPr>
      <w:r w:rsidRPr="002407D1">
        <w:rPr>
          <w:rFonts w:cstheme="minorHAnsi"/>
          <w:lang w:val="pl-PL"/>
        </w:rPr>
        <w:t>Grzegorz Napiwodzki – Wójt - Gmina Janowo</w:t>
      </w:r>
    </w:p>
    <w:p w14:paraId="11648022" w14:textId="77777777" w:rsidR="00733091" w:rsidRPr="002407D1" w:rsidRDefault="00733091" w:rsidP="00733091">
      <w:pPr>
        <w:spacing w:after="120"/>
        <w:ind w:left="0"/>
        <w:contextualSpacing/>
        <w:jc w:val="both"/>
        <w:rPr>
          <w:rFonts w:cstheme="minorHAnsi"/>
          <w:lang w:val="pl-PL"/>
        </w:rPr>
      </w:pPr>
      <w:r w:rsidRPr="002407D1">
        <w:rPr>
          <w:rFonts w:cstheme="minorHAnsi"/>
          <w:lang w:val="pl-PL"/>
        </w:rPr>
        <w:t>Piotr Rakoczy – Wójt - Gmina Janowiec Kościelny</w:t>
      </w:r>
    </w:p>
    <w:p w14:paraId="57945079" w14:textId="77777777" w:rsidR="00733091" w:rsidRPr="002407D1" w:rsidRDefault="00733091" w:rsidP="00733091">
      <w:pPr>
        <w:spacing w:after="120"/>
        <w:ind w:left="0"/>
        <w:contextualSpacing/>
        <w:jc w:val="both"/>
        <w:rPr>
          <w:rFonts w:cstheme="minorHAnsi"/>
          <w:lang w:val="pl-PL"/>
        </w:rPr>
      </w:pPr>
      <w:r w:rsidRPr="002407D1">
        <w:rPr>
          <w:rFonts w:cstheme="minorHAnsi"/>
          <w:lang w:val="pl-PL"/>
        </w:rPr>
        <w:t>Andrzej Nowicki – Starosta - Powiat Piski</w:t>
      </w:r>
    </w:p>
    <w:p w14:paraId="6FE00DAB" w14:textId="77777777" w:rsidR="00733091" w:rsidRPr="002407D1" w:rsidRDefault="00733091" w:rsidP="00733091">
      <w:pPr>
        <w:spacing w:after="120"/>
        <w:ind w:left="0"/>
        <w:contextualSpacing/>
        <w:jc w:val="both"/>
        <w:rPr>
          <w:rFonts w:cstheme="minorHAnsi"/>
          <w:lang w:val="pl-PL"/>
        </w:rPr>
      </w:pPr>
      <w:r w:rsidRPr="002407D1">
        <w:rPr>
          <w:rFonts w:cstheme="minorHAnsi"/>
          <w:lang w:val="pl-PL"/>
        </w:rPr>
        <w:t>Ryszard Feliński – Burmistrz - Gmina Ruciane-Nida</w:t>
      </w:r>
    </w:p>
    <w:p w14:paraId="01793F8D" w14:textId="77777777" w:rsidR="00733091" w:rsidRPr="002407D1" w:rsidRDefault="00733091" w:rsidP="00733091">
      <w:pPr>
        <w:spacing w:after="120"/>
        <w:ind w:left="0"/>
        <w:contextualSpacing/>
        <w:jc w:val="both"/>
        <w:rPr>
          <w:rFonts w:cstheme="minorHAnsi"/>
          <w:lang w:val="pl-PL"/>
        </w:rPr>
      </w:pPr>
      <w:r w:rsidRPr="002407D1">
        <w:rPr>
          <w:rFonts w:cstheme="minorHAnsi"/>
          <w:lang w:val="pl-PL"/>
        </w:rPr>
        <w:t>Beata Sokołowska – Burmistrz - Miasto Biała Piska</w:t>
      </w:r>
    </w:p>
    <w:p w14:paraId="2387C364" w14:textId="77777777" w:rsidR="00733091" w:rsidRPr="002407D1" w:rsidRDefault="00733091" w:rsidP="00733091">
      <w:pPr>
        <w:spacing w:after="120"/>
        <w:ind w:left="0"/>
        <w:contextualSpacing/>
        <w:jc w:val="both"/>
        <w:rPr>
          <w:rFonts w:cstheme="minorHAnsi"/>
          <w:lang w:val="pl-PL"/>
        </w:rPr>
      </w:pPr>
      <w:r w:rsidRPr="002407D1">
        <w:rPr>
          <w:rFonts w:cstheme="minorHAnsi"/>
          <w:lang w:val="pl-PL"/>
        </w:rPr>
        <w:t>Zbigniew Włodkowski – Burmistrz- Gmina Orzysz</w:t>
      </w:r>
    </w:p>
    <w:p w14:paraId="2A5F8B87" w14:textId="77777777" w:rsidR="00733091" w:rsidRPr="0033548A" w:rsidRDefault="00733091" w:rsidP="00733091">
      <w:pPr>
        <w:spacing w:after="120"/>
        <w:ind w:left="0"/>
        <w:contextualSpacing/>
        <w:jc w:val="both"/>
        <w:rPr>
          <w:rFonts w:cstheme="minorHAnsi"/>
          <w:lang w:val="pl-PL"/>
        </w:rPr>
      </w:pPr>
      <w:r w:rsidRPr="002407D1">
        <w:rPr>
          <w:rFonts w:cstheme="minorHAnsi"/>
          <w:lang w:val="pl-PL"/>
        </w:rPr>
        <w:t>Andrzej Szymborski – Burmistrz – Gmina Pisz</w:t>
      </w:r>
      <w:r w:rsidRPr="0033548A">
        <w:rPr>
          <w:rFonts w:cstheme="minorHAnsi"/>
          <w:lang w:val="pl-PL"/>
        </w:rPr>
        <w:t xml:space="preserve"> </w:t>
      </w:r>
    </w:p>
    <w:p w14:paraId="2E7881DD" w14:textId="77777777" w:rsidR="00733091" w:rsidRDefault="00733091" w:rsidP="00733091">
      <w:pPr>
        <w:pStyle w:val="metryczka"/>
        <w:jc w:val="both"/>
        <w:rPr>
          <w:rStyle w:val="Wyrnieniedelikatne"/>
          <w:iCs w:val="0"/>
          <w:noProof/>
          <w:sz w:val="24"/>
          <w:lang w:val="pl-PL"/>
        </w:rPr>
      </w:pPr>
      <w:r w:rsidRPr="00091BAE">
        <w:rPr>
          <w:rStyle w:val="Wyrnieniedelikatne"/>
          <w:iCs w:val="0"/>
          <w:noProof/>
          <w:sz w:val="24"/>
          <w:lang w:val="pl-PL"/>
        </w:rPr>
        <w:br/>
      </w:r>
    </w:p>
    <w:p w14:paraId="601AC5E0" w14:textId="77777777" w:rsidR="00733091" w:rsidRDefault="00733091" w:rsidP="00733091">
      <w:pPr>
        <w:pStyle w:val="metryczka"/>
        <w:jc w:val="both"/>
        <w:rPr>
          <w:rStyle w:val="Wyrnieniedelikatne"/>
          <w:iCs w:val="0"/>
          <w:noProof/>
          <w:sz w:val="24"/>
          <w:lang w:val="pl-PL"/>
        </w:rPr>
      </w:pPr>
    </w:p>
    <w:p w14:paraId="53193813" w14:textId="68207BB2" w:rsidR="00E2360E" w:rsidRPr="00091BAE" w:rsidRDefault="00962D2F" w:rsidP="00E2360E">
      <w:pPr>
        <w:pStyle w:val="metryczka"/>
        <w:spacing w:after="240"/>
        <w:rPr>
          <w:rStyle w:val="Wyrnieniedelikatne"/>
          <w:iCs w:val="0"/>
          <w:noProof/>
          <w:szCs w:val="26"/>
          <w:lang w:val="pl-PL"/>
        </w:rPr>
      </w:pPr>
      <w:r w:rsidRPr="00091BAE">
        <w:rPr>
          <w:rStyle w:val="Wyrnieniedelikatne"/>
          <w:iCs w:val="0"/>
          <w:noProof/>
          <w:sz w:val="24"/>
          <w:lang w:val="pl-PL"/>
        </w:rPr>
        <w:lastRenderedPageBreak/>
        <w:br/>
      </w:r>
      <w:r w:rsidR="00E2360E" w:rsidRPr="00091BAE">
        <w:rPr>
          <w:rStyle w:val="Wyrnieniedelikatne"/>
          <w:iCs w:val="0"/>
          <w:noProof/>
          <w:szCs w:val="26"/>
          <w:lang w:val="pl-PL"/>
        </w:rPr>
        <w:t>Skład Grupy Roboczej</w:t>
      </w:r>
    </w:p>
    <w:p w14:paraId="5A4489CA" w14:textId="59622E2F" w:rsidR="00E2360E" w:rsidRDefault="009F69CA" w:rsidP="00E2360E">
      <w:pPr>
        <w:spacing w:after="120"/>
        <w:ind w:left="0"/>
        <w:contextualSpacing/>
        <w:jc w:val="both"/>
        <w:rPr>
          <w:rFonts w:cstheme="minorHAnsi"/>
          <w:lang w:val="pl-PL"/>
        </w:rPr>
      </w:pPr>
      <w:r>
        <w:rPr>
          <w:rFonts w:cstheme="minorHAnsi"/>
          <w:lang w:val="pl-PL"/>
        </w:rPr>
        <w:t xml:space="preserve">Joanna </w:t>
      </w:r>
      <w:r w:rsidR="00E2360E" w:rsidRPr="00E2360E">
        <w:rPr>
          <w:rFonts w:cstheme="minorHAnsi"/>
          <w:lang w:val="pl-PL"/>
        </w:rPr>
        <w:t xml:space="preserve">Agata </w:t>
      </w:r>
      <w:r>
        <w:rPr>
          <w:rFonts w:cstheme="minorHAnsi"/>
          <w:lang w:val="pl-PL"/>
        </w:rPr>
        <w:t>Popielarz-</w:t>
      </w:r>
      <w:r w:rsidR="00E2360E" w:rsidRPr="00E2360E">
        <w:rPr>
          <w:rFonts w:cstheme="minorHAnsi"/>
          <w:lang w:val="pl-PL"/>
        </w:rPr>
        <w:t xml:space="preserve">Dzielińska – Naczelnik Wydziału </w:t>
      </w:r>
      <w:r>
        <w:rPr>
          <w:rFonts w:cstheme="minorHAnsi"/>
          <w:lang w:val="pl-PL"/>
        </w:rPr>
        <w:t>Rozwoju Gospodarczego i Zamówień Publicznych</w:t>
      </w:r>
      <w:r w:rsidR="00864DDD">
        <w:rPr>
          <w:rFonts w:cstheme="minorHAnsi"/>
          <w:lang w:val="pl-PL"/>
        </w:rPr>
        <w:t xml:space="preserve"> </w:t>
      </w:r>
      <w:r w:rsidR="00E2360E" w:rsidRPr="00E2360E">
        <w:rPr>
          <w:rFonts w:cstheme="minorHAnsi"/>
          <w:lang w:val="pl-PL"/>
        </w:rPr>
        <w:t xml:space="preserve">– Powiat Szczycieński </w:t>
      </w:r>
    </w:p>
    <w:p w14:paraId="37FE7925" w14:textId="1A9D9CEA" w:rsidR="00027413" w:rsidRPr="00522D8B" w:rsidRDefault="00027413" w:rsidP="008A7F1B">
      <w:pPr>
        <w:spacing w:after="120"/>
        <w:ind w:left="0"/>
        <w:contextualSpacing/>
        <w:jc w:val="both"/>
        <w:rPr>
          <w:rFonts w:cstheme="minorHAnsi"/>
          <w:lang w:val="pl-PL"/>
        </w:rPr>
      </w:pPr>
      <w:r w:rsidRPr="00522D8B">
        <w:rPr>
          <w:rFonts w:cstheme="minorHAnsi"/>
          <w:lang w:val="pl-PL"/>
        </w:rPr>
        <w:t xml:space="preserve">Jolanta Tymińska - </w:t>
      </w:r>
      <w:r w:rsidR="00522D8B" w:rsidRPr="00522D8B">
        <w:rPr>
          <w:rFonts w:cstheme="minorHAnsi"/>
          <w:lang w:val="pl-PL"/>
        </w:rPr>
        <w:t>Kierownik Wydziału Promocji Oświaty i Zarządzania Kryzysowego</w:t>
      </w:r>
      <w:r w:rsidR="00AB263B">
        <w:rPr>
          <w:rFonts w:cstheme="minorHAnsi"/>
          <w:lang w:val="pl-PL"/>
        </w:rPr>
        <w:t xml:space="preserve"> – Powiat Nidzicki</w:t>
      </w:r>
    </w:p>
    <w:p w14:paraId="604AFDD0" w14:textId="41CF9626" w:rsidR="00E2360E" w:rsidRDefault="00522D8B" w:rsidP="00B254BA">
      <w:pPr>
        <w:spacing w:after="120"/>
        <w:ind w:left="0"/>
        <w:contextualSpacing/>
        <w:jc w:val="both"/>
        <w:rPr>
          <w:rFonts w:cstheme="minorHAnsi"/>
          <w:lang w:val="pl-PL"/>
        </w:rPr>
      </w:pPr>
      <w:r w:rsidRPr="00522D8B">
        <w:rPr>
          <w:rFonts w:cstheme="minorHAnsi"/>
          <w:lang w:val="pl-PL"/>
        </w:rPr>
        <w:t>Aneta Ofman – Naczelnik Strategii</w:t>
      </w:r>
      <w:r w:rsidR="00B254BA">
        <w:rPr>
          <w:rFonts w:cstheme="minorHAnsi"/>
          <w:lang w:val="pl-PL"/>
        </w:rPr>
        <w:t xml:space="preserve"> i</w:t>
      </w:r>
      <w:r w:rsidRPr="00522D8B">
        <w:rPr>
          <w:rFonts w:cstheme="minorHAnsi"/>
          <w:lang w:val="pl-PL"/>
        </w:rPr>
        <w:t xml:space="preserve"> Rozwoju, Promocji, Integracji Europejskiej i Informacji - Powiat Piski</w:t>
      </w:r>
    </w:p>
    <w:p w14:paraId="53C00D9D" w14:textId="1E69DCA2" w:rsidR="00C1051A" w:rsidRDefault="00C1051A" w:rsidP="00B254BA">
      <w:pPr>
        <w:spacing w:after="120"/>
        <w:ind w:left="0"/>
        <w:contextualSpacing/>
        <w:jc w:val="both"/>
        <w:rPr>
          <w:rFonts w:cstheme="minorHAnsi"/>
          <w:lang w:val="pl-PL"/>
        </w:rPr>
      </w:pPr>
      <w:r w:rsidRPr="008A7F1B">
        <w:rPr>
          <w:rFonts w:cstheme="minorHAnsi"/>
          <w:lang w:val="pl-PL"/>
        </w:rPr>
        <w:t>Piotr Utrata – Naczelnik Wydziału Spraw Gospodarczych, Inwestycji i Promocji – Powiat Działdowski</w:t>
      </w:r>
    </w:p>
    <w:p w14:paraId="1C76E094" w14:textId="77777777" w:rsidR="00B254BA" w:rsidRPr="00B254BA" w:rsidRDefault="00B254BA" w:rsidP="00B254BA">
      <w:pPr>
        <w:spacing w:after="120"/>
        <w:ind w:left="0"/>
        <w:contextualSpacing/>
        <w:jc w:val="both"/>
        <w:rPr>
          <w:rStyle w:val="Wyrnieniedelikatne"/>
          <w:rFonts w:cstheme="minorHAnsi"/>
          <w:b w:val="0"/>
          <w:bCs w:val="0"/>
          <w:iCs w:val="0"/>
          <w:sz w:val="24"/>
          <w:lang w:val="pl-PL"/>
        </w:rPr>
      </w:pPr>
    </w:p>
    <w:p w14:paraId="21A7379F" w14:textId="68E0788E" w:rsidR="00422850" w:rsidRPr="00091BAE" w:rsidRDefault="00962D2F" w:rsidP="00733091">
      <w:pPr>
        <w:pStyle w:val="metryczka"/>
        <w:spacing w:after="240"/>
        <w:rPr>
          <w:rStyle w:val="Wyrnieniedelikatne"/>
          <w:iCs w:val="0"/>
          <w:noProof/>
          <w:szCs w:val="26"/>
          <w:lang w:val="pl-PL"/>
        </w:rPr>
      </w:pPr>
      <w:r w:rsidRPr="00091BAE">
        <w:rPr>
          <w:rStyle w:val="Wyrnieniedelikatne"/>
          <w:iCs w:val="0"/>
          <w:noProof/>
          <w:szCs w:val="26"/>
          <w:lang w:val="pl-PL"/>
        </w:rPr>
        <w:t xml:space="preserve">Skład Grupy </w:t>
      </w:r>
      <w:r w:rsidR="00E2360E">
        <w:rPr>
          <w:rStyle w:val="Wyrnieniedelikatne"/>
          <w:iCs w:val="0"/>
          <w:noProof/>
          <w:szCs w:val="26"/>
          <w:lang w:val="pl-PL"/>
        </w:rPr>
        <w:t xml:space="preserve">Zadaniowej </w:t>
      </w:r>
    </w:p>
    <w:p w14:paraId="3F6FAE0D" w14:textId="226A27F7" w:rsidR="00733091" w:rsidRPr="002407D1" w:rsidRDefault="00733091" w:rsidP="00B254BA">
      <w:pPr>
        <w:ind w:left="0"/>
        <w:contextualSpacing/>
        <w:rPr>
          <w:rFonts w:cstheme="minorHAnsi"/>
          <w:lang w:val="pl-PL"/>
        </w:rPr>
      </w:pPr>
      <w:r w:rsidRPr="00E2360E">
        <w:rPr>
          <w:rFonts w:cstheme="minorHAnsi"/>
          <w:lang w:val="pl-PL"/>
        </w:rPr>
        <w:t xml:space="preserve">Aleksandra Toczek – Naczelnik Wydziału Organizacyjnego – </w:t>
      </w:r>
      <w:r w:rsidR="00C1051A">
        <w:rPr>
          <w:rFonts w:cstheme="minorHAnsi"/>
          <w:lang w:val="pl-PL"/>
        </w:rPr>
        <w:t>G</w:t>
      </w:r>
      <w:r w:rsidRPr="00E2360E">
        <w:rPr>
          <w:rFonts w:cstheme="minorHAnsi"/>
          <w:lang w:val="pl-PL"/>
        </w:rPr>
        <w:t>mina miejska Szczytno</w:t>
      </w:r>
    </w:p>
    <w:p w14:paraId="3A74FB4B" w14:textId="77777777" w:rsidR="00733091" w:rsidRPr="002407D1" w:rsidRDefault="00733091" w:rsidP="00B254BA">
      <w:pPr>
        <w:ind w:left="0"/>
        <w:contextualSpacing/>
        <w:rPr>
          <w:rFonts w:cstheme="minorHAnsi"/>
          <w:lang w:val="pl-PL"/>
        </w:rPr>
      </w:pPr>
      <w:r w:rsidRPr="00E2360E">
        <w:rPr>
          <w:rFonts w:cstheme="minorHAnsi"/>
          <w:lang w:val="pl-PL"/>
        </w:rPr>
        <w:t>Anna Adamczyk – Kierownik Referatu Rozwoju Gminy – Gmina Pasym</w:t>
      </w:r>
    </w:p>
    <w:p w14:paraId="34D94C88" w14:textId="07B9C506" w:rsidR="00733091" w:rsidRPr="002407D1" w:rsidRDefault="00733091" w:rsidP="00B254BA">
      <w:pPr>
        <w:ind w:left="0"/>
        <w:contextualSpacing/>
        <w:rPr>
          <w:rFonts w:cstheme="minorHAnsi"/>
          <w:lang w:val="pl-PL"/>
        </w:rPr>
      </w:pPr>
      <w:r w:rsidRPr="00E2360E">
        <w:rPr>
          <w:rFonts w:cstheme="minorHAnsi"/>
          <w:lang w:val="pl-PL"/>
        </w:rPr>
        <w:t xml:space="preserve">Janusz Rumiński – Kierownik </w:t>
      </w:r>
      <w:r w:rsidR="00E2360E">
        <w:rPr>
          <w:rFonts w:cstheme="minorHAnsi"/>
          <w:lang w:val="pl-PL"/>
        </w:rPr>
        <w:t xml:space="preserve">Referatu </w:t>
      </w:r>
      <w:r w:rsidRPr="00E2360E">
        <w:rPr>
          <w:rFonts w:cstheme="minorHAnsi"/>
          <w:lang w:val="pl-PL"/>
        </w:rPr>
        <w:t>– Gmina Wielbark</w:t>
      </w:r>
      <w:r w:rsidRPr="002407D1">
        <w:rPr>
          <w:rFonts w:cstheme="minorHAnsi"/>
          <w:lang w:val="pl-PL"/>
        </w:rPr>
        <w:t xml:space="preserve"> </w:t>
      </w:r>
    </w:p>
    <w:p w14:paraId="0F59C08C" w14:textId="18A28552" w:rsidR="00733091" w:rsidRPr="00EF5A04" w:rsidRDefault="00EF5A04" w:rsidP="00B254BA">
      <w:pPr>
        <w:ind w:left="0"/>
        <w:contextualSpacing/>
        <w:rPr>
          <w:rFonts w:cstheme="minorHAnsi"/>
          <w:szCs w:val="24"/>
          <w:lang w:val="pl-PL"/>
        </w:rPr>
      </w:pPr>
      <w:r w:rsidRPr="00EF5A04">
        <w:rPr>
          <w:rFonts w:cstheme="minorHAnsi"/>
          <w:color w:val="201F1E"/>
          <w:szCs w:val="24"/>
          <w:shd w:val="clear" w:color="auto" w:fill="FFFFFF"/>
          <w:lang w:val="pl-PL"/>
        </w:rPr>
        <w:t xml:space="preserve">Ewa Zawrotna - Zastępca Wójta </w:t>
      </w:r>
      <w:r w:rsidR="00733091" w:rsidRPr="00EF5A04">
        <w:rPr>
          <w:rFonts w:cstheme="minorHAnsi"/>
          <w:szCs w:val="24"/>
          <w:lang w:val="pl-PL"/>
        </w:rPr>
        <w:t xml:space="preserve">– Gmina Szczytno </w:t>
      </w:r>
    </w:p>
    <w:p w14:paraId="013C64C0" w14:textId="6FDA9584" w:rsidR="00733091" w:rsidRPr="002407D1" w:rsidRDefault="00733091" w:rsidP="00B254BA">
      <w:pPr>
        <w:ind w:left="0"/>
        <w:contextualSpacing/>
        <w:rPr>
          <w:rFonts w:cstheme="minorHAnsi"/>
          <w:lang w:val="pl-PL"/>
        </w:rPr>
      </w:pPr>
      <w:r w:rsidRPr="00E2360E">
        <w:rPr>
          <w:rFonts w:cstheme="minorHAnsi"/>
          <w:lang w:val="pl-PL"/>
        </w:rPr>
        <w:t>Barbara Trusewicz – Sekretarz - Gmina Dźwierzuty</w:t>
      </w:r>
      <w:r w:rsidRPr="002407D1">
        <w:rPr>
          <w:rFonts w:cstheme="minorHAnsi"/>
          <w:lang w:val="pl-PL"/>
        </w:rPr>
        <w:t xml:space="preserve"> </w:t>
      </w:r>
    </w:p>
    <w:p w14:paraId="04F1BB79" w14:textId="77777777" w:rsidR="00733091" w:rsidRPr="00E2360E" w:rsidRDefault="00733091" w:rsidP="00B254BA">
      <w:pPr>
        <w:ind w:left="0"/>
        <w:contextualSpacing/>
        <w:rPr>
          <w:rFonts w:cstheme="minorHAnsi"/>
          <w:lang w:val="pl-PL"/>
        </w:rPr>
      </w:pPr>
      <w:r w:rsidRPr="00E2360E">
        <w:rPr>
          <w:rFonts w:cstheme="minorHAnsi"/>
          <w:lang w:val="pl-PL"/>
        </w:rPr>
        <w:t>Barbara Kiwicka – Inspektor - Gmina Jedwabno</w:t>
      </w:r>
    </w:p>
    <w:p w14:paraId="48B1BA65" w14:textId="1A38B996" w:rsidR="00733091" w:rsidRPr="002407D1" w:rsidRDefault="00733091" w:rsidP="00B254BA">
      <w:pPr>
        <w:ind w:left="0"/>
        <w:contextualSpacing/>
        <w:rPr>
          <w:rFonts w:cstheme="minorHAnsi"/>
          <w:lang w:val="pl-PL"/>
        </w:rPr>
      </w:pPr>
      <w:r w:rsidRPr="008A7F1B">
        <w:rPr>
          <w:rFonts w:cstheme="minorHAnsi"/>
          <w:lang w:val="pl-PL"/>
        </w:rPr>
        <w:t xml:space="preserve">Anna Spanialska – </w:t>
      </w:r>
      <w:r w:rsidR="00E2360E" w:rsidRPr="008A7F1B">
        <w:rPr>
          <w:rFonts w:cstheme="minorHAnsi"/>
          <w:lang w:val="pl-PL"/>
        </w:rPr>
        <w:t>Zastępca</w:t>
      </w:r>
      <w:r w:rsidR="008A7F1B" w:rsidRPr="008A7F1B">
        <w:rPr>
          <w:rFonts w:cstheme="minorHAnsi"/>
          <w:lang w:val="pl-PL"/>
        </w:rPr>
        <w:t xml:space="preserve"> </w:t>
      </w:r>
      <w:r w:rsidRPr="008A7F1B">
        <w:rPr>
          <w:rFonts w:cstheme="minorHAnsi"/>
          <w:lang w:val="pl-PL"/>
        </w:rPr>
        <w:t>Kierownik</w:t>
      </w:r>
      <w:r w:rsidR="008A7F1B" w:rsidRPr="008A7F1B">
        <w:rPr>
          <w:rFonts w:cstheme="minorHAnsi"/>
          <w:lang w:val="pl-PL"/>
        </w:rPr>
        <w:t>a</w:t>
      </w:r>
      <w:r w:rsidRPr="008A7F1B">
        <w:rPr>
          <w:rFonts w:cstheme="minorHAnsi"/>
          <w:lang w:val="pl-PL"/>
        </w:rPr>
        <w:t xml:space="preserve"> – Gmina Rozogi</w:t>
      </w:r>
      <w:r w:rsidRPr="002407D1">
        <w:rPr>
          <w:rFonts w:cstheme="minorHAnsi"/>
          <w:lang w:val="pl-PL"/>
        </w:rPr>
        <w:t xml:space="preserve"> </w:t>
      </w:r>
    </w:p>
    <w:p w14:paraId="654884D2" w14:textId="5D8BE8CC" w:rsidR="00733091" w:rsidRPr="002407D1" w:rsidRDefault="00733091" w:rsidP="00B254BA">
      <w:pPr>
        <w:ind w:left="0"/>
        <w:contextualSpacing/>
        <w:rPr>
          <w:rFonts w:cstheme="minorHAnsi"/>
          <w:lang w:val="pl-PL"/>
        </w:rPr>
      </w:pPr>
      <w:r w:rsidRPr="00E2360E">
        <w:rPr>
          <w:rFonts w:cstheme="minorHAnsi"/>
          <w:lang w:val="pl-PL"/>
        </w:rPr>
        <w:t>Wojciech Lenkiewicz -</w:t>
      </w:r>
      <w:r w:rsidR="00C1051A">
        <w:rPr>
          <w:rFonts w:cstheme="minorHAnsi"/>
          <w:lang w:val="pl-PL"/>
        </w:rPr>
        <w:t xml:space="preserve"> </w:t>
      </w:r>
      <w:r w:rsidR="00E2360E" w:rsidRPr="00E2360E">
        <w:rPr>
          <w:rFonts w:cstheme="minorHAnsi"/>
          <w:lang w:val="pl-PL"/>
        </w:rPr>
        <w:t>Referent ds. funduszy zewnętrznych i programów pomocowych -</w:t>
      </w:r>
      <w:r w:rsidRPr="00E2360E">
        <w:rPr>
          <w:rFonts w:cstheme="minorHAnsi"/>
          <w:lang w:val="pl-PL"/>
        </w:rPr>
        <w:t xml:space="preserve"> Gmina Świętajno</w:t>
      </w:r>
    </w:p>
    <w:p w14:paraId="1CFCCC28" w14:textId="054C16EF" w:rsidR="00733091" w:rsidRPr="002407D1" w:rsidRDefault="00733091" w:rsidP="00B254BA">
      <w:pPr>
        <w:ind w:left="0"/>
        <w:contextualSpacing/>
        <w:rPr>
          <w:rFonts w:cstheme="minorHAnsi"/>
          <w:lang w:val="pl-PL"/>
        </w:rPr>
      </w:pPr>
      <w:r w:rsidRPr="00027413">
        <w:rPr>
          <w:rFonts w:cstheme="minorHAnsi"/>
          <w:lang w:val="pl-PL"/>
        </w:rPr>
        <w:t>Jolanta Jendr</w:t>
      </w:r>
      <w:r w:rsidR="00027413" w:rsidRPr="00027413">
        <w:rPr>
          <w:rFonts w:cstheme="minorHAnsi"/>
          <w:lang w:val="pl-PL"/>
        </w:rPr>
        <w:t>y</w:t>
      </w:r>
      <w:r w:rsidRPr="00027413">
        <w:rPr>
          <w:rFonts w:cstheme="minorHAnsi"/>
          <w:lang w:val="pl-PL"/>
        </w:rPr>
        <w:t>cka – Sekretarz – Gmina Rybno</w:t>
      </w:r>
    </w:p>
    <w:p w14:paraId="2930EE14" w14:textId="4AD2FC0D" w:rsidR="00733091" w:rsidRPr="002407D1" w:rsidRDefault="00733091" w:rsidP="00B254BA">
      <w:pPr>
        <w:ind w:left="0"/>
        <w:contextualSpacing/>
        <w:rPr>
          <w:rFonts w:cstheme="minorHAnsi"/>
          <w:lang w:val="pl-PL"/>
        </w:rPr>
      </w:pPr>
      <w:r w:rsidRPr="00027413">
        <w:rPr>
          <w:rFonts w:cstheme="minorHAnsi"/>
          <w:lang w:val="pl-PL"/>
        </w:rPr>
        <w:t>Katarzyna Zakrzewska - Sekretarz – Gmina Płośnica</w:t>
      </w:r>
    </w:p>
    <w:p w14:paraId="552A3D0C" w14:textId="77777777" w:rsidR="00733091" w:rsidRPr="002407D1" w:rsidRDefault="00733091" w:rsidP="00B254BA">
      <w:pPr>
        <w:ind w:left="0"/>
        <w:contextualSpacing/>
        <w:rPr>
          <w:rFonts w:cstheme="minorHAnsi"/>
          <w:lang w:val="pl-PL"/>
        </w:rPr>
      </w:pPr>
      <w:r w:rsidRPr="00027413">
        <w:rPr>
          <w:rFonts w:cstheme="minorHAnsi"/>
          <w:lang w:val="pl-PL"/>
        </w:rPr>
        <w:t>Krzysztof Wieczorek – Sekretarz – Miasto Lidzbark</w:t>
      </w:r>
    </w:p>
    <w:p w14:paraId="5074CFA6" w14:textId="77777777" w:rsidR="00733091" w:rsidRPr="002407D1" w:rsidRDefault="00733091" w:rsidP="00B254BA">
      <w:pPr>
        <w:ind w:left="0"/>
        <w:contextualSpacing/>
        <w:rPr>
          <w:rFonts w:cstheme="minorHAnsi"/>
          <w:lang w:val="pl-PL"/>
        </w:rPr>
      </w:pPr>
      <w:r w:rsidRPr="00027413">
        <w:rPr>
          <w:rFonts w:cstheme="minorHAnsi"/>
          <w:lang w:val="pl-PL"/>
        </w:rPr>
        <w:t>Jan Świniarski – Sekretarz – Gmina Działdowo</w:t>
      </w:r>
      <w:r w:rsidRPr="002407D1">
        <w:rPr>
          <w:rFonts w:cstheme="minorHAnsi"/>
          <w:lang w:val="pl-PL"/>
        </w:rPr>
        <w:t xml:space="preserve"> </w:t>
      </w:r>
    </w:p>
    <w:p w14:paraId="2C4EE86D" w14:textId="2D260F0C" w:rsidR="00733091" w:rsidRPr="002407D1" w:rsidRDefault="00733091" w:rsidP="00B254BA">
      <w:pPr>
        <w:ind w:left="0"/>
        <w:contextualSpacing/>
        <w:rPr>
          <w:rFonts w:cstheme="minorHAnsi"/>
          <w:lang w:val="pl-PL"/>
        </w:rPr>
      </w:pPr>
      <w:r w:rsidRPr="00027413">
        <w:rPr>
          <w:rFonts w:cstheme="minorHAnsi"/>
          <w:lang w:val="pl-PL"/>
        </w:rPr>
        <w:t>Andrzej</w:t>
      </w:r>
      <w:r w:rsidR="00027413" w:rsidRPr="00027413">
        <w:rPr>
          <w:rFonts w:cstheme="minorHAnsi"/>
          <w:lang w:val="pl-PL"/>
        </w:rPr>
        <w:t xml:space="preserve"> Wiśniewski </w:t>
      </w:r>
      <w:r w:rsidRPr="00027413">
        <w:rPr>
          <w:rFonts w:cstheme="minorHAnsi"/>
          <w:lang w:val="pl-PL"/>
        </w:rPr>
        <w:t>– Zastępca Burmistrza – Miasto Działdowo</w:t>
      </w:r>
    </w:p>
    <w:p w14:paraId="6A375E42" w14:textId="77777777" w:rsidR="00733091" w:rsidRPr="00027413" w:rsidRDefault="00733091" w:rsidP="00B254BA">
      <w:pPr>
        <w:ind w:left="0"/>
        <w:contextualSpacing/>
        <w:rPr>
          <w:rFonts w:cstheme="minorHAnsi"/>
          <w:lang w:val="pl-PL"/>
        </w:rPr>
      </w:pPr>
      <w:r w:rsidRPr="00027413">
        <w:rPr>
          <w:rFonts w:cstheme="minorHAnsi"/>
          <w:lang w:val="pl-PL"/>
        </w:rPr>
        <w:t>Mirosława Tyszko – Sekretarz Gminy- Gmina Iłowo-Osada</w:t>
      </w:r>
    </w:p>
    <w:p w14:paraId="1BB8CCA9" w14:textId="545403EB" w:rsidR="00733091" w:rsidRPr="00B254BA" w:rsidRDefault="00733091" w:rsidP="00B254BA">
      <w:pPr>
        <w:ind w:left="0"/>
        <w:contextualSpacing/>
        <w:rPr>
          <w:rFonts w:cstheme="minorHAnsi"/>
          <w:lang w:val="pl-PL"/>
        </w:rPr>
      </w:pPr>
      <w:r w:rsidRPr="00522D8B">
        <w:rPr>
          <w:rFonts w:cstheme="minorHAnsi"/>
          <w:lang w:val="pl-PL"/>
        </w:rPr>
        <w:t>Jacek Jankowski – Sekretarz - Gmina Kozłowo</w:t>
      </w:r>
      <w:r w:rsidR="00B254BA">
        <w:rPr>
          <w:rFonts w:cstheme="minorHAnsi"/>
          <w:lang w:val="pl-PL"/>
        </w:rPr>
        <w:br/>
      </w:r>
      <w:r w:rsidRPr="00522D8B">
        <w:rPr>
          <w:rFonts w:cstheme="minorHAnsi"/>
          <w:szCs w:val="24"/>
          <w:lang w:val="pl-PL"/>
        </w:rPr>
        <w:t xml:space="preserve">Paweł Koziński – Kierownik Wydziału </w:t>
      </w:r>
      <w:r w:rsidR="00522D8B" w:rsidRPr="00B254BA">
        <w:rPr>
          <w:rFonts w:cstheme="minorHAnsi"/>
          <w:szCs w:val="24"/>
          <w:lang w:val="pl-PL"/>
        </w:rPr>
        <w:t xml:space="preserve">Pozyskiwania Środków Pomocowych </w:t>
      </w:r>
      <w:r w:rsidR="00522D8B" w:rsidRPr="00522D8B">
        <w:rPr>
          <w:rFonts w:eastAsia="Times New Roman" w:cstheme="minorHAnsi"/>
          <w:szCs w:val="24"/>
          <w:lang w:val="pl-PL" w:eastAsia="pl-PL"/>
        </w:rPr>
        <w:t xml:space="preserve">Rozwoju </w:t>
      </w:r>
      <w:r w:rsidR="00B254BA" w:rsidRPr="00B254BA">
        <w:rPr>
          <w:rFonts w:cstheme="minorHAnsi"/>
          <w:szCs w:val="24"/>
          <w:lang w:val="pl-PL"/>
        </w:rPr>
        <w:br/>
      </w:r>
      <w:r w:rsidR="00522D8B" w:rsidRPr="00522D8B">
        <w:rPr>
          <w:rFonts w:eastAsia="Times New Roman" w:cstheme="minorHAnsi"/>
          <w:szCs w:val="24"/>
          <w:lang w:val="pl-PL" w:eastAsia="pl-PL"/>
        </w:rPr>
        <w:t>i Komunikacji Społecznej</w:t>
      </w:r>
      <w:r w:rsidR="00522D8B" w:rsidRPr="00B254BA">
        <w:rPr>
          <w:rFonts w:cstheme="minorHAnsi"/>
          <w:szCs w:val="24"/>
          <w:lang w:val="pl-PL"/>
        </w:rPr>
        <w:t xml:space="preserve"> </w:t>
      </w:r>
      <w:r w:rsidRPr="00522D8B">
        <w:rPr>
          <w:rFonts w:cstheme="minorHAnsi"/>
          <w:szCs w:val="24"/>
          <w:lang w:val="pl-PL"/>
        </w:rPr>
        <w:t xml:space="preserve">– Gmina Nidzica  </w:t>
      </w:r>
    </w:p>
    <w:p w14:paraId="1B903528" w14:textId="77777777" w:rsidR="00733091" w:rsidRPr="002407D1" w:rsidRDefault="00733091" w:rsidP="00B254BA">
      <w:pPr>
        <w:ind w:left="0"/>
        <w:contextualSpacing/>
        <w:rPr>
          <w:rFonts w:cstheme="minorHAnsi"/>
          <w:lang w:val="pl-PL"/>
        </w:rPr>
      </w:pPr>
      <w:r w:rsidRPr="00522D8B">
        <w:rPr>
          <w:rFonts w:cstheme="minorHAnsi"/>
          <w:lang w:val="pl-PL"/>
        </w:rPr>
        <w:t>Paweł Oman – Kierownik Referatu Gospodarki Terenowej - Gmina Janowo</w:t>
      </w:r>
    </w:p>
    <w:p w14:paraId="0653F722" w14:textId="502965A5" w:rsidR="00733091" w:rsidRPr="002407D1" w:rsidRDefault="00733091" w:rsidP="00B254BA">
      <w:pPr>
        <w:ind w:left="0"/>
        <w:contextualSpacing/>
        <w:rPr>
          <w:rFonts w:cstheme="minorHAnsi"/>
          <w:lang w:val="pl-PL"/>
        </w:rPr>
      </w:pPr>
      <w:r w:rsidRPr="00522D8B">
        <w:rPr>
          <w:rFonts w:cstheme="minorHAnsi"/>
          <w:lang w:val="pl-PL"/>
        </w:rPr>
        <w:t xml:space="preserve">Mateusz Moszyński </w:t>
      </w:r>
      <w:r w:rsidR="00522D8B" w:rsidRPr="00522D8B">
        <w:rPr>
          <w:rFonts w:cstheme="minorHAnsi"/>
          <w:lang w:val="pl-PL"/>
        </w:rPr>
        <w:t xml:space="preserve">– Kierownik Referatu Gospodarki Terenowej - </w:t>
      </w:r>
      <w:r w:rsidRPr="00522D8B">
        <w:rPr>
          <w:rFonts w:cstheme="minorHAnsi"/>
          <w:lang w:val="pl-PL"/>
        </w:rPr>
        <w:t>Gmina Janowiec Kościelny</w:t>
      </w:r>
    </w:p>
    <w:p w14:paraId="51C5936E" w14:textId="6961C5E9" w:rsidR="00733091" w:rsidRPr="00522D8B" w:rsidRDefault="00733091" w:rsidP="00B254BA">
      <w:pPr>
        <w:ind w:left="0"/>
        <w:contextualSpacing/>
        <w:rPr>
          <w:rFonts w:cstheme="minorHAnsi"/>
          <w:lang w:val="pl-PL"/>
        </w:rPr>
      </w:pPr>
      <w:r w:rsidRPr="00522D8B">
        <w:rPr>
          <w:rFonts w:cstheme="minorHAnsi"/>
          <w:lang w:val="pl-PL"/>
        </w:rPr>
        <w:t xml:space="preserve">Marek Kaczmarczyk – </w:t>
      </w:r>
      <w:r w:rsidRPr="00B254BA">
        <w:rPr>
          <w:rFonts w:cstheme="minorHAnsi"/>
          <w:lang w:val="pl-PL"/>
        </w:rPr>
        <w:t xml:space="preserve">Inspektor </w:t>
      </w:r>
      <w:r w:rsidR="00B254BA" w:rsidRPr="00B254BA">
        <w:rPr>
          <w:rFonts w:cstheme="minorHAnsi"/>
          <w:lang w:val="pl-PL"/>
        </w:rPr>
        <w:t>ds</w:t>
      </w:r>
      <w:r w:rsidR="00B254BA">
        <w:rPr>
          <w:rFonts w:cstheme="minorHAnsi"/>
          <w:lang w:val="pl-PL"/>
        </w:rPr>
        <w:t xml:space="preserve">. pozyskiwania funduszy zewnętrznych </w:t>
      </w:r>
      <w:r w:rsidRPr="00522D8B">
        <w:rPr>
          <w:rFonts w:cstheme="minorHAnsi"/>
          <w:lang w:val="pl-PL"/>
        </w:rPr>
        <w:t>- Gmina Ruciane-Nida</w:t>
      </w:r>
    </w:p>
    <w:p w14:paraId="23B5C5CB" w14:textId="4FDF81E1" w:rsidR="00733091" w:rsidRPr="002407D1" w:rsidRDefault="00733091" w:rsidP="00B254BA">
      <w:pPr>
        <w:ind w:left="0"/>
        <w:contextualSpacing/>
        <w:rPr>
          <w:rFonts w:cstheme="minorHAnsi"/>
          <w:lang w:val="pl-PL"/>
        </w:rPr>
      </w:pPr>
      <w:r w:rsidRPr="00B254BA">
        <w:rPr>
          <w:rFonts w:cstheme="minorHAnsi"/>
          <w:lang w:val="pl-PL"/>
        </w:rPr>
        <w:t xml:space="preserve">Wojciech Sakowski – Kierownik </w:t>
      </w:r>
      <w:r w:rsidR="00B254BA" w:rsidRPr="00B254BA">
        <w:rPr>
          <w:rFonts w:cstheme="minorHAnsi"/>
          <w:lang w:val="pl-PL"/>
        </w:rPr>
        <w:t xml:space="preserve">Referatu Planowania Przestrzennego, Budownictwa </w:t>
      </w:r>
      <w:r w:rsidR="00B254BA">
        <w:rPr>
          <w:rFonts w:cstheme="minorHAnsi"/>
          <w:lang w:val="pl-PL"/>
        </w:rPr>
        <w:br/>
      </w:r>
      <w:r w:rsidR="00B254BA" w:rsidRPr="00B254BA">
        <w:rPr>
          <w:rFonts w:cstheme="minorHAnsi"/>
          <w:lang w:val="pl-PL"/>
        </w:rPr>
        <w:t xml:space="preserve">i inwestycji </w:t>
      </w:r>
      <w:r w:rsidRPr="00B254BA">
        <w:rPr>
          <w:rFonts w:cstheme="minorHAnsi"/>
          <w:lang w:val="pl-PL"/>
        </w:rPr>
        <w:t>- Miasto Biała Piska</w:t>
      </w:r>
    </w:p>
    <w:p w14:paraId="0F71C6A1" w14:textId="73D1131E" w:rsidR="00733091" w:rsidRPr="002407D1" w:rsidRDefault="00522D8B" w:rsidP="00B254BA">
      <w:pPr>
        <w:ind w:left="0"/>
        <w:contextualSpacing/>
        <w:rPr>
          <w:rFonts w:cstheme="minorHAnsi"/>
          <w:lang w:val="pl-PL"/>
        </w:rPr>
      </w:pPr>
      <w:r w:rsidRPr="00522D8B">
        <w:rPr>
          <w:rFonts w:cstheme="minorHAnsi"/>
          <w:lang w:val="pl-PL"/>
        </w:rPr>
        <w:t xml:space="preserve">Beata Jażdżewska – Zastępca Burmistrza - </w:t>
      </w:r>
      <w:r w:rsidR="00733091" w:rsidRPr="00522D8B">
        <w:rPr>
          <w:rFonts w:cstheme="minorHAnsi"/>
          <w:lang w:val="pl-PL"/>
        </w:rPr>
        <w:t>Gmina Orzysz</w:t>
      </w:r>
    </w:p>
    <w:p w14:paraId="1ADDC5B7" w14:textId="6490DD40" w:rsidR="00733091" w:rsidRPr="0033548A" w:rsidRDefault="00522D8B" w:rsidP="00B254BA">
      <w:pPr>
        <w:ind w:left="0"/>
        <w:contextualSpacing/>
        <w:rPr>
          <w:rFonts w:cstheme="minorHAnsi"/>
          <w:lang w:val="pl-PL"/>
        </w:rPr>
      </w:pPr>
      <w:r w:rsidRPr="00B254BA">
        <w:rPr>
          <w:rFonts w:cstheme="minorHAnsi"/>
          <w:lang w:val="pl-PL"/>
        </w:rPr>
        <w:t xml:space="preserve">Adrian Majkrzak </w:t>
      </w:r>
      <w:r w:rsidR="00733091" w:rsidRPr="00B254BA">
        <w:rPr>
          <w:rFonts w:cstheme="minorHAnsi"/>
          <w:lang w:val="pl-PL"/>
        </w:rPr>
        <w:t>–</w:t>
      </w:r>
      <w:r w:rsidR="00B254BA">
        <w:rPr>
          <w:rFonts w:cstheme="minorHAnsi"/>
          <w:lang w:val="pl-PL"/>
        </w:rPr>
        <w:t xml:space="preserve"> </w:t>
      </w:r>
      <w:r w:rsidR="00B254BA" w:rsidRPr="00B254BA">
        <w:rPr>
          <w:rFonts w:cstheme="minorHAnsi"/>
          <w:lang w:val="pl-PL"/>
        </w:rPr>
        <w:t xml:space="preserve">Naczelnik Wydziału Inwestycji i Pozyskiwania Funduszy </w:t>
      </w:r>
      <w:r w:rsidR="00733091" w:rsidRPr="00B254BA">
        <w:rPr>
          <w:rFonts w:cstheme="minorHAnsi"/>
          <w:lang w:val="pl-PL"/>
        </w:rPr>
        <w:t>– Gmina Pisz</w:t>
      </w:r>
      <w:r w:rsidR="00733091" w:rsidRPr="0033548A">
        <w:rPr>
          <w:rFonts w:cstheme="minorHAnsi"/>
          <w:lang w:val="pl-PL"/>
        </w:rPr>
        <w:t xml:space="preserve"> </w:t>
      </w:r>
    </w:p>
    <w:p w14:paraId="50777FB9" w14:textId="77777777" w:rsidR="00962D2F" w:rsidRPr="00091BAE" w:rsidRDefault="003A1916" w:rsidP="00733091">
      <w:pPr>
        <w:pStyle w:val="metryczka"/>
        <w:spacing w:after="240"/>
        <w:rPr>
          <w:rStyle w:val="Wyrnieniedelikatne"/>
          <w:b w:val="0"/>
          <w:bCs w:val="0"/>
          <w:iCs w:val="0"/>
          <w:noProof/>
          <w:sz w:val="24"/>
          <w:lang w:val="pl-PL"/>
        </w:rPr>
      </w:pPr>
      <w:r w:rsidRPr="00091BAE">
        <w:rPr>
          <w:rStyle w:val="Wyrnieniedelikatne"/>
          <w:b w:val="0"/>
          <w:bCs w:val="0"/>
          <w:iCs w:val="0"/>
          <w:noProof/>
          <w:sz w:val="24"/>
          <w:lang w:val="pl-PL"/>
        </w:rPr>
        <w:lastRenderedPageBreak/>
        <w:br w:type="page"/>
      </w:r>
    </w:p>
    <w:sdt>
      <w:sdtPr>
        <w:rPr>
          <w:b/>
          <w:bCs/>
          <w:iCs/>
          <w:noProof/>
          <w:sz w:val="26"/>
          <w:lang w:val="pl-PL"/>
        </w:rPr>
        <w:id w:val="-1251653606"/>
        <w:docPartObj>
          <w:docPartGallery w:val="Table of Contents"/>
          <w:docPartUnique/>
        </w:docPartObj>
      </w:sdtPr>
      <w:sdtContent>
        <w:p w14:paraId="34BCE473" w14:textId="77777777" w:rsidR="003C6121" w:rsidRPr="00091BAE" w:rsidRDefault="003C6121" w:rsidP="00733091">
          <w:pPr>
            <w:ind w:left="0"/>
            <w:rPr>
              <w:rStyle w:val="Wyrnieniedelikatne"/>
              <w:noProof/>
              <w:lang w:val="pl-PL"/>
            </w:rPr>
          </w:pPr>
          <w:r w:rsidRPr="00091BAE">
            <w:rPr>
              <w:rStyle w:val="Wyrnieniedelikatne"/>
              <w:noProof/>
              <w:lang w:val="pl-PL"/>
            </w:rPr>
            <w:t>Spis treści</w:t>
          </w:r>
        </w:p>
        <w:p w14:paraId="34AABFA3" w14:textId="0BC82E33" w:rsidR="00176303" w:rsidRDefault="003C6121">
          <w:pPr>
            <w:pStyle w:val="Spistreci1"/>
            <w:tabs>
              <w:tab w:val="right" w:leader="dot" w:pos="9060"/>
            </w:tabs>
            <w:rPr>
              <w:rFonts w:eastAsiaTheme="minorEastAsia"/>
              <w:noProof/>
              <w:sz w:val="22"/>
              <w:lang w:val="pl-PL" w:eastAsia="pl-PL"/>
            </w:rPr>
          </w:pPr>
          <w:r w:rsidRPr="00091BAE">
            <w:rPr>
              <w:noProof/>
              <w:lang w:val="pl-PL"/>
            </w:rPr>
            <w:fldChar w:fldCharType="begin"/>
          </w:r>
          <w:r w:rsidRPr="00091BAE">
            <w:rPr>
              <w:noProof/>
              <w:lang w:val="pl-PL"/>
            </w:rPr>
            <w:instrText xml:space="preserve"> TOC \o "1-3" \h \z \u </w:instrText>
          </w:r>
          <w:r w:rsidRPr="00091BAE">
            <w:rPr>
              <w:noProof/>
              <w:lang w:val="pl-PL"/>
            </w:rPr>
            <w:fldChar w:fldCharType="separate"/>
          </w:r>
          <w:hyperlink w:anchor="_Toc69725426" w:history="1">
            <w:r w:rsidR="00176303" w:rsidRPr="008766C8">
              <w:rPr>
                <w:rStyle w:val="Hipercze"/>
                <w:noProof/>
                <w:lang w:val="pl-PL"/>
              </w:rPr>
              <w:t>WSTĘP</w:t>
            </w:r>
            <w:r w:rsidR="00176303">
              <w:rPr>
                <w:noProof/>
                <w:webHidden/>
              </w:rPr>
              <w:tab/>
            </w:r>
            <w:r w:rsidR="00176303">
              <w:rPr>
                <w:noProof/>
                <w:webHidden/>
              </w:rPr>
              <w:fldChar w:fldCharType="begin"/>
            </w:r>
            <w:r w:rsidR="00176303">
              <w:rPr>
                <w:noProof/>
                <w:webHidden/>
              </w:rPr>
              <w:instrText xml:space="preserve"> PAGEREF _Toc69725426 \h </w:instrText>
            </w:r>
            <w:r w:rsidR="00176303">
              <w:rPr>
                <w:noProof/>
                <w:webHidden/>
              </w:rPr>
            </w:r>
            <w:r w:rsidR="00176303">
              <w:rPr>
                <w:noProof/>
                <w:webHidden/>
              </w:rPr>
              <w:fldChar w:fldCharType="separate"/>
            </w:r>
            <w:r w:rsidR="00B14787">
              <w:rPr>
                <w:noProof/>
                <w:webHidden/>
              </w:rPr>
              <w:t>11</w:t>
            </w:r>
            <w:r w:rsidR="00176303">
              <w:rPr>
                <w:noProof/>
                <w:webHidden/>
              </w:rPr>
              <w:fldChar w:fldCharType="end"/>
            </w:r>
          </w:hyperlink>
        </w:p>
        <w:p w14:paraId="1586A3D7" w14:textId="57576156" w:rsidR="00176303" w:rsidRDefault="00B14787">
          <w:pPr>
            <w:pStyle w:val="Spistreci1"/>
            <w:tabs>
              <w:tab w:val="left" w:pos="480"/>
              <w:tab w:val="right" w:leader="dot" w:pos="9060"/>
            </w:tabs>
            <w:rPr>
              <w:rFonts w:eastAsiaTheme="minorEastAsia"/>
              <w:noProof/>
              <w:sz w:val="22"/>
              <w:lang w:val="pl-PL" w:eastAsia="pl-PL"/>
            </w:rPr>
          </w:pPr>
          <w:hyperlink w:anchor="_Toc69725427" w:history="1">
            <w:r w:rsidR="00176303" w:rsidRPr="008766C8">
              <w:rPr>
                <w:rStyle w:val="Hipercze"/>
                <w:noProof/>
                <w:lang w:val="en-US"/>
              </w:rPr>
              <w:t>1.</w:t>
            </w:r>
            <w:r w:rsidR="00176303">
              <w:rPr>
                <w:rFonts w:eastAsiaTheme="minorEastAsia"/>
                <w:noProof/>
                <w:sz w:val="22"/>
                <w:lang w:val="pl-PL" w:eastAsia="pl-PL"/>
              </w:rPr>
              <w:tab/>
            </w:r>
            <w:r w:rsidR="00176303" w:rsidRPr="008766C8">
              <w:rPr>
                <w:rStyle w:val="Hipercze"/>
                <w:noProof/>
                <w:lang w:val="en-US"/>
              </w:rPr>
              <w:t>CHARAKTERYSTYKA PARTNERSTWA</w:t>
            </w:r>
            <w:r w:rsidR="00176303">
              <w:rPr>
                <w:noProof/>
                <w:webHidden/>
              </w:rPr>
              <w:tab/>
            </w:r>
            <w:r w:rsidR="00176303">
              <w:rPr>
                <w:noProof/>
                <w:webHidden/>
              </w:rPr>
              <w:fldChar w:fldCharType="begin"/>
            </w:r>
            <w:r w:rsidR="00176303">
              <w:rPr>
                <w:noProof/>
                <w:webHidden/>
              </w:rPr>
              <w:instrText xml:space="preserve"> PAGEREF _Toc69725427 \h </w:instrText>
            </w:r>
            <w:r w:rsidR="00176303">
              <w:rPr>
                <w:noProof/>
                <w:webHidden/>
              </w:rPr>
            </w:r>
            <w:r w:rsidR="00176303">
              <w:rPr>
                <w:noProof/>
                <w:webHidden/>
              </w:rPr>
              <w:fldChar w:fldCharType="separate"/>
            </w:r>
            <w:r>
              <w:rPr>
                <w:noProof/>
                <w:webHidden/>
              </w:rPr>
              <w:t>15</w:t>
            </w:r>
            <w:r w:rsidR="00176303">
              <w:rPr>
                <w:noProof/>
                <w:webHidden/>
              </w:rPr>
              <w:fldChar w:fldCharType="end"/>
            </w:r>
          </w:hyperlink>
        </w:p>
        <w:p w14:paraId="69482E7E" w14:textId="0688677B" w:rsidR="00176303" w:rsidRDefault="00B14787">
          <w:pPr>
            <w:pStyle w:val="Spistreci2"/>
            <w:tabs>
              <w:tab w:val="left" w:pos="880"/>
              <w:tab w:val="right" w:leader="dot" w:pos="9060"/>
            </w:tabs>
            <w:rPr>
              <w:rFonts w:eastAsiaTheme="minorEastAsia"/>
              <w:noProof/>
              <w:sz w:val="22"/>
              <w:lang w:val="pl-PL" w:eastAsia="pl-PL"/>
            </w:rPr>
          </w:pPr>
          <w:hyperlink w:anchor="_Toc69725428" w:history="1">
            <w:r w:rsidR="00176303" w:rsidRPr="008766C8">
              <w:rPr>
                <w:rStyle w:val="Hipercze"/>
                <w:noProof/>
                <w:lang w:val="pl-PL"/>
              </w:rPr>
              <w:t>1.1.</w:t>
            </w:r>
            <w:r w:rsidR="00176303">
              <w:rPr>
                <w:rFonts w:eastAsiaTheme="minorEastAsia"/>
                <w:noProof/>
                <w:sz w:val="22"/>
                <w:lang w:val="pl-PL" w:eastAsia="pl-PL"/>
              </w:rPr>
              <w:tab/>
            </w:r>
            <w:r w:rsidR="00176303" w:rsidRPr="008766C8">
              <w:rPr>
                <w:rStyle w:val="Hipercze"/>
                <w:noProof/>
                <w:lang w:val="pl-PL"/>
              </w:rPr>
              <w:t>Podstawowe informacje o Partnerstwie</w:t>
            </w:r>
            <w:r w:rsidR="00176303">
              <w:rPr>
                <w:noProof/>
                <w:webHidden/>
              </w:rPr>
              <w:tab/>
            </w:r>
            <w:r w:rsidR="00176303">
              <w:rPr>
                <w:noProof/>
                <w:webHidden/>
              </w:rPr>
              <w:fldChar w:fldCharType="begin"/>
            </w:r>
            <w:r w:rsidR="00176303">
              <w:rPr>
                <w:noProof/>
                <w:webHidden/>
              </w:rPr>
              <w:instrText xml:space="preserve"> PAGEREF _Toc69725428 \h </w:instrText>
            </w:r>
            <w:r w:rsidR="00176303">
              <w:rPr>
                <w:noProof/>
                <w:webHidden/>
              </w:rPr>
            </w:r>
            <w:r w:rsidR="00176303">
              <w:rPr>
                <w:noProof/>
                <w:webHidden/>
              </w:rPr>
              <w:fldChar w:fldCharType="separate"/>
            </w:r>
            <w:r>
              <w:rPr>
                <w:noProof/>
                <w:webHidden/>
              </w:rPr>
              <w:t>15</w:t>
            </w:r>
            <w:r w:rsidR="00176303">
              <w:rPr>
                <w:noProof/>
                <w:webHidden/>
              </w:rPr>
              <w:fldChar w:fldCharType="end"/>
            </w:r>
          </w:hyperlink>
        </w:p>
        <w:p w14:paraId="112C8B3E" w14:textId="3837795B" w:rsidR="00176303" w:rsidRDefault="00B14787">
          <w:pPr>
            <w:pStyle w:val="Spistreci2"/>
            <w:tabs>
              <w:tab w:val="left" w:pos="880"/>
              <w:tab w:val="right" w:leader="dot" w:pos="9060"/>
            </w:tabs>
            <w:rPr>
              <w:rFonts w:eastAsiaTheme="minorEastAsia"/>
              <w:noProof/>
              <w:sz w:val="22"/>
              <w:lang w:val="pl-PL" w:eastAsia="pl-PL"/>
            </w:rPr>
          </w:pPr>
          <w:hyperlink w:anchor="_Toc69725429" w:history="1">
            <w:r w:rsidR="00176303" w:rsidRPr="008766C8">
              <w:rPr>
                <w:rStyle w:val="Hipercze"/>
                <w:noProof/>
                <w:lang w:val="pl-PL"/>
              </w:rPr>
              <w:t>1.2.</w:t>
            </w:r>
            <w:r w:rsidR="00176303">
              <w:rPr>
                <w:rFonts w:eastAsiaTheme="minorEastAsia"/>
                <w:noProof/>
                <w:sz w:val="22"/>
                <w:lang w:val="pl-PL" w:eastAsia="pl-PL"/>
              </w:rPr>
              <w:tab/>
            </w:r>
            <w:r w:rsidR="00176303" w:rsidRPr="008766C8">
              <w:rPr>
                <w:rStyle w:val="Hipercze"/>
                <w:noProof/>
                <w:lang w:val="pl-PL"/>
              </w:rPr>
              <w:t>Powiązania funkcjonalne na obszarze Partnerstwa</w:t>
            </w:r>
            <w:r w:rsidR="00176303">
              <w:rPr>
                <w:noProof/>
                <w:webHidden/>
              </w:rPr>
              <w:tab/>
            </w:r>
            <w:r w:rsidR="00176303">
              <w:rPr>
                <w:noProof/>
                <w:webHidden/>
              </w:rPr>
              <w:fldChar w:fldCharType="begin"/>
            </w:r>
            <w:r w:rsidR="00176303">
              <w:rPr>
                <w:noProof/>
                <w:webHidden/>
              </w:rPr>
              <w:instrText xml:space="preserve"> PAGEREF _Toc69725429 \h </w:instrText>
            </w:r>
            <w:r w:rsidR="00176303">
              <w:rPr>
                <w:noProof/>
                <w:webHidden/>
              </w:rPr>
            </w:r>
            <w:r w:rsidR="00176303">
              <w:rPr>
                <w:noProof/>
                <w:webHidden/>
              </w:rPr>
              <w:fldChar w:fldCharType="separate"/>
            </w:r>
            <w:r>
              <w:rPr>
                <w:noProof/>
                <w:webHidden/>
              </w:rPr>
              <w:t>20</w:t>
            </w:r>
            <w:r w:rsidR="00176303">
              <w:rPr>
                <w:noProof/>
                <w:webHidden/>
              </w:rPr>
              <w:fldChar w:fldCharType="end"/>
            </w:r>
          </w:hyperlink>
        </w:p>
        <w:p w14:paraId="74E6797A" w14:textId="06EBC585" w:rsidR="00176303" w:rsidRDefault="00B14787">
          <w:pPr>
            <w:pStyle w:val="Spistreci3"/>
            <w:tabs>
              <w:tab w:val="left" w:pos="1320"/>
              <w:tab w:val="right" w:leader="dot" w:pos="9060"/>
            </w:tabs>
            <w:rPr>
              <w:rFonts w:eastAsiaTheme="minorEastAsia"/>
              <w:noProof/>
              <w:sz w:val="22"/>
              <w:lang w:val="pl-PL" w:eastAsia="pl-PL"/>
            </w:rPr>
          </w:pPr>
          <w:hyperlink w:anchor="_Toc69725430" w:history="1">
            <w:r w:rsidR="00176303" w:rsidRPr="008766C8">
              <w:rPr>
                <w:rStyle w:val="Hipercze"/>
                <w:noProof/>
                <w:lang w:val="pl-PL"/>
              </w:rPr>
              <w:t>1.2.1.</w:t>
            </w:r>
            <w:r w:rsidR="00176303">
              <w:rPr>
                <w:rFonts w:eastAsiaTheme="minorEastAsia"/>
                <w:noProof/>
                <w:sz w:val="22"/>
                <w:lang w:val="pl-PL" w:eastAsia="pl-PL"/>
              </w:rPr>
              <w:tab/>
            </w:r>
            <w:r w:rsidR="00176303" w:rsidRPr="008766C8">
              <w:rPr>
                <w:rStyle w:val="Hipercze"/>
                <w:noProof/>
                <w:lang w:val="pl-PL"/>
              </w:rPr>
              <w:t>Identyfikowanie powiązań funkcjonalnych na obszarze Partnerstwa</w:t>
            </w:r>
            <w:r w:rsidR="00176303">
              <w:rPr>
                <w:noProof/>
                <w:webHidden/>
              </w:rPr>
              <w:tab/>
            </w:r>
            <w:r w:rsidR="00176303">
              <w:rPr>
                <w:noProof/>
                <w:webHidden/>
              </w:rPr>
              <w:fldChar w:fldCharType="begin"/>
            </w:r>
            <w:r w:rsidR="00176303">
              <w:rPr>
                <w:noProof/>
                <w:webHidden/>
              </w:rPr>
              <w:instrText xml:space="preserve"> PAGEREF _Toc69725430 \h </w:instrText>
            </w:r>
            <w:r w:rsidR="00176303">
              <w:rPr>
                <w:noProof/>
                <w:webHidden/>
              </w:rPr>
            </w:r>
            <w:r w:rsidR="00176303">
              <w:rPr>
                <w:noProof/>
                <w:webHidden/>
              </w:rPr>
              <w:fldChar w:fldCharType="separate"/>
            </w:r>
            <w:r>
              <w:rPr>
                <w:noProof/>
                <w:webHidden/>
              </w:rPr>
              <w:t>21</w:t>
            </w:r>
            <w:r w:rsidR="00176303">
              <w:rPr>
                <w:noProof/>
                <w:webHidden/>
              </w:rPr>
              <w:fldChar w:fldCharType="end"/>
            </w:r>
          </w:hyperlink>
        </w:p>
        <w:p w14:paraId="48CF20C0" w14:textId="1874361D" w:rsidR="00176303" w:rsidRDefault="00B14787">
          <w:pPr>
            <w:pStyle w:val="Spistreci3"/>
            <w:tabs>
              <w:tab w:val="left" w:pos="1320"/>
              <w:tab w:val="right" w:leader="dot" w:pos="9060"/>
            </w:tabs>
            <w:rPr>
              <w:rFonts w:eastAsiaTheme="minorEastAsia"/>
              <w:noProof/>
              <w:sz w:val="22"/>
              <w:lang w:val="pl-PL" w:eastAsia="pl-PL"/>
            </w:rPr>
          </w:pPr>
          <w:hyperlink w:anchor="_Toc69725431" w:history="1">
            <w:r w:rsidR="00176303" w:rsidRPr="008766C8">
              <w:rPr>
                <w:rStyle w:val="Hipercze"/>
                <w:noProof/>
                <w:lang w:val="en-US"/>
              </w:rPr>
              <w:t>1.2.2.</w:t>
            </w:r>
            <w:r w:rsidR="00176303">
              <w:rPr>
                <w:rFonts w:eastAsiaTheme="minorEastAsia"/>
                <w:noProof/>
                <w:sz w:val="22"/>
                <w:lang w:val="pl-PL" w:eastAsia="pl-PL"/>
              </w:rPr>
              <w:tab/>
            </w:r>
            <w:r w:rsidR="00176303" w:rsidRPr="008766C8">
              <w:rPr>
                <w:rStyle w:val="Hipercze"/>
                <w:noProof/>
                <w:lang w:val="en-US"/>
              </w:rPr>
              <w:t>Wiodące funkcje Partnerstwa</w:t>
            </w:r>
            <w:r w:rsidR="00176303">
              <w:rPr>
                <w:noProof/>
                <w:webHidden/>
              </w:rPr>
              <w:tab/>
            </w:r>
            <w:r w:rsidR="00176303">
              <w:rPr>
                <w:noProof/>
                <w:webHidden/>
              </w:rPr>
              <w:fldChar w:fldCharType="begin"/>
            </w:r>
            <w:r w:rsidR="00176303">
              <w:rPr>
                <w:noProof/>
                <w:webHidden/>
              </w:rPr>
              <w:instrText xml:space="preserve"> PAGEREF _Toc69725431 \h </w:instrText>
            </w:r>
            <w:r w:rsidR="00176303">
              <w:rPr>
                <w:noProof/>
                <w:webHidden/>
              </w:rPr>
            </w:r>
            <w:r w:rsidR="00176303">
              <w:rPr>
                <w:noProof/>
                <w:webHidden/>
              </w:rPr>
              <w:fldChar w:fldCharType="separate"/>
            </w:r>
            <w:r>
              <w:rPr>
                <w:noProof/>
                <w:webHidden/>
              </w:rPr>
              <w:t>30</w:t>
            </w:r>
            <w:r w:rsidR="00176303">
              <w:rPr>
                <w:noProof/>
                <w:webHidden/>
              </w:rPr>
              <w:fldChar w:fldCharType="end"/>
            </w:r>
          </w:hyperlink>
        </w:p>
        <w:p w14:paraId="4D284116" w14:textId="5FF06195" w:rsidR="00176303" w:rsidRDefault="00B14787">
          <w:pPr>
            <w:pStyle w:val="Spistreci3"/>
            <w:tabs>
              <w:tab w:val="left" w:pos="1320"/>
              <w:tab w:val="right" w:leader="dot" w:pos="9060"/>
            </w:tabs>
            <w:rPr>
              <w:rFonts w:eastAsiaTheme="minorEastAsia"/>
              <w:noProof/>
              <w:sz w:val="22"/>
              <w:lang w:val="pl-PL" w:eastAsia="pl-PL"/>
            </w:rPr>
          </w:pPr>
          <w:hyperlink w:anchor="_Toc69725432" w:history="1">
            <w:r w:rsidR="00176303" w:rsidRPr="008766C8">
              <w:rPr>
                <w:rStyle w:val="Hipercze"/>
                <w:noProof/>
                <w:lang w:val="en-US"/>
              </w:rPr>
              <w:t>1.2.3.</w:t>
            </w:r>
            <w:r w:rsidR="00176303">
              <w:rPr>
                <w:rFonts w:eastAsiaTheme="minorEastAsia"/>
                <w:noProof/>
                <w:sz w:val="22"/>
                <w:lang w:val="pl-PL" w:eastAsia="pl-PL"/>
              </w:rPr>
              <w:tab/>
            </w:r>
            <w:r w:rsidR="00176303" w:rsidRPr="008766C8">
              <w:rPr>
                <w:rStyle w:val="Hipercze"/>
                <w:noProof/>
                <w:lang w:val="en-US"/>
              </w:rPr>
              <w:t>Podsumowanie</w:t>
            </w:r>
            <w:r w:rsidR="00176303">
              <w:rPr>
                <w:noProof/>
                <w:webHidden/>
              </w:rPr>
              <w:tab/>
            </w:r>
            <w:r w:rsidR="00176303">
              <w:rPr>
                <w:noProof/>
                <w:webHidden/>
              </w:rPr>
              <w:fldChar w:fldCharType="begin"/>
            </w:r>
            <w:r w:rsidR="00176303">
              <w:rPr>
                <w:noProof/>
                <w:webHidden/>
              </w:rPr>
              <w:instrText xml:space="preserve"> PAGEREF _Toc69725432 \h </w:instrText>
            </w:r>
            <w:r w:rsidR="00176303">
              <w:rPr>
                <w:noProof/>
                <w:webHidden/>
              </w:rPr>
            </w:r>
            <w:r w:rsidR="00176303">
              <w:rPr>
                <w:noProof/>
                <w:webHidden/>
              </w:rPr>
              <w:fldChar w:fldCharType="separate"/>
            </w:r>
            <w:r>
              <w:rPr>
                <w:noProof/>
                <w:webHidden/>
              </w:rPr>
              <w:t>33</w:t>
            </w:r>
            <w:r w:rsidR="00176303">
              <w:rPr>
                <w:noProof/>
                <w:webHidden/>
              </w:rPr>
              <w:fldChar w:fldCharType="end"/>
            </w:r>
          </w:hyperlink>
        </w:p>
        <w:p w14:paraId="1C55D2F1" w14:textId="6A2B57B6" w:rsidR="00176303" w:rsidRDefault="00B14787">
          <w:pPr>
            <w:pStyle w:val="Spistreci1"/>
            <w:tabs>
              <w:tab w:val="left" w:pos="480"/>
              <w:tab w:val="right" w:leader="dot" w:pos="9060"/>
            </w:tabs>
            <w:rPr>
              <w:rFonts w:eastAsiaTheme="minorEastAsia"/>
              <w:noProof/>
              <w:sz w:val="22"/>
              <w:lang w:val="pl-PL" w:eastAsia="pl-PL"/>
            </w:rPr>
          </w:pPr>
          <w:hyperlink w:anchor="_Toc69725433" w:history="1">
            <w:r w:rsidR="00176303" w:rsidRPr="008766C8">
              <w:rPr>
                <w:rStyle w:val="Hipercze"/>
                <w:noProof/>
                <w:lang w:val="en-US"/>
              </w:rPr>
              <w:t>2.</w:t>
            </w:r>
            <w:r w:rsidR="00176303">
              <w:rPr>
                <w:rFonts w:eastAsiaTheme="minorEastAsia"/>
                <w:noProof/>
                <w:sz w:val="22"/>
                <w:lang w:val="pl-PL" w:eastAsia="pl-PL"/>
              </w:rPr>
              <w:tab/>
            </w:r>
            <w:r w:rsidR="00176303" w:rsidRPr="008766C8">
              <w:rPr>
                <w:rStyle w:val="Hipercze"/>
                <w:noProof/>
                <w:lang w:val="en-US"/>
              </w:rPr>
              <w:t>PORTRET STATYSTYCZNY OBSZARU PARTNERSTWA</w:t>
            </w:r>
            <w:r w:rsidR="00176303">
              <w:rPr>
                <w:noProof/>
                <w:webHidden/>
              </w:rPr>
              <w:tab/>
            </w:r>
            <w:r w:rsidR="00176303">
              <w:rPr>
                <w:noProof/>
                <w:webHidden/>
              </w:rPr>
              <w:fldChar w:fldCharType="begin"/>
            </w:r>
            <w:r w:rsidR="00176303">
              <w:rPr>
                <w:noProof/>
                <w:webHidden/>
              </w:rPr>
              <w:instrText xml:space="preserve"> PAGEREF _Toc69725433 \h </w:instrText>
            </w:r>
            <w:r w:rsidR="00176303">
              <w:rPr>
                <w:noProof/>
                <w:webHidden/>
              </w:rPr>
            </w:r>
            <w:r w:rsidR="00176303">
              <w:rPr>
                <w:noProof/>
                <w:webHidden/>
              </w:rPr>
              <w:fldChar w:fldCharType="separate"/>
            </w:r>
            <w:r>
              <w:rPr>
                <w:noProof/>
                <w:webHidden/>
              </w:rPr>
              <w:t>39</w:t>
            </w:r>
            <w:r w:rsidR="00176303">
              <w:rPr>
                <w:noProof/>
                <w:webHidden/>
              </w:rPr>
              <w:fldChar w:fldCharType="end"/>
            </w:r>
          </w:hyperlink>
        </w:p>
        <w:p w14:paraId="238A3B3F" w14:textId="0FA954D7" w:rsidR="00176303" w:rsidRDefault="00B14787">
          <w:pPr>
            <w:pStyle w:val="Spistreci2"/>
            <w:tabs>
              <w:tab w:val="left" w:pos="880"/>
              <w:tab w:val="right" w:leader="dot" w:pos="9060"/>
            </w:tabs>
            <w:rPr>
              <w:rFonts w:eastAsiaTheme="minorEastAsia"/>
              <w:noProof/>
              <w:sz w:val="22"/>
              <w:lang w:val="pl-PL" w:eastAsia="pl-PL"/>
            </w:rPr>
          </w:pPr>
          <w:hyperlink w:anchor="_Toc69725434" w:history="1">
            <w:r w:rsidR="00176303" w:rsidRPr="008766C8">
              <w:rPr>
                <w:rStyle w:val="Hipercze"/>
                <w:noProof/>
                <w:lang w:val="pl-PL"/>
              </w:rPr>
              <w:t>2.1.</w:t>
            </w:r>
            <w:r w:rsidR="00176303">
              <w:rPr>
                <w:rFonts w:eastAsiaTheme="minorEastAsia"/>
                <w:noProof/>
                <w:sz w:val="22"/>
                <w:lang w:val="pl-PL" w:eastAsia="pl-PL"/>
              </w:rPr>
              <w:tab/>
            </w:r>
            <w:r w:rsidR="00176303" w:rsidRPr="008766C8">
              <w:rPr>
                <w:rStyle w:val="Hipercze"/>
                <w:noProof/>
                <w:lang w:val="pl-PL"/>
              </w:rPr>
              <w:t>Analiza ogólna obszaru Partnerstwa</w:t>
            </w:r>
            <w:r w:rsidR="00176303">
              <w:rPr>
                <w:noProof/>
                <w:webHidden/>
              </w:rPr>
              <w:tab/>
            </w:r>
            <w:r w:rsidR="00176303">
              <w:rPr>
                <w:noProof/>
                <w:webHidden/>
              </w:rPr>
              <w:fldChar w:fldCharType="begin"/>
            </w:r>
            <w:r w:rsidR="00176303">
              <w:rPr>
                <w:noProof/>
                <w:webHidden/>
              </w:rPr>
              <w:instrText xml:space="preserve"> PAGEREF _Toc69725434 \h </w:instrText>
            </w:r>
            <w:r w:rsidR="00176303">
              <w:rPr>
                <w:noProof/>
                <w:webHidden/>
              </w:rPr>
            </w:r>
            <w:r w:rsidR="00176303">
              <w:rPr>
                <w:noProof/>
                <w:webHidden/>
              </w:rPr>
              <w:fldChar w:fldCharType="separate"/>
            </w:r>
            <w:r>
              <w:rPr>
                <w:noProof/>
                <w:webHidden/>
              </w:rPr>
              <w:t>39</w:t>
            </w:r>
            <w:r w:rsidR="00176303">
              <w:rPr>
                <w:noProof/>
                <w:webHidden/>
              </w:rPr>
              <w:fldChar w:fldCharType="end"/>
            </w:r>
          </w:hyperlink>
        </w:p>
        <w:p w14:paraId="090FB59C" w14:textId="29B7E465" w:rsidR="00176303" w:rsidRDefault="00B14787">
          <w:pPr>
            <w:pStyle w:val="Spistreci2"/>
            <w:tabs>
              <w:tab w:val="left" w:pos="880"/>
              <w:tab w:val="right" w:leader="dot" w:pos="9060"/>
            </w:tabs>
            <w:rPr>
              <w:rFonts w:eastAsiaTheme="minorEastAsia"/>
              <w:noProof/>
              <w:sz w:val="22"/>
              <w:lang w:val="pl-PL" w:eastAsia="pl-PL"/>
            </w:rPr>
          </w:pPr>
          <w:hyperlink w:anchor="_Toc69725435" w:history="1">
            <w:r w:rsidR="00176303" w:rsidRPr="008766C8">
              <w:rPr>
                <w:rStyle w:val="Hipercze"/>
                <w:noProof/>
                <w:lang w:val="pl-PL"/>
              </w:rPr>
              <w:t>2.2.</w:t>
            </w:r>
            <w:r w:rsidR="00176303">
              <w:rPr>
                <w:rFonts w:eastAsiaTheme="minorEastAsia"/>
                <w:noProof/>
                <w:sz w:val="22"/>
                <w:lang w:val="pl-PL" w:eastAsia="pl-PL"/>
              </w:rPr>
              <w:tab/>
            </w:r>
            <w:r w:rsidR="00176303" w:rsidRPr="008766C8">
              <w:rPr>
                <w:rStyle w:val="Hipercze"/>
                <w:noProof/>
                <w:lang w:val="pl-PL"/>
              </w:rPr>
              <w:t>Analiza pogłębiona obszaru Partnerstwa - wymiar społeczny</w:t>
            </w:r>
            <w:r w:rsidR="00176303">
              <w:rPr>
                <w:noProof/>
                <w:webHidden/>
              </w:rPr>
              <w:tab/>
            </w:r>
            <w:r w:rsidR="00176303">
              <w:rPr>
                <w:noProof/>
                <w:webHidden/>
              </w:rPr>
              <w:fldChar w:fldCharType="begin"/>
            </w:r>
            <w:r w:rsidR="00176303">
              <w:rPr>
                <w:noProof/>
                <w:webHidden/>
              </w:rPr>
              <w:instrText xml:space="preserve"> PAGEREF _Toc69725435 \h </w:instrText>
            </w:r>
            <w:r w:rsidR="00176303">
              <w:rPr>
                <w:noProof/>
                <w:webHidden/>
              </w:rPr>
            </w:r>
            <w:r w:rsidR="00176303">
              <w:rPr>
                <w:noProof/>
                <w:webHidden/>
              </w:rPr>
              <w:fldChar w:fldCharType="separate"/>
            </w:r>
            <w:r>
              <w:rPr>
                <w:noProof/>
                <w:webHidden/>
              </w:rPr>
              <w:t>42</w:t>
            </w:r>
            <w:r w:rsidR="00176303">
              <w:rPr>
                <w:noProof/>
                <w:webHidden/>
              </w:rPr>
              <w:fldChar w:fldCharType="end"/>
            </w:r>
          </w:hyperlink>
        </w:p>
        <w:p w14:paraId="3AB6CD5B" w14:textId="6C0A967F" w:rsidR="00176303" w:rsidRDefault="00B14787">
          <w:pPr>
            <w:pStyle w:val="Spistreci3"/>
            <w:tabs>
              <w:tab w:val="left" w:pos="1320"/>
              <w:tab w:val="right" w:leader="dot" w:pos="9060"/>
            </w:tabs>
            <w:rPr>
              <w:rFonts w:eastAsiaTheme="minorEastAsia"/>
              <w:noProof/>
              <w:sz w:val="22"/>
              <w:lang w:val="pl-PL" w:eastAsia="pl-PL"/>
            </w:rPr>
          </w:pPr>
          <w:hyperlink w:anchor="_Toc69725436" w:history="1">
            <w:r w:rsidR="00176303" w:rsidRPr="008766C8">
              <w:rPr>
                <w:rStyle w:val="Hipercze"/>
                <w:noProof/>
                <w:lang w:val="pl-PL"/>
              </w:rPr>
              <w:t>2.2.1.</w:t>
            </w:r>
            <w:r w:rsidR="00176303">
              <w:rPr>
                <w:rFonts w:eastAsiaTheme="minorEastAsia"/>
                <w:noProof/>
                <w:sz w:val="22"/>
                <w:lang w:val="pl-PL" w:eastAsia="pl-PL"/>
              </w:rPr>
              <w:tab/>
            </w:r>
            <w:r w:rsidR="00176303" w:rsidRPr="008766C8">
              <w:rPr>
                <w:rStyle w:val="Hipercze"/>
                <w:noProof/>
                <w:lang w:val="pl-PL"/>
              </w:rPr>
              <w:t>Sytuacja demograficzna na obszarze Partnerstwa</w:t>
            </w:r>
            <w:r w:rsidR="00176303">
              <w:rPr>
                <w:noProof/>
                <w:webHidden/>
              </w:rPr>
              <w:tab/>
            </w:r>
            <w:r w:rsidR="00176303">
              <w:rPr>
                <w:noProof/>
                <w:webHidden/>
              </w:rPr>
              <w:fldChar w:fldCharType="begin"/>
            </w:r>
            <w:r w:rsidR="00176303">
              <w:rPr>
                <w:noProof/>
                <w:webHidden/>
              </w:rPr>
              <w:instrText xml:space="preserve"> PAGEREF _Toc69725436 \h </w:instrText>
            </w:r>
            <w:r w:rsidR="00176303">
              <w:rPr>
                <w:noProof/>
                <w:webHidden/>
              </w:rPr>
            </w:r>
            <w:r w:rsidR="00176303">
              <w:rPr>
                <w:noProof/>
                <w:webHidden/>
              </w:rPr>
              <w:fldChar w:fldCharType="separate"/>
            </w:r>
            <w:r>
              <w:rPr>
                <w:noProof/>
                <w:webHidden/>
              </w:rPr>
              <w:t>44</w:t>
            </w:r>
            <w:r w:rsidR="00176303">
              <w:rPr>
                <w:noProof/>
                <w:webHidden/>
              </w:rPr>
              <w:fldChar w:fldCharType="end"/>
            </w:r>
          </w:hyperlink>
        </w:p>
        <w:p w14:paraId="11F0F1EE" w14:textId="2162B487" w:rsidR="00176303" w:rsidRDefault="00B14787">
          <w:pPr>
            <w:pStyle w:val="Spistreci3"/>
            <w:tabs>
              <w:tab w:val="left" w:pos="1320"/>
              <w:tab w:val="right" w:leader="dot" w:pos="9060"/>
            </w:tabs>
            <w:rPr>
              <w:rFonts w:eastAsiaTheme="minorEastAsia"/>
              <w:noProof/>
              <w:sz w:val="22"/>
              <w:lang w:val="pl-PL" w:eastAsia="pl-PL"/>
            </w:rPr>
          </w:pPr>
          <w:hyperlink w:anchor="_Toc69725437" w:history="1">
            <w:r w:rsidR="00176303" w:rsidRPr="008766C8">
              <w:rPr>
                <w:rStyle w:val="Hipercze"/>
                <w:noProof/>
                <w:lang w:val="pl-PL"/>
              </w:rPr>
              <w:t>2.2.2.</w:t>
            </w:r>
            <w:r w:rsidR="00176303">
              <w:rPr>
                <w:rFonts w:eastAsiaTheme="minorEastAsia"/>
                <w:noProof/>
                <w:sz w:val="22"/>
                <w:lang w:val="pl-PL" w:eastAsia="pl-PL"/>
              </w:rPr>
              <w:tab/>
            </w:r>
            <w:r w:rsidR="00176303" w:rsidRPr="008766C8">
              <w:rPr>
                <w:rStyle w:val="Hipercze"/>
                <w:bCs/>
                <w:iCs/>
                <w:noProof/>
                <w:lang w:val="pl-PL"/>
              </w:rPr>
              <w:t>Dostępność i jakość usług i infrastruktury</w:t>
            </w:r>
            <w:r w:rsidR="00176303">
              <w:rPr>
                <w:noProof/>
                <w:webHidden/>
              </w:rPr>
              <w:tab/>
            </w:r>
            <w:r w:rsidR="00176303">
              <w:rPr>
                <w:noProof/>
                <w:webHidden/>
              </w:rPr>
              <w:fldChar w:fldCharType="begin"/>
            </w:r>
            <w:r w:rsidR="00176303">
              <w:rPr>
                <w:noProof/>
                <w:webHidden/>
              </w:rPr>
              <w:instrText xml:space="preserve"> PAGEREF _Toc69725437 \h </w:instrText>
            </w:r>
            <w:r w:rsidR="00176303">
              <w:rPr>
                <w:noProof/>
                <w:webHidden/>
              </w:rPr>
            </w:r>
            <w:r w:rsidR="00176303">
              <w:rPr>
                <w:noProof/>
                <w:webHidden/>
              </w:rPr>
              <w:fldChar w:fldCharType="separate"/>
            </w:r>
            <w:r>
              <w:rPr>
                <w:noProof/>
                <w:webHidden/>
              </w:rPr>
              <w:t>55</w:t>
            </w:r>
            <w:r w:rsidR="00176303">
              <w:rPr>
                <w:noProof/>
                <w:webHidden/>
              </w:rPr>
              <w:fldChar w:fldCharType="end"/>
            </w:r>
          </w:hyperlink>
        </w:p>
        <w:p w14:paraId="637DF114" w14:textId="7E790CDE" w:rsidR="00176303" w:rsidRDefault="00B14787">
          <w:pPr>
            <w:pStyle w:val="Spistreci3"/>
            <w:tabs>
              <w:tab w:val="left" w:pos="1320"/>
              <w:tab w:val="right" w:leader="dot" w:pos="9060"/>
            </w:tabs>
            <w:rPr>
              <w:rFonts w:eastAsiaTheme="minorEastAsia"/>
              <w:noProof/>
              <w:sz w:val="22"/>
              <w:lang w:val="pl-PL" w:eastAsia="pl-PL"/>
            </w:rPr>
          </w:pPr>
          <w:hyperlink w:anchor="_Toc69725438" w:history="1">
            <w:r w:rsidR="00176303" w:rsidRPr="008766C8">
              <w:rPr>
                <w:rStyle w:val="Hipercze"/>
                <w:noProof/>
                <w:lang w:val="pl-PL"/>
              </w:rPr>
              <w:t>2.2.3.</w:t>
            </w:r>
            <w:r w:rsidR="00176303">
              <w:rPr>
                <w:rFonts w:eastAsiaTheme="minorEastAsia"/>
                <w:noProof/>
                <w:sz w:val="22"/>
                <w:lang w:val="pl-PL" w:eastAsia="pl-PL"/>
              </w:rPr>
              <w:tab/>
            </w:r>
            <w:r w:rsidR="00176303" w:rsidRPr="008766C8">
              <w:rPr>
                <w:rStyle w:val="Hipercze"/>
                <w:noProof/>
                <w:lang w:val="pl-PL"/>
              </w:rPr>
              <w:t>Dostępność i jakość zasobów mieszkaniowych</w:t>
            </w:r>
            <w:r w:rsidR="00176303">
              <w:rPr>
                <w:noProof/>
                <w:webHidden/>
              </w:rPr>
              <w:tab/>
            </w:r>
            <w:r w:rsidR="00176303">
              <w:rPr>
                <w:noProof/>
                <w:webHidden/>
              </w:rPr>
              <w:fldChar w:fldCharType="begin"/>
            </w:r>
            <w:r w:rsidR="00176303">
              <w:rPr>
                <w:noProof/>
                <w:webHidden/>
              </w:rPr>
              <w:instrText xml:space="preserve"> PAGEREF _Toc69725438 \h </w:instrText>
            </w:r>
            <w:r w:rsidR="00176303">
              <w:rPr>
                <w:noProof/>
                <w:webHidden/>
              </w:rPr>
            </w:r>
            <w:r w:rsidR="00176303">
              <w:rPr>
                <w:noProof/>
                <w:webHidden/>
              </w:rPr>
              <w:fldChar w:fldCharType="separate"/>
            </w:r>
            <w:r>
              <w:rPr>
                <w:noProof/>
                <w:webHidden/>
              </w:rPr>
              <w:t>63</w:t>
            </w:r>
            <w:r w:rsidR="00176303">
              <w:rPr>
                <w:noProof/>
                <w:webHidden/>
              </w:rPr>
              <w:fldChar w:fldCharType="end"/>
            </w:r>
          </w:hyperlink>
        </w:p>
        <w:p w14:paraId="71968040" w14:textId="1AF2E0C3" w:rsidR="00176303" w:rsidRDefault="00B14787">
          <w:pPr>
            <w:pStyle w:val="Spistreci3"/>
            <w:tabs>
              <w:tab w:val="left" w:pos="1320"/>
              <w:tab w:val="right" w:leader="dot" w:pos="9060"/>
            </w:tabs>
            <w:rPr>
              <w:rFonts w:eastAsiaTheme="minorEastAsia"/>
              <w:noProof/>
              <w:sz w:val="22"/>
              <w:lang w:val="pl-PL" w:eastAsia="pl-PL"/>
            </w:rPr>
          </w:pPr>
          <w:hyperlink w:anchor="_Toc69725439" w:history="1">
            <w:r w:rsidR="00176303" w:rsidRPr="008766C8">
              <w:rPr>
                <w:rStyle w:val="Hipercze"/>
                <w:noProof/>
                <w:lang w:val="en-US"/>
              </w:rPr>
              <w:t>2.2.4.</w:t>
            </w:r>
            <w:r w:rsidR="00176303">
              <w:rPr>
                <w:rFonts w:eastAsiaTheme="minorEastAsia"/>
                <w:noProof/>
                <w:sz w:val="22"/>
                <w:lang w:val="pl-PL" w:eastAsia="pl-PL"/>
              </w:rPr>
              <w:tab/>
            </w:r>
            <w:r w:rsidR="00176303" w:rsidRPr="008766C8">
              <w:rPr>
                <w:rStyle w:val="Hipercze"/>
                <w:noProof/>
                <w:lang w:val="en-US"/>
              </w:rPr>
              <w:t>Bezpieczeństwo mieszkańców</w:t>
            </w:r>
            <w:r w:rsidR="00176303">
              <w:rPr>
                <w:noProof/>
                <w:webHidden/>
              </w:rPr>
              <w:tab/>
            </w:r>
            <w:r w:rsidR="00176303">
              <w:rPr>
                <w:noProof/>
                <w:webHidden/>
              </w:rPr>
              <w:fldChar w:fldCharType="begin"/>
            </w:r>
            <w:r w:rsidR="00176303">
              <w:rPr>
                <w:noProof/>
                <w:webHidden/>
              </w:rPr>
              <w:instrText xml:space="preserve"> PAGEREF _Toc69725439 \h </w:instrText>
            </w:r>
            <w:r w:rsidR="00176303">
              <w:rPr>
                <w:noProof/>
                <w:webHidden/>
              </w:rPr>
            </w:r>
            <w:r w:rsidR="00176303">
              <w:rPr>
                <w:noProof/>
                <w:webHidden/>
              </w:rPr>
              <w:fldChar w:fldCharType="separate"/>
            </w:r>
            <w:r>
              <w:rPr>
                <w:noProof/>
                <w:webHidden/>
              </w:rPr>
              <w:t>65</w:t>
            </w:r>
            <w:r w:rsidR="00176303">
              <w:rPr>
                <w:noProof/>
                <w:webHidden/>
              </w:rPr>
              <w:fldChar w:fldCharType="end"/>
            </w:r>
          </w:hyperlink>
        </w:p>
        <w:p w14:paraId="35C31E59" w14:textId="6B89A1C0" w:rsidR="00176303" w:rsidRDefault="00B14787">
          <w:pPr>
            <w:pStyle w:val="Spistreci3"/>
            <w:tabs>
              <w:tab w:val="left" w:pos="1320"/>
              <w:tab w:val="right" w:leader="dot" w:pos="9060"/>
            </w:tabs>
            <w:rPr>
              <w:rFonts w:eastAsiaTheme="minorEastAsia"/>
              <w:noProof/>
              <w:sz w:val="22"/>
              <w:lang w:val="pl-PL" w:eastAsia="pl-PL"/>
            </w:rPr>
          </w:pPr>
          <w:hyperlink w:anchor="_Toc69725440" w:history="1">
            <w:r w:rsidR="00176303" w:rsidRPr="008766C8">
              <w:rPr>
                <w:rStyle w:val="Hipercze"/>
                <w:noProof/>
                <w:lang w:val="pl-PL"/>
              </w:rPr>
              <w:t>2.2.5.</w:t>
            </w:r>
            <w:r w:rsidR="00176303">
              <w:rPr>
                <w:rFonts w:eastAsiaTheme="minorEastAsia"/>
                <w:noProof/>
                <w:sz w:val="22"/>
                <w:lang w:val="pl-PL" w:eastAsia="pl-PL"/>
              </w:rPr>
              <w:tab/>
            </w:r>
            <w:r w:rsidR="00176303" w:rsidRPr="008766C8">
              <w:rPr>
                <w:rStyle w:val="Hipercze"/>
                <w:noProof/>
                <w:lang w:val="pl-PL"/>
              </w:rPr>
              <w:t>Zasoby instytucjonalne, integracja i kapitał społeczny (w tym współpraca z kluczowymi partnerami instytucjonalnymi)</w:t>
            </w:r>
            <w:r w:rsidR="00176303">
              <w:rPr>
                <w:noProof/>
                <w:webHidden/>
              </w:rPr>
              <w:tab/>
            </w:r>
            <w:r w:rsidR="00176303">
              <w:rPr>
                <w:noProof/>
                <w:webHidden/>
              </w:rPr>
              <w:fldChar w:fldCharType="begin"/>
            </w:r>
            <w:r w:rsidR="00176303">
              <w:rPr>
                <w:noProof/>
                <w:webHidden/>
              </w:rPr>
              <w:instrText xml:space="preserve"> PAGEREF _Toc69725440 \h </w:instrText>
            </w:r>
            <w:r w:rsidR="00176303">
              <w:rPr>
                <w:noProof/>
                <w:webHidden/>
              </w:rPr>
            </w:r>
            <w:r w:rsidR="00176303">
              <w:rPr>
                <w:noProof/>
                <w:webHidden/>
              </w:rPr>
              <w:fldChar w:fldCharType="separate"/>
            </w:r>
            <w:r>
              <w:rPr>
                <w:noProof/>
                <w:webHidden/>
              </w:rPr>
              <w:t>72</w:t>
            </w:r>
            <w:r w:rsidR="00176303">
              <w:rPr>
                <w:noProof/>
                <w:webHidden/>
              </w:rPr>
              <w:fldChar w:fldCharType="end"/>
            </w:r>
          </w:hyperlink>
        </w:p>
        <w:p w14:paraId="197002FE" w14:textId="6BBCD1E5" w:rsidR="00176303" w:rsidRDefault="00B14787">
          <w:pPr>
            <w:pStyle w:val="Spistreci3"/>
            <w:tabs>
              <w:tab w:val="left" w:pos="1320"/>
              <w:tab w:val="right" w:leader="dot" w:pos="9060"/>
            </w:tabs>
            <w:rPr>
              <w:rFonts w:eastAsiaTheme="minorEastAsia"/>
              <w:noProof/>
              <w:sz w:val="22"/>
              <w:lang w:val="pl-PL" w:eastAsia="pl-PL"/>
            </w:rPr>
          </w:pPr>
          <w:hyperlink w:anchor="_Toc69725441" w:history="1">
            <w:r w:rsidR="00176303" w:rsidRPr="008766C8">
              <w:rPr>
                <w:rStyle w:val="Hipercze"/>
                <w:noProof/>
                <w:lang w:val="en-US"/>
              </w:rPr>
              <w:t>2.2.6.</w:t>
            </w:r>
            <w:r w:rsidR="00176303">
              <w:rPr>
                <w:rFonts w:eastAsiaTheme="minorEastAsia"/>
                <w:noProof/>
                <w:sz w:val="22"/>
                <w:lang w:val="pl-PL" w:eastAsia="pl-PL"/>
              </w:rPr>
              <w:tab/>
            </w:r>
            <w:r w:rsidR="00176303" w:rsidRPr="008766C8">
              <w:rPr>
                <w:rStyle w:val="Hipercze"/>
                <w:noProof/>
                <w:lang w:val="en-US"/>
              </w:rPr>
              <w:t>Podsumowanie</w:t>
            </w:r>
            <w:r w:rsidR="00176303">
              <w:rPr>
                <w:noProof/>
                <w:webHidden/>
              </w:rPr>
              <w:tab/>
            </w:r>
            <w:r w:rsidR="00176303">
              <w:rPr>
                <w:noProof/>
                <w:webHidden/>
              </w:rPr>
              <w:fldChar w:fldCharType="begin"/>
            </w:r>
            <w:r w:rsidR="00176303">
              <w:rPr>
                <w:noProof/>
                <w:webHidden/>
              </w:rPr>
              <w:instrText xml:space="preserve"> PAGEREF _Toc69725441 \h </w:instrText>
            </w:r>
            <w:r w:rsidR="00176303">
              <w:rPr>
                <w:noProof/>
                <w:webHidden/>
              </w:rPr>
            </w:r>
            <w:r w:rsidR="00176303">
              <w:rPr>
                <w:noProof/>
                <w:webHidden/>
              </w:rPr>
              <w:fldChar w:fldCharType="separate"/>
            </w:r>
            <w:r>
              <w:rPr>
                <w:noProof/>
                <w:webHidden/>
              </w:rPr>
              <w:t>89</w:t>
            </w:r>
            <w:r w:rsidR="00176303">
              <w:rPr>
                <w:noProof/>
                <w:webHidden/>
              </w:rPr>
              <w:fldChar w:fldCharType="end"/>
            </w:r>
          </w:hyperlink>
        </w:p>
        <w:p w14:paraId="792F88C3" w14:textId="349298EF" w:rsidR="00176303" w:rsidRDefault="00B14787">
          <w:pPr>
            <w:pStyle w:val="Spistreci2"/>
            <w:tabs>
              <w:tab w:val="left" w:pos="880"/>
              <w:tab w:val="right" w:leader="dot" w:pos="9060"/>
            </w:tabs>
            <w:rPr>
              <w:rFonts w:eastAsiaTheme="minorEastAsia"/>
              <w:noProof/>
              <w:sz w:val="22"/>
              <w:lang w:val="pl-PL" w:eastAsia="pl-PL"/>
            </w:rPr>
          </w:pPr>
          <w:hyperlink w:anchor="_Toc69725442" w:history="1">
            <w:r w:rsidR="00176303" w:rsidRPr="008766C8">
              <w:rPr>
                <w:rStyle w:val="Hipercze"/>
                <w:noProof/>
                <w:lang w:val="pl-PL"/>
              </w:rPr>
              <w:t>2.3.</w:t>
            </w:r>
            <w:r w:rsidR="00176303">
              <w:rPr>
                <w:rFonts w:eastAsiaTheme="minorEastAsia"/>
                <w:noProof/>
                <w:sz w:val="22"/>
                <w:lang w:val="pl-PL" w:eastAsia="pl-PL"/>
              </w:rPr>
              <w:tab/>
            </w:r>
            <w:r w:rsidR="00176303" w:rsidRPr="008766C8">
              <w:rPr>
                <w:rStyle w:val="Hipercze"/>
                <w:noProof/>
                <w:lang w:val="pl-PL"/>
              </w:rPr>
              <w:t>Analiza pogłębiona obszaru Partnerstwa - wymiar gospodarczy</w:t>
            </w:r>
            <w:r w:rsidR="00176303">
              <w:rPr>
                <w:noProof/>
                <w:webHidden/>
              </w:rPr>
              <w:tab/>
            </w:r>
            <w:r w:rsidR="00176303">
              <w:rPr>
                <w:noProof/>
                <w:webHidden/>
              </w:rPr>
              <w:fldChar w:fldCharType="begin"/>
            </w:r>
            <w:r w:rsidR="00176303">
              <w:rPr>
                <w:noProof/>
                <w:webHidden/>
              </w:rPr>
              <w:instrText xml:space="preserve"> PAGEREF _Toc69725442 \h </w:instrText>
            </w:r>
            <w:r w:rsidR="00176303">
              <w:rPr>
                <w:noProof/>
                <w:webHidden/>
              </w:rPr>
            </w:r>
            <w:r w:rsidR="00176303">
              <w:rPr>
                <w:noProof/>
                <w:webHidden/>
              </w:rPr>
              <w:fldChar w:fldCharType="separate"/>
            </w:r>
            <w:r>
              <w:rPr>
                <w:noProof/>
                <w:webHidden/>
              </w:rPr>
              <w:t>92</w:t>
            </w:r>
            <w:r w:rsidR="00176303">
              <w:rPr>
                <w:noProof/>
                <w:webHidden/>
              </w:rPr>
              <w:fldChar w:fldCharType="end"/>
            </w:r>
          </w:hyperlink>
        </w:p>
        <w:p w14:paraId="2F9E8D6A" w14:textId="7703C9E9" w:rsidR="00176303" w:rsidRDefault="00B14787">
          <w:pPr>
            <w:pStyle w:val="Spistreci3"/>
            <w:tabs>
              <w:tab w:val="left" w:pos="1320"/>
              <w:tab w:val="right" w:leader="dot" w:pos="9060"/>
            </w:tabs>
            <w:rPr>
              <w:rFonts w:eastAsiaTheme="minorEastAsia"/>
              <w:noProof/>
              <w:sz w:val="22"/>
              <w:lang w:val="pl-PL" w:eastAsia="pl-PL"/>
            </w:rPr>
          </w:pPr>
          <w:hyperlink w:anchor="_Toc69725443" w:history="1">
            <w:r w:rsidR="00176303" w:rsidRPr="008766C8">
              <w:rPr>
                <w:rStyle w:val="Hipercze"/>
                <w:noProof/>
                <w:lang w:val="pl-PL"/>
              </w:rPr>
              <w:t>2.3.1.</w:t>
            </w:r>
            <w:r w:rsidR="00176303">
              <w:rPr>
                <w:rFonts w:eastAsiaTheme="minorEastAsia"/>
                <w:noProof/>
                <w:sz w:val="22"/>
                <w:lang w:val="pl-PL" w:eastAsia="pl-PL"/>
              </w:rPr>
              <w:tab/>
            </w:r>
            <w:r w:rsidR="00176303" w:rsidRPr="008766C8">
              <w:rPr>
                <w:rStyle w:val="Hipercze"/>
                <w:noProof/>
                <w:lang w:val="pl-PL"/>
              </w:rPr>
              <w:t>Potencjał i konkurencyjność lokalnej gospodarki</w:t>
            </w:r>
            <w:r w:rsidR="00176303">
              <w:rPr>
                <w:noProof/>
                <w:webHidden/>
              </w:rPr>
              <w:tab/>
            </w:r>
            <w:r w:rsidR="00176303">
              <w:rPr>
                <w:noProof/>
                <w:webHidden/>
              </w:rPr>
              <w:fldChar w:fldCharType="begin"/>
            </w:r>
            <w:r w:rsidR="00176303">
              <w:rPr>
                <w:noProof/>
                <w:webHidden/>
              </w:rPr>
              <w:instrText xml:space="preserve"> PAGEREF _Toc69725443 \h </w:instrText>
            </w:r>
            <w:r w:rsidR="00176303">
              <w:rPr>
                <w:noProof/>
                <w:webHidden/>
              </w:rPr>
            </w:r>
            <w:r w:rsidR="00176303">
              <w:rPr>
                <w:noProof/>
                <w:webHidden/>
              </w:rPr>
              <w:fldChar w:fldCharType="separate"/>
            </w:r>
            <w:r>
              <w:rPr>
                <w:noProof/>
                <w:webHidden/>
              </w:rPr>
              <w:t>94</w:t>
            </w:r>
            <w:r w:rsidR="00176303">
              <w:rPr>
                <w:noProof/>
                <w:webHidden/>
              </w:rPr>
              <w:fldChar w:fldCharType="end"/>
            </w:r>
          </w:hyperlink>
        </w:p>
        <w:p w14:paraId="70A3D6A0" w14:textId="6AF63A37" w:rsidR="00176303" w:rsidRDefault="00B14787">
          <w:pPr>
            <w:pStyle w:val="Spistreci3"/>
            <w:tabs>
              <w:tab w:val="left" w:pos="1320"/>
              <w:tab w:val="right" w:leader="dot" w:pos="9060"/>
            </w:tabs>
            <w:rPr>
              <w:rFonts w:eastAsiaTheme="minorEastAsia"/>
              <w:noProof/>
              <w:sz w:val="22"/>
              <w:lang w:val="pl-PL" w:eastAsia="pl-PL"/>
            </w:rPr>
          </w:pPr>
          <w:hyperlink w:anchor="_Toc69725444" w:history="1">
            <w:r w:rsidR="00176303" w:rsidRPr="008766C8">
              <w:rPr>
                <w:rStyle w:val="Hipercze"/>
                <w:noProof/>
                <w:lang w:val="pl-PL"/>
              </w:rPr>
              <w:t>2.3.2.</w:t>
            </w:r>
            <w:r w:rsidR="00176303">
              <w:rPr>
                <w:rFonts w:eastAsiaTheme="minorEastAsia"/>
                <w:noProof/>
                <w:sz w:val="22"/>
                <w:lang w:val="pl-PL" w:eastAsia="pl-PL"/>
              </w:rPr>
              <w:tab/>
            </w:r>
            <w:r w:rsidR="00176303" w:rsidRPr="008766C8">
              <w:rPr>
                <w:rStyle w:val="Hipercze"/>
                <w:noProof/>
                <w:lang w:val="pl-PL"/>
              </w:rPr>
              <w:t>Rynek pracy i kwalifikacje siły roboczej</w:t>
            </w:r>
            <w:r w:rsidR="00176303">
              <w:rPr>
                <w:noProof/>
                <w:webHidden/>
              </w:rPr>
              <w:tab/>
            </w:r>
            <w:r w:rsidR="00176303">
              <w:rPr>
                <w:noProof/>
                <w:webHidden/>
              </w:rPr>
              <w:fldChar w:fldCharType="begin"/>
            </w:r>
            <w:r w:rsidR="00176303">
              <w:rPr>
                <w:noProof/>
                <w:webHidden/>
              </w:rPr>
              <w:instrText xml:space="preserve"> PAGEREF _Toc69725444 \h </w:instrText>
            </w:r>
            <w:r w:rsidR="00176303">
              <w:rPr>
                <w:noProof/>
                <w:webHidden/>
              </w:rPr>
            </w:r>
            <w:r w:rsidR="00176303">
              <w:rPr>
                <w:noProof/>
                <w:webHidden/>
              </w:rPr>
              <w:fldChar w:fldCharType="separate"/>
            </w:r>
            <w:r>
              <w:rPr>
                <w:noProof/>
                <w:webHidden/>
              </w:rPr>
              <w:t>107</w:t>
            </w:r>
            <w:r w:rsidR="00176303">
              <w:rPr>
                <w:noProof/>
                <w:webHidden/>
              </w:rPr>
              <w:fldChar w:fldCharType="end"/>
            </w:r>
          </w:hyperlink>
        </w:p>
        <w:p w14:paraId="586D9E07" w14:textId="6980E112" w:rsidR="00176303" w:rsidRDefault="00B14787">
          <w:pPr>
            <w:pStyle w:val="Spistreci3"/>
            <w:tabs>
              <w:tab w:val="left" w:pos="1320"/>
              <w:tab w:val="right" w:leader="dot" w:pos="9060"/>
            </w:tabs>
            <w:rPr>
              <w:rFonts w:eastAsiaTheme="minorEastAsia"/>
              <w:noProof/>
              <w:sz w:val="22"/>
              <w:lang w:val="pl-PL" w:eastAsia="pl-PL"/>
            </w:rPr>
          </w:pPr>
          <w:hyperlink w:anchor="_Toc69725445" w:history="1">
            <w:r w:rsidR="00176303" w:rsidRPr="008766C8">
              <w:rPr>
                <w:rStyle w:val="Hipercze"/>
                <w:noProof/>
                <w:lang w:val="en-US"/>
              </w:rPr>
              <w:t>2.3.3.</w:t>
            </w:r>
            <w:r w:rsidR="00176303">
              <w:rPr>
                <w:rFonts w:eastAsiaTheme="minorEastAsia"/>
                <w:noProof/>
                <w:sz w:val="22"/>
                <w:lang w:val="pl-PL" w:eastAsia="pl-PL"/>
              </w:rPr>
              <w:tab/>
            </w:r>
            <w:r w:rsidR="00176303" w:rsidRPr="008766C8">
              <w:rPr>
                <w:rStyle w:val="Hipercze"/>
                <w:noProof/>
                <w:lang w:val="en-US"/>
              </w:rPr>
              <w:t>Potencjał ekonomiczny społeczności lokalnej</w:t>
            </w:r>
            <w:r w:rsidR="00176303">
              <w:rPr>
                <w:noProof/>
                <w:webHidden/>
              </w:rPr>
              <w:tab/>
            </w:r>
            <w:r w:rsidR="00176303">
              <w:rPr>
                <w:noProof/>
                <w:webHidden/>
              </w:rPr>
              <w:fldChar w:fldCharType="begin"/>
            </w:r>
            <w:r w:rsidR="00176303">
              <w:rPr>
                <w:noProof/>
                <w:webHidden/>
              </w:rPr>
              <w:instrText xml:space="preserve"> PAGEREF _Toc69725445 \h </w:instrText>
            </w:r>
            <w:r w:rsidR="00176303">
              <w:rPr>
                <w:noProof/>
                <w:webHidden/>
              </w:rPr>
            </w:r>
            <w:r w:rsidR="00176303">
              <w:rPr>
                <w:noProof/>
                <w:webHidden/>
              </w:rPr>
              <w:fldChar w:fldCharType="separate"/>
            </w:r>
            <w:r>
              <w:rPr>
                <w:noProof/>
                <w:webHidden/>
              </w:rPr>
              <w:t>116</w:t>
            </w:r>
            <w:r w:rsidR="00176303">
              <w:rPr>
                <w:noProof/>
                <w:webHidden/>
              </w:rPr>
              <w:fldChar w:fldCharType="end"/>
            </w:r>
          </w:hyperlink>
        </w:p>
        <w:p w14:paraId="00544D96" w14:textId="3863E4E6" w:rsidR="00176303" w:rsidRDefault="00B14787">
          <w:pPr>
            <w:pStyle w:val="Spistreci3"/>
            <w:tabs>
              <w:tab w:val="left" w:pos="1320"/>
              <w:tab w:val="right" w:leader="dot" w:pos="9060"/>
            </w:tabs>
            <w:rPr>
              <w:rFonts w:eastAsiaTheme="minorEastAsia"/>
              <w:noProof/>
              <w:sz w:val="22"/>
              <w:lang w:val="pl-PL" w:eastAsia="pl-PL"/>
            </w:rPr>
          </w:pPr>
          <w:hyperlink w:anchor="_Toc69725446" w:history="1">
            <w:r w:rsidR="00176303" w:rsidRPr="008766C8">
              <w:rPr>
                <w:rStyle w:val="Hipercze"/>
                <w:noProof/>
                <w:lang w:val="pl-PL"/>
              </w:rPr>
              <w:t>2.3.4.</w:t>
            </w:r>
            <w:r w:rsidR="00176303">
              <w:rPr>
                <w:rFonts w:eastAsiaTheme="minorEastAsia"/>
                <w:noProof/>
                <w:sz w:val="22"/>
                <w:lang w:val="pl-PL" w:eastAsia="pl-PL"/>
              </w:rPr>
              <w:tab/>
            </w:r>
            <w:r w:rsidR="00176303" w:rsidRPr="008766C8">
              <w:rPr>
                <w:rStyle w:val="Hipercze"/>
                <w:noProof/>
                <w:lang w:val="pl-PL"/>
              </w:rPr>
              <w:t>Zdolność finansowania rozwoju przez członków Partnerstwa</w:t>
            </w:r>
            <w:r w:rsidR="00176303">
              <w:rPr>
                <w:noProof/>
                <w:webHidden/>
              </w:rPr>
              <w:tab/>
            </w:r>
            <w:r w:rsidR="00176303">
              <w:rPr>
                <w:noProof/>
                <w:webHidden/>
              </w:rPr>
              <w:fldChar w:fldCharType="begin"/>
            </w:r>
            <w:r w:rsidR="00176303">
              <w:rPr>
                <w:noProof/>
                <w:webHidden/>
              </w:rPr>
              <w:instrText xml:space="preserve"> PAGEREF _Toc69725446 \h </w:instrText>
            </w:r>
            <w:r w:rsidR="00176303">
              <w:rPr>
                <w:noProof/>
                <w:webHidden/>
              </w:rPr>
            </w:r>
            <w:r w:rsidR="00176303">
              <w:rPr>
                <w:noProof/>
                <w:webHidden/>
              </w:rPr>
              <w:fldChar w:fldCharType="separate"/>
            </w:r>
            <w:r>
              <w:rPr>
                <w:noProof/>
                <w:webHidden/>
              </w:rPr>
              <w:t>118</w:t>
            </w:r>
            <w:r w:rsidR="00176303">
              <w:rPr>
                <w:noProof/>
                <w:webHidden/>
              </w:rPr>
              <w:fldChar w:fldCharType="end"/>
            </w:r>
          </w:hyperlink>
        </w:p>
        <w:p w14:paraId="3D311B34" w14:textId="2AD90602" w:rsidR="00176303" w:rsidRDefault="00B14787">
          <w:pPr>
            <w:pStyle w:val="Spistreci3"/>
            <w:tabs>
              <w:tab w:val="left" w:pos="1320"/>
              <w:tab w:val="right" w:leader="dot" w:pos="9060"/>
            </w:tabs>
            <w:rPr>
              <w:rFonts w:eastAsiaTheme="minorEastAsia"/>
              <w:noProof/>
              <w:sz w:val="22"/>
              <w:lang w:val="pl-PL" w:eastAsia="pl-PL"/>
            </w:rPr>
          </w:pPr>
          <w:hyperlink w:anchor="_Toc69725447" w:history="1">
            <w:r w:rsidR="00176303" w:rsidRPr="008766C8">
              <w:rPr>
                <w:rStyle w:val="Hipercze"/>
                <w:noProof/>
                <w:lang w:val="en-US"/>
              </w:rPr>
              <w:t>2.3.5.</w:t>
            </w:r>
            <w:r w:rsidR="00176303">
              <w:rPr>
                <w:rFonts w:eastAsiaTheme="minorEastAsia"/>
                <w:noProof/>
                <w:sz w:val="22"/>
                <w:lang w:val="pl-PL" w:eastAsia="pl-PL"/>
              </w:rPr>
              <w:tab/>
            </w:r>
            <w:r w:rsidR="00176303" w:rsidRPr="008766C8">
              <w:rPr>
                <w:rStyle w:val="Hipercze"/>
                <w:noProof/>
                <w:lang w:val="en-US"/>
              </w:rPr>
              <w:t>Podsumowanie</w:t>
            </w:r>
            <w:r w:rsidR="00176303">
              <w:rPr>
                <w:noProof/>
                <w:webHidden/>
              </w:rPr>
              <w:tab/>
            </w:r>
            <w:r w:rsidR="00176303">
              <w:rPr>
                <w:noProof/>
                <w:webHidden/>
              </w:rPr>
              <w:fldChar w:fldCharType="begin"/>
            </w:r>
            <w:r w:rsidR="00176303">
              <w:rPr>
                <w:noProof/>
                <w:webHidden/>
              </w:rPr>
              <w:instrText xml:space="preserve"> PAGEREF _Toc69725447 \h </w:instrText>
            </w:r>
            <w:r w:rsidR="00176303">
              <w:rPr>
                <w:noProof/>
                <w:webHidden/>
              </w:rPr>
            </w:r>
            <w:r w:rsidR="00176303">
              <w:rPr>
                <w:noProof/>
                <w:webHidden/>
              </w:rPr>
              <w:fldChar w:fldCharType="separate"/>
            </w:r>
            <w:r>
              <w:rPr>
                <w:noProof/>
                <w:webHidden/>
              </w:rPr>
              <w:t>128</w:t>
            </w:r>
            <w:r w:rsidR="00176303">
              <w:rPr>
                <w:noProof/>
                <w:webHidden/>
              </w:rPr>
              <w:fldChar w:fldCharType="end"/>
            </w:r>
          </w:hyperlink>
        </w:p>
        <w:p w14:paraId="1FED7E13" w14:textId="608700AC" w:rsidR="00176303" w:rsidRDefault="00B14787">
          <w:pPr>
            <w:pStyle w:val="Spistreci2"/>
            <w:tabs>
              <w:tab w:val="left" w:pos="880"/>
              <w:tab w:val="right" w:leader="dot" w:pos="9060"/>
            </w:tabs>
            <w:rPr>
              <w:rFonts w:eastAsiaTheme="minorEastAsia"/>
              <w:noProof/>
              <w:sz w:val="22"/>
              <w:lang w:val="pl-PL" w:eastAsia="pl-PL"/>
            </w:rPr>
          </w:pPr>
          <w:hyperlink w:anchor="_Toc69725448" w:history="1">
            <w:r w:rsidR="00176303" w:rsidRPr="008766C8">
              <w:rPr>
                <w:rStyle w:val="Hipercze"/>
                <w:noProof/>
                <w:lang w:val="pl-PL"/>
              </w:rPr>
              <w:t>2.4.</w:t>
            </w:r>
            <w:r w:rsidR="00176303">
              <w:rPr>
                <w:rFonts w:eastAsiaTheme="minorEastAsia"/>
                <w:noProof/>
                <w:sz w:val="22"/>
                <w:lang w:val="pl-PL" w:eastAsia="pl-PL"/>
              </w:rPr>
              <w:tab/>
            </w:r>
            <w:r w:rsidR="00176303" w:rsidRPr="008766C8">
              <w:rPr>
                <w:rStyle w:val="Hipercze"/>
                <w:noProof/>
                <w:lang w:val="pl-PL"/>
              </w:rPr>
              <w:t>Analiza pogłębiona obszaru Partnerstwa - wymiar środowiskowo-przestrzenny</w:t>
            </w:r>
            <w:r w:rsidR="00176303">
              <w:rPr>
                <w:noProof/>
                <w:webHidden/>
              </w:rPr>
              <w:tab/>
            </w:r>
            <w:r w:rsidR="00176303">
              <w:rPr>
                <w:noProof/>
                <w:webHidden/>
              </w:rPr>
              <w:fldChar w:fldCharType="begin"/>
            </w:r>
            <w:r w:rsidR="00176303">
              <w:rPr>
                <w:noProof/>
                <w:webHidden/>
              </w:rPr>
              <w:instrText xml:space="preserve"> PAGEREF _Toc69725448 \h </w:instrText>
            </w:r>
            <w:r w:rsidR="00176303">
              <w:rPr>
                <w:noProof/>
                <w:webHidden/>
              </w:rPr>
            </w:r>
            <w:r w:rsidR="00176303">
              <w:rPr>
                <w:noProof/>
                <w:webHidden/>
              </w:rPr>
              <w:fldChar w:fldCharType="separate"/>
            </w:r>
            <w:r>
              <w:rPr>
                <w:noProof/>
                <w:webHidden/>
              </w:rPr>
              <w:t>129</w:t>
            </w:r>
            <w:r w:rsidR="00176303">
              <w:rPr>
                <w:noProof/>
                <w:webHidden/>
              </w:rPr>
              <w:fldChar w:fldCharType="end"/>
            </w:r>
          </w:hyperlink>
        </w:p>
        <w:p w14:paraId="750A5B24" w14:textId="3B896B95" w:rsidR="00176303" w:rsidRDefault="00B14787">
          <w:pPr>
            <w:pStyle w:val="Spistreci3"/>
            <w:tabs>
              <w:tab w:val="left" w:pos="1320"/>
              <w:tab w:val="right" w:leader="dot" w:pos="9060"/>
            </w:tabs>
            <w:rPr>
              <w:rFonts w:eastAsiaTheme="minorEastAsia"/>
              <w:noProof/>
              <w:sz w:val="22"/>
              <w:lang w:val="pl-PL" w:eastAsia="pl-PL"/>
            </w:rPr>
          </w:pPr>
          <w:hyperlink w:anchor="_Toc69725449" w:history="1">
            <w:r w:rsidR="00176303" w:rsidRPr="008766C8">
              <w:rPr>
                <w:rStyle w:val="Hipercze"/>
                <w:noProof/>
                <w:lang w:val="en-US"/>
              </w:rPr>
              <w:t>2.4.1.</w:t>
            </w:r>
            <w:r w:rsidR="00176303">
              <w:rPr>
                <w:rFonts w:eastAsiaTheme="minorEastAsia"/>
                <w:noProof/>
                <w:sz w:val="22"/>
                <w:lang w:val="pl-PL" w:eastAsia="pl-PL"/>
              </w:rPr>
              <w:tab/>
            </w:r>
            <w:r w:rsidR="00176303" w:rsidRPr="008766C8">
              <w:rPr>
                <w:rStyle w:val="Hipercze"/>
                <w:noProof/>
                <w:lang w:val="en-US"/>
              </w:rPr>
              <w:t>Lokalne środowisko przyrodnicze</w:t>
            </w:r>
            <w:r w:rsidR="00176303">
              <w:rPr>
                <w:noProof/>
                <w:webHidden/>
              </w:rPr>
              <w:tab/>
            </w:r>
            <w:r w:rsidR="00176303">
              <w:rPr>
                <w:noProof/>
                <w:webHidden/>
              </w:rPr>
              <w:fldChar w:fldCharType="begin"/>
            </w:r>
            <w:r w:rsidR="00176303">
              <w:rPr>
                <w:noProof/>
                <w:webHidden/>
              </w:rPr>
              <w:instrText xml:space="preserve"> PAGEREF _Toc69725449 \h </w:instrText>
            </w:r>
            <w:r w:rsidR="00176303">
              <w:rPr>
                <w:noProof/>
                <w:webHidden/>
              </w:rPr>
            </w:r>
            <w:r w:rsidR="00176303">
              <w:rPr>
                <w:noProof/>
                <w:webHidden/>
              </w:rPr>
              <w:fldChar w:fldCharType="separate"/>
            </w:r>
            <w:r>
              <w:rPr>
                <w:noProof/>
                <w:webHidden/>
              </w:rPr>
              <w:t>131</w:t>
            </w:r>
            <w:r w:rsidR="00176303">
              <w:rPr>
                <w:noProof/>
                <w:webHidden/>
              </w:rPr>
              <w:fldChar w:fldCharType="end"/>
            </w:r>
          </w:hyperlink>
        </w:p>
        <w:p w14:paraId="295775C8" w14:textId="7ECDD48F" w:rsidR="00176303" w:rsidRDefault="00B14787">
          <w:pPr>
            <w:pStyle w:val="Spistreci3"/>
            <w:tabs>
              <w:tab w:val="left" w:pos="1320"/>
              <w:tab w:val="right" w:leader="dot" w:pos="9060"/>
            </w:tabs>
            <w:rPr>
              <w:rFonts w:eastAsiaTheme="minorEastAsia"/>
              <w:noProof/>
              <w:sz w:val="22"/>
              <w:lang w:val="pl-PL" w:eastAsia="pl-PL"/>
            </w:rPr>
          </w:pPr>
          <w:hyperlink w:anchor="_Toc69725450" w:history="1">
            <w:r w:rsidR="00176303" w:rsidRPr="008766C8">
              <w:rPr>
                <w:rStyle w:val="Hipercze"/>
                <w:noProof/>
                <w:lang w:val="pl-PL"/>
              </w:rPr>
              <w:t>2.4.2.</w:t>
            </w:r>
            <w:r w:rsidR="00176303">
              <w:rPr>
                <w:rFonts w:eastAsiaTheme="minorEastAsia"/>
                <w:noProof/>
                <w:sz w:val="22"/>
                <w:lang w:val="pl-PL" w:eastAsia="pl-PL"/>
              </w:rPr>
              <w:tab/>
            </w:r>
            <w:r w:rsidR="00176303" w:rsidRPr="008766C8">
              <w:rPr>
                <w:rStyle w:val="Hipercze"/>
                <w:noProof/>
                <w:lang w:val="pl-PL"/>
              </w:rPr>
              <w:t>Ład i struktura przestrzenna obszaru</w:t>
            </w:r>
            <w:r w:rsidR="00176303">
              <w:rPr>
                <w:noProof/>
                <w:webHidden/>
              </w:rPr>
              <w:tab/>
            </w:r>
            <w:r w:rsidR="00176303">
              <w:rPr>
                <w:noProof/>
                <w:webHidden/>
              </w:rPr>
              <w:fldChar w:fldCharType="begin"/>
            </w:r>
            <w:r w:rsidR="00176303">
              <w:rPr>
                <w:noProof/>
                <w:webHidden/>
              </w:rPr>
              <w:instrText xml:space="preserve"> PAGEREF _Toc69725450 \h </w:instrText>
            </w:r>
            <w:r w:rsidR="00176303">
              <w:rPr>
                <w:noProof/>
                <w:webHidden/>
              </w:rPr>
            </w:r>
            <w:r w:rsidR="00176303">
              <w:rPr>
                <w:noProof/>
                <w:webHidden/>
              </w:rPr>
              <w:fldChar w:fldCharType="separate"/>
            </w:r>
            <w:r>
              <w:rPr>
                <w:noProof/>
                <w:webHidden/>
              </w:rPr>
              <w:t>143</w:t>
            </w:r>
            <w:r w:rsidR="00176303">
              <w:rPr>
                <w:noProof/>
                <w:webHidden/>
              </w:rPr>
              <w:fldChar w:fldCharType="end"/>
            </w:r>
          </w:hyperlink>
        </w:p>
        <w:p w14:paraId="1B4E3D52" w14:textId="247523F3" w:rsidR="00176303" w:rsidRDefault="00B14787">
          <w:pPr>
            <w:pStyle w:val="Spistreci3"/>
            <w:tabs>
              <w:tab w:val="left" w:pos="1320"/>
              <w:tab w:val="right" w:leader="dot" w:pos="9060"/>
            </w:tabs>
            <w:rPr>
              <w:rFonts w:eastAsiaTheme="minorEastAsia"/>
              <w:noProof/>
              <w:sz w:val="22"/>
              <w:lang w:val="pl-PL" w:eastAsia="pl-PL"/>
            </w:rPr>
          </w:pPr>
          <w:hyperlink w:anchor="_Toc69725451" w:history="1">
            <w:r w:rsidR="00176303" w:rsidRPr="008766C8">
              <w:rPr>
                <w:rStyle w:val="Hipercze"/>
                <w:noProof/>
                <w:lang w:val="en-US"/>
              </w:rPr>
              <w:t>2.4.3.</w:t>
            </w:r>
            <w:r w:rsidR="00176303">
              <w:rPr>
                <w:rFonts w:eastAsiaTheme="minorEastAsia"/>
                <w:noProof/>
                <w:sz w:val="22"/>
                <w:lang w:val="pl-PL" w:eastAsia="pl-PL"/>
              </w:rPr>
              <w:tab/>
            </w:r>
            <w:r w:rsidR="00176303" w:rsidRPr="008766C8">
              <w:rPr>
                <w:rStyle w:val="Hipercze"/>
                <w:noProof/>
                <w:lang w:val="en-US"/>
              </w:rPr>
              <w:t>Dostępność komunikacyjna Partnerstwa</w:t>
            </w:r>
            <w:r w:rsidR="00176303">
              <w:rPr>
                <w:noProof/>
                <w:webHidden/>
              </w:rPr>
              <w:tab/>
            </w:r>
            <w:r w:rsidR="00176303">
              <w:rPr>
                <w:noProof/>
                <w:webHidden/>
              </w:rPr>
              <w:fldChar w:fldCharType="begin"/>
            </w:r>
            <w:r w:rsidR="00176303">
              <w:rPr>
                <w:noProof/>
                <w:webHidden/>
              </w:rPr>
              <w:instrText xml:space="preserve"> PAGEREF _Toc69725451 \h </w:instrText>
            </w:r>
            <w:r w:rsidR="00176303">
              <w:rPr>
                <w:noProof/>
                <w:webHidden/>
              </w:rPr>
            </w:r>
            <w:r w:rsidR="00176303">
              <w:rPr>
                <w:noProof/>
                <w:webHidden/>
              </w:rPr>
              <w:fldChar w:fldCharType="separate"/>
            </w:r>
            <w:r>
              <w:rPr>
                <w:noProof/>
                <w:webHidden/>
              </w:rPr>
              <w:t>145</w:t>
            </w:r>
            <w:r w:rsidR="00176303">
              <w:rPr>
                <w:noProof/>
                <w:webHidden/>
              </w:rPr>
              <w:fldChar w:fldCharType="end"/>
            </w:r>
          </w:hyperlink>
        </w:p>
        <w:p w14:paraId="23932717" w14:textId="0C35422A" w:rsidR="00176303" w:rsidRDefault="00B14787">
          <w:pPr>
            <w:pStyle w:val="Spistreci3"/>
            <w:tabs>
              <w:tab w:val="left" w:pos="1320"/>
              <w:tab w:val="right" w:leader="dot" w:pos="9060"/>
            </w:tabs>
            <w:rPr>
              <w:rFonts w:eastAsiaTheme="minorEastAsia"/>
              <w:noProof/>
              <w:sz w:val="22"/>
              <w:lang w:val="pl-PL" w:eastAsia="pl-PL"/>
            </w:rPr>
          </w:pPr>
          <w:hyperlink w:anchor="_Toc69725452" w:history="1">
            <w:r w:rsidR="00176303" w:rsidRPr="008766C8">
              <w:rPr>
                <w:rStyle w:val="Hipercze"/>
                <w:noProof/>
                <w:lang w:val="en-US"/>
              </w:rPr>
              <w:t>2.4.4.</w:t>
            </w:r>
            <w:r w:rsidR="00176303">
              <w:rPr>
                <w:rFonts w:eastAsiaTheme="minorEastAsia"/>
                <w:noProof/>
                <w:sz w:val="22"/>
                <w:lang w:val="pl-PL" w:eastAsia="pl-PL"/>
              </w:rPr>
              <w:tab/>
            </w:r>
            <w:r w:rsidR="00176303" w:rsidRPr="008766C8">
              <w:rPr>
                <w:rStyle w:val="Hipercze"/>
                <w:noProof/>
                <w:lang w:val="en-US"/>
              </w:rPr>
              <w:t>Podsumowanie</w:t>
            </w:r>
            <w:r w:rsidR="00176303">
              <w:rPr>
                <w:noProof/>
                <w:webHidden/>
              </w:rPr>
              <w:tab/>
            </w:r>
            <w:r w:rsidR="00176303">
              <w:rPr>
                <w:noProof/>
                <w:webHidden/>
              </w:rPr>
              <w:fldChar w:fldCharType="begin"/>
            </w:r>
            <w:r w:rsidR="00176303">
              <w:rPr>
                <w:noProof/>
                <w:webHidden/>
              </w:rPr>
              <w:instrText xml:space="preserve"> PAGEREF _Toc69725452 \h </w:instrText>
            </w:r>
            <w:r w:rsidR="00176303">
              <w:rPr>
                <w:noProof/>
                <w:webHidden/>
              </w:rPr>
            </w:r>
            <w:r w:rsidR="00176303">
              <w:rPr>
                <w:noProof/>
                <w:webHidden/>
              </w:rPr>
              <w:fldChar w:fldCharType="separate"/>
            </w:r>
            <w:r>
              <w:rPr>
                <w:noProof/>
                <w:webHidden/>
              </w:rPr>
              <w:t>154</w:t>
            </w:r>
            <w:r w:rsidR="00176303">
              <w:rPr>
                <w:noProof/>
                <w:webHidden/>
              </w:rPr>
              <w:fldChar w:fldCharType="end"/>
            </w:r>
          </w:hyperlink>
        </w:p>
        <w:p w14:paraId="5F4F6EF3" w14:textId="6CB39FAB" w:rsidR="00176303" w:rsidRDefault="00B14787">
          <w:pPr>
            <w:pStyle w:val="Spistreci1"/>
            <w:tabs>
              <w:tab w:val="left" w:pos="480"/>
              <w:tab w:val="right" w:leader="dot" w:pos="9060"/>
            </w:tabs>
            <w:rPr>
              <w:rFonts w:eastAsiaTheme="minorEastAsia"/>
              <w:noProof/>
              <w:sz w:val="22"/>
              <w:lang w:val="pl-PL" w:eastAsia="pl-PL"/>
            </w:rPr>
          </w:pPr>
          <w:hyperlink w:anchor="_Toc69725453" w:history="1">
            <w:r w:rsidR="00176303" w:rsidRPr="008766C8">
              <w:rPr>
                <w:rStyle w:val="Hipercze"/>
                <w:noProof/>
                <w:lang w:val="pl-PL"/>
              </w:rPr>
              <w:t>3.</w:t>
            </w:r>
            <w:r w:rsidR="00176303">
              <w:rPr>
                <w:rFonts w:eastAsiaTheme="minorEastAsia"/>
                <w:noProof/>
                <w:sz w:val="22"/>
                <w:lang w:val="pl-PL" w:eastAsia="pl-PL"/>
              </w:rPr>
              <w:tab/>
            </w:r>
            <w:r w:rsidR="00176303" w:rsidRPr="008766C8">
              <w:rPr>
                <w:rStyle w:val="Hipercze"/>
                <w:noProof/>
                <w:lang w:val="pl-PL"/>
              </w:rPr>
              <w:t>POTENCJAŁY, BARIERY I POTRZEBY ROZWOJOWE OBSZARU PARTNERSTWA</w:t>
            </w:r>
            <w:r w:rsidR="00176303">
              <w:rPr>
                <w:noProof/>
                <w:webHidden/>
              </w:rPr>
              <w:tab/>
            </w:r>
            <w:r w:rsidR="00176303">
              <w:rPr>
                <w:noProof/>
                <w:webHidden/>
              </w:rPr>
              <w:fldChar w:fldCharType="begin"/>
            </w:r>
            <w:r w:rsidR="00176303">
              <w:rPr>
                <w:noProof/>
                <w:webHidden/>
              </w:rPr>
              <w:instrText xml:space="preserve"> PAGEREF _Toc69725453 \h </w:instrText>
            </w:r>
            <w:r w:rsidR="00176303">
              <w:rPr>
                <w:noProof/>
                <w:webHidden/>
              </w:rPr>
            </w:r>
            <w:r w:rsidR="00176303">
              <w:rPr>
                <w:noProof/>
                <w:webHidden/>
              </w:rPr>
              <w:fldChar w:fldCharType="separate"/>
            </w:r>
            <w:r>
              <w:rPr>
                <w:noProof/>
                <w:webHidden/>
              </w:rPr>
              <w:t>156</w:t>
            </w:r>
            <w:r w:rsidR="00176303">
              <w:rPr>
                <w:noProof/>
                <w:webHidden/>
              </w:rPr>
              <w:fldChar w:fldCharType="end"/>
            </w:r>
          </w:hyperlink>
        </w:p>
        <w:p w14:paraId="05605911" w14:textId="692736A8" w:rsidR="00176303" w:rsidRDefault="00B14787">
          <w:pPr>
            <w:pStyle w:val="Spistreci2"/>
            <w:tabs>
              <w:tab w:val="left" w:pos="880"/>
              <w:tab w:val="right" w:leader="dot" w:pos="9060"/>
            </w:tabs>
            <w:rPr>
              <w:rFonts w:eastAsiaTheme="minorEastAsia"/>
              <w:noProof/>
              <w:sz w:val="22"/>
              <w:lang w:val="pl-PL" w:eastAsia="pl-PL"/>
            </w:rPr>
          </w:pPr>
          <w:hyperlink w:anchor="_Toc69725454" w:history="1">
            <w:r w:rsidR="00176303" w:rsidRPr="008766C8">
              <w:rPr>
                <w:rStyle w:val="Hipercze"/>
                <w:noProof/>
                <w:lang w:val="en-US"/>
              </w:rPr>
              <w:t>3.1.</w:t>
            </w:r>
            <w:r w:rsidR="00176303">
              <w:rPr>
                <w:rFonts w:eastAsiaTheme="minorEastAsia"/>
                <w:noProof/>
                <w:sz w:val="22"/>
                <w:lang w:val="pl-PL" w:eastAsia="pl-PL"/>
              </w:rPr>
              <w:tab/>
            </w:r>
            <w:r w:rsidR="00176303" w:rsidRPr="008766C8">
              <w:rPr>
                <w:rStyle w:val="Hipercze"/>
                <w:noProof/>
                <w:lang w:val="en-US"/>
              </w:rPr>
              <w:t>Potencjały Partnerstwa</w:t>
            </w:r>
            <w:r w:rsidR="00176303">
              <w:rPr>
                <w:noProof/>
                <w:webHidden/>
              </w:rPr>
              <w:tab/>
            </w:r>
            <w:r w:rsidR="00176303">
              <w:rPr>
                <w:noProof/>
                <w:webHidden/>
              </w:rPr>
              <w:fldChar w:fldCharType="begin"/>
            </w:r>
            <w:r w:rsidR="00176303">
              <w:rPr>
                <w:noProof/>
                <w:webHidden/>
              </w:rPr>
              <w:instrText xml:space="preserve"> PAGEREF _Toc69725454 \h </w:instrText>
            </w:r>
            <w:r w:rsidR="00176303">
              <w:rPr>
                <w:noProof/>
                <w:webHidden/>
              </w:rPr>
            </w:r>
            <w:r w:rsidR="00176303">
              <w:rPr>
                <w:noProof/>
                <w:webHidden/>
              </w:rPr>
              <w:fldChar w:fldCharType="separate"/>
            </w:r>
            <w:r>
              <w:rPr>
                <w:noProof/>
                <w:webHidden/>
              </w:rPr>
              <w:t>156</w:t>
            </w:r>
            <w:r w:rsidR="00176303">
              <w:rPr>
                <w:noProof/>
                <w:webHidden/>
              </w:rPr>
              <w:fldChar w:fldCharType="end"/>
            </w:r>
          </w:hyperlink>
        </w:p>
        <w:p w14:paraId="5C458D28" w14:textId="4452E017" w:rsidR="00176303" w:rsidRDefault="00B14787">
          <w:pPr>
            <w:pStyle w:val="Spistreci2"/>
            <w:tabs>
              <w:tab w:val="left" w:pos="880"/>
              <w:tab w:val="right" w:leader="dot" w:pos="9060"/>
            </w:tabs>
            <w:rPr>
              <w:rFonts w:eastAsiaTheme="minorEastAsia"/>
              <w:noProof/>
              <w:sz w:val="22"/>
              <w:lang w:val="pl-PL" w:eastAsia="pl-PL"/>
            </w:rPr>
          </w:pPr>
          <w:hyperlink w:anchor="_Toc69725455" w:history="1">
            <w:r w:rsidR="00176303" w:rsidRPr="008766C8">
              <w:rPr>
                <w:rStyle w:val="Hipercze"/>
                <w:noProof/>
                <w:lang w:val="en-US"/>
              </w:rPr>
              <w:t>3.2.</w:t>
            </w:r>
            <w:r w:rsidR="00176303">
              <w:rPr>
                <w:rFonts w:eastAsiaTheme="minorEastAsia"/>
                <w:noProof/>
                <w:sz w:val="22"/>
                <w:lang w:val="pl-PL" w:eastAsia="pl-PL"/>
              </w:rPr>
              <w:tab/>
            </w:r>
            <w:r w:rsidR="00176303" w:rsidRPr="008766C8">
              <w:rPr>
                <w:rStyle w:val="Hipercze"/>
                <w:noProof/>
                <w:lang w:val="en-US"/>
              </w:rPr>
              <w:t>Bariery rozwojowe obszaru Partnerstwa.</w:t>
            </w:r>
            <w:r w:rsidR="00176303">
              <w:rPr>
                <w:noProof/>
                <w:webHidden/>
              </w:rPr>
              <w:tab/>
            </w:r>
            <w:r w:rsidR="00176303">
              <w:rPr>
                <w:noProof/>
                <w:webHidden/>
              </w:rPr>
              <w:fldChar w:fldCharType="begin"/>
            </w:r>
            <w:r w:rsidR="00176303">
              <w:rPr>
                <w:noProof/>
                <w:webHidden/>
              </w:rPr>
              <w:instrText xml:space="preserve"> PAGEREF _Toc69725455 \h </w:instrText>
            </w:r>
            <w:r w:rsidR="00176303">
              <w:rPr>
                <w:noProof/>
                <w:webHidden/>
              </w:rPr>
            </w:r>
            <w:r w:rsidR="00176303">
              <w:rPr>
                <w:noProof/>
                <w:webHidden/>
              </w:rPr>
              <w:fldChar w:fldCharType="separate"/>
            </w:r>
            <w:r>
              <w:rPr>
                <w:noProof/>
                <w:webHidden/>
              </w:rPr>
              <w:t>161</w:t>
            </w:r>
            <w:r w:rsidR="00176303">
              <w:rPr>
                <w:noProof/>
                <w:webHidden/>
              </w:rPr>
              <w:fldChar w:fldCharType="end"/>
            </w:r>
          </w:hyperlink>
        </w:p>
        <w:p w14:paraId="73452945" w14:textId="5DD1776C" w:rsidR="00176303" w:rsidRDefault="00B14787">
          <w:pPr>
            <w:pStyle w:val="Spistreci2"/>
            <w:tabs>
              <w:tab w:val="left" w:pos="880"/>
              <w:tab w:val="right" w:leader="dot" w:pos="9060"/>
            </w:tabs>
            <w:rPr>
              <w:rFonts w:eastAsiaTheme="minorEastAsia"/>
              <w:noProof/>
              <w:sz w:val="22"/>
              <w:lang w:val="pl-PL" w:eastAsia="pl-PL"/>
            </w:rPr>
          </w:pPr>
          <w:hyperlink w:anchor="_Toc69725456" w:history="1">
            <w:r w:rsidR="00176303" w:rsidRPr="008766C8">
              <w:rPr>
                <w:rStyle w:val="Hipercze"/>
                <w:noProof/>
                <w:lang w:val="pl-PL"/>
              </w:rPr>
              <w:t>3.3.</w:t>
            </w:r>
            <w:r w:rsidR="00176303">
              <w:rPr>
                <w:rFonts w:eastAsiaTheme="minorEastAsia"/>
                <w:noProof/>
                <w:sz w:val="22"/>
                <w:lang w:val="pl-PL" w:eastAsia="pl-PL"/>
              </w:rPr>
              <w:tab/>
            </w:r>
            <w:r w:rsidR="00176303" w:rsidRPr="008766C8">
              <w:rPr>
                <w:rStyle w:val="Hipercze"/>
                <w:noProof/>
                <w:lang w:val="pl-PL"/>
              </w:rPr>
              <w:t>Problemy i wyzwania rozwojowe Partnerstwa</w:t>
            </w:r>
            <w:r w:rsidR="00176303">
              <w:rPr>
                <w:noProof/>
                <w:webHidden/>
              </w:rPr>
              <w:tab/>
            </w:r>
            <w:r w:rsidR="00176303">
              <w:rPr>
                <w:noProof/>
                <w:webHidden/>
              </w:rPr>
              <w:fldChar w:fldCharType="begin"/>
            </w:r>
            <w:r w:rsidR="00176303">
              <w:rPr>
                <w:noProof/>
                <w:webHidden/>
              </w:rPr>
              <w:instrText xml:space="preserve"> PAGEREF _Toc69725456 \h </w:instrText>
            </w:r>
            <w:r w:rsidR="00176303">
              <w:rPr>
                <w:noProof/>
                <w:webHidden/>
              </w:rPr>
            </w:r>
            <w:r w:rsidR="00176303">
              <w:rPr>
                <w:noProof/>
                <w:webHidden/>
              </w:rPr>
              <w:fldChar w:fldCharType="separate"/>
            </w:r>
            <w:r>
              <w:rPr>
                <w:noProof/>
                <w:webHidden/>
              </w:rPr>
              <w:t>165</w:t>
            </w:r>
            <w:r w:rsidR="00176303">
              <w:rPr>
                <w:noProof/>
                <w:webHidden/>
              </w:rPr>
              <w:fldChar w:fldCharType="end"/>
            </w:r>
          </w:hyperlink>
        </w:p>
        <w:p w14:paraId="3F4D31EE" w14:textId="0E51E0B3" w:rsidR="00176303" w:rsidRDefault="00B14787">
          <w:pPr>
            <w:pStyle w:val="Spistreci2"/>
            <w:tabs>
              <w:tab w:val="left" w:pos="880"/>
              <w:tab w:val="right" w:leader="dot" w:pos="9060"/>
            </w:tabs>
            <w:rPr>
              <w:rFonts w:eastAsiaTheme="minorEastAsia"/>
              <w:noProof/>
              <w:sz w:val="22"/>
              <w:lang w:val="pl-PL" w:eastAsia="pl-PL"/>
            </w:rPr>
          </w:pPr>
          <w:hyperlink w:anchor="_Toc69725457" w:history="1">
            <w:r w:rsidR="00176303" w:rsidRPr="008766C8">
              <w:rPr>
                <w:rStyle w:val="Hipercze"/>
                <w:noProof/>
                <w:lang w:val="pl-PL"/>
              </w:rPr>
              <w:t>3.4.</w:t>
            </w:r>
            <w:r w:rsidR="00176303">
              <w:rPr>
                <w:rFonts w:eastAsiaTheme="minorEastAsia"/>
                <w:noProof/>
                <w:sz w:val="22"/>
                <w:lang w:val="pl-PL" w:eastAsia="pl-PL"/>
              </w:rPr>
              <w:tab/>
            </w:r>
            <w:r w:rsidR="00176303" w:rsidRPr="008766C8">
              <w:rPr>
                <w:rStyle w:val="Hipercze"/>
                <w:noProof/>
                <w:lang w:val="pl-PL"/>
              </w:rPr>
              <w:t>Kierunki rozwojowe Partnerstwa</w:t>
            </w:r>
            <w:r w:rsidR="00176303">
              <w:rPr>
                <w:noProof/>
                <w:webHidden/>
              </w:rPr>
              <w:tab/>
            </w:r>
            <w:r w:rsidR="00176303">
              <w:rPr>
                <w:noProof/>
                <w:webHidden/>
              </w:rPr>
              <w:fldChar w:fldCharType="begin"/>
            </w:r>
            <w:r w:rsidR="00176303">
              <w:rPr>
                <w:noProof/>
                <w:webHidden/>
              </w:rPr>
              <w:instrText xml:space="preserve"> PAGEREF _Toc69725457 \h </w:instrText>
            </w:r>
            <w:r w:rsidR="00176303">
              <w:rPr>
                <w:noProof/>
                <w:webHidden/>
              </w:rPr>
            </w:r>
            <w:r w:rsidR="00176303">
              <w:rPr>
                <w:noProof/>
                <w:webHidden/>
              </w:rPr>
              <w:fldChar w:fldCharType="separate"/>
            </w:r>
            <w:r>
              <w:rPr>
                <w:noProof/>
                <w:webHidden/>
              </w:rPr>
              <w:t>168</w:t>
            </w:r>
            <w:r w:rsidR="00176303">
              <w:rPr>
                <w:noProof/>
                <w:webHidden/>
              </w:rPr>
              <w:fldChar w:fldCharType="end"/>
            </w:r>
          </w:hyperlink>
        </w:p>
        <w:p w14:paraId="0F8146AA" w14:textId="2F2CBB69" w:rsidR="00176303" w:rsidRDefault="00B14787">
          <w:pPr>
            <w:pStyle w:val="Spistreci3"/>
            <w:tabs>
              <w:tab w:val="left" w:pos="1320"/>
              <w:tab w:val="right" w:leader="dot" w:pos="9060"/>
            </w:tabs>
            <w:rPr>
              <w:rFonts w:eastAsiaTheme="minorEastAsia"/>
              <w:noProof/>
              <w:sz w:val="22"/>
              <w:lang w:val="pl-PL" w:eastAsia="pl-PL"/>
            </w:rPr>
          </w:pPr>
          <w:hyperlink w:anchor="_Toc69725458" w:history="1">
            <w:r w:rsidR="00176303" w:rsidRPr="008766C8">
              <w:rPr>
                <w:rStyle w:val="Hipercze"/>
                <w:noProof/>
              </w:rPr>
              <w:t>3.4.1.</w:t>
            </w:r>
            <w:r w:rsidR="00176303">
              <w:rPr>
                <w:rFonts w:eastAsiaTheme="minorEastAsia"/>
                <w:noProof/>
                <w:sz w:val="22"/>
                <w:lang w:val="pl-PL" w:eastAsia="pl-PL"/>
              </w:rPr>
              <w:tab/>
            </w:r>
            <w:r w:rsidR="00176303" w:rsidRPr="008766C8">
              <w:rPr>
                <w:rStyle w:val="Hipercze"/>
                <w:noProof/>
              </w:rPr>
              <w:t>Potwierdzenie kierunków rozwojowych Partnerstwa przyjetych na etapie diagnozy</w:t>
            </w:r>
            <w:r w:rsidR="00176303">
              <w:rPr>
                <w:noProof/>
                <w:webHidden/>
              </w:rPr>
              <w:tab/>
            </w:r>
            <w:r w:rsidR="00176303">
              <w:rPr>
                <w:noProof/>
                <w:webHidden/>
              </w:rPr>
              <w:fldChar w:fldCharType="begin"/>
            </w:r>
            <w:r w:rsidR="00176303">
              <w:rPr>
                <w:noProof/>
                <w:webHidden/>
              </w:rPr>
              <w:instrText xml:space="preserve"> PAGEREF _Toc69725458 \h </w:instrText>
            </w:r>
            <w:r w:rsidR="00176303">
              <w:rPr>
                <w:noProof/>
                <w:webHidden/>
              </w:rPr>
            </w:r>
            <w:r w:rsidR="00176303">
              <w:rPr>
                <w:noProof/>
                <w:webHidden/>
              </w:rPr>
              <w:fldChar w:fldCharType="separate"/>
            </w:r>
            <w:r>
              <w:rPr>
                <w:noProof/>
                <w:webHidden/>
              </w:rPr>
              <w:t>168</w:t>
            </w:r>
            <w:r w:rsidR="00176303">
              <w:rPr>
                <w:noProof/>
                <w:webHidden/>
              </w:rPr>
              <w:fldChar w:fldCharType="end"/>
            </w:r>
          </w:hyperlink>
        </w:p>
        <w:p w14:paraId="6D809B02" w14:textId="31F909DF" w:rsidR="00176303" w:rsidRDefault="00B14787">
          <w:pPr>
            <w:pStyle w:val="Spistreci3"/>
            <w:tabs>
              <w:tab w:val="left" w:pos="1320"/>
              <w:tab w:val="right" w:leader="dot" w:pos="9060"/>
            </w:tabs>
            <w:rPr>
              <w:rFonts w:eastAsiaTheme="minorEastAsia"/>
              <w:noProof/>
              <w:sz w:val="22"/>
              <w:lang w:val="pl-PL" w:eastAsia="pl-PL"/>
            </w:rPr>
          </w:pPr>
          <w:hyperlink w:anchor="_Toc69725459" w:history="1">
            <w:r w:rsidR="00176303" w:rsidRPr="008766C8">
              <w:rPr>
                <w:rStyle w:val="Hipercze"/>
                <w:noProof/>
                <w:lang w:val="pl-PL"/>
              </w:rPr>
              <w:t>3.4.2.</w:t>
            </w:r>
            <w:r w:rsidR="00176303">
              <w:rPr>
                <w:rFonts w:eastAsiaTheme="minorEastAsia"/>
                <w:noProof/>
                <w:sz w:val="22"/>
                <w:lang w:val="pl-PL" w:eastAsia="pl-PL"/>
              </w:rPr>
              <w:tab/>
            </w:r>
            <w:r w:rsidR="00176303" w:rsidRPr="008766C8">
              <w:rPr>
                <w:rStyle w:val="Hipercze"/>
                <w:noProof/>
                <w:lang w:val="pl-PL"/>
              </w:rPr>
              <w:t>Spójność przyjetych kierunków rozwojowych z celami strategicznymi JST wchodzącymi w skład Partnerstwa</w:t>
            </w:r>
            <w:r w:rsidR="00176303">
              <w:rPr>
                <w:noProof/>
                <w:webHidden/>
              </w:rPr>
              <w:tab/>
            </w:r>
            <w:r w:rsidR="00176303">
              <w:rPr>
                <w:noProof/>
                <w:webHidden/>
              </w:rPr>
              <w:fldChar w:fldCharType="begin"/>
            </w:r>
            <w:r w:rsidR="00176303">
              <w:rPr>
                <w:noProof/>
                <w:webHidden/>
              </w:rPr>
              <w:instrText xml:space="preserve"> PAGEREF _Toc69725459 \h </w:instrText>
            </w:r>
            <w:r w:rsidR="00176303">
              <w:rPr>
                <w:noProof/>
                <w:webHidden/>
              </w:rPr>
            </w:r>
            <w:r w:rsidR="00176303">
              <w:rPr>
                <w:noProof/>
                <w:webHidden/>
              </w:rPr>
              <w:fldChar w:fldCharType="separate"/>
            </w:r>
            <w:r>
              <w:rPr>
                <w:noProof/>
                <w:webHidden/>
              </w:rPr>
              <w:t>171</w:t>
            </w:r>
            <w:r w:rsidR="00176303">
              <w:rPr>
                <w:noProof/>
                <w:webHidden/>
              </w:rPr>
              <w:fldChar w:fldCharType="end"/>
            </w:r>
          </w:hyperlink>
        </w:p>
        <w:p w14:paraId="79C77EDA" w14:textId="7630D4B8" w:rsidR="00176303" w:rsidRDefault="00B14787">
          <w:pPr>
            <w:pStyle w:val="Spistreci2"/>
            <w:tabs>
              <w:tab w:val="left" w:pos="880"/>
              <w:tab w:val="right" w:leader="dot" w:pos="9060"/>
            </w:tabs>
            <w:rPr>
              <w:rFonts w:eastAsiaTheme="minorEastAsia"/>
              <w:noProof/>
              <w:sz w:val="22"/>
              <w:lang w:val="pl-PL" w:eastAsia="pl-PL"/>
            </w:rPr>
          </w:pPr>
          <w:hyperlink w:anchor="_Toc69725460" w:history="1">
            <w:r w:rsidR="00176303" w:rsidRPr="008766C8">
              <w:rPr>
                <w:rStyle w:val="Hipercze"/>
                <w:noProof/>
                <w:lang w:val="en-US"/>
              </w:rPr>
              <w:t>3.5.</w:t>
            </w:r>
            <w:r w:rsidR="00176303">
              <w:rPr>
                <w:rFonts w:eastAsiaTheme="minorEastAsia"/>
                <w:noProof/>
                <w:sz w:val="22"/>
                <w:lang w:val="pl-PL" w:eastAsia="pl-PL"/>
              </w:rPr>
              <w:tab/>
            </w:r>
            <w:r w:rsidR="00176303" w:rsidRPr="008766C8">
              <w:rPr>
                <w:rStyle w:val="Hipercze"/>
                <w:noProof/>
                <w:lang w:val="en-US"/>
              </w:rPr>
              <w:t>Determinanty rozwoju Partnerstwa</w:t>
            </w:r>
            <w:r w:rsidR="00176303">
              <w:rPr>
                <w:noProof/>
                <w:webHidden/>
              </w:rPr>
              <w:tab/>
            </w:r>
            <w:r w:rsidR="00176303">
              <w:rPr>
                <w:noProof/>
                <w:webHidden/>
              </w:rPr>
              <w:fldChar w:fldCharType="begin"/>
            </w:r>
            <w:r w:rsidR="00176303">
              <w:rPr>
                <w:noProof/>
                <w:webHidden/>
              </w:rPr>
              <w:instrText xml:space="preserve"> PAGEREF _Toc69725460 \h </w:instrText>
            </w:r>
            <w:r w:rsidR="00176303">
              <w:rPr>
                <w:noProof/>
                <w:webHidden/>
              </w:rPr>
            </w:r>
            <w:r w:rsidR="00176303">
              <w:rPr>
                <w:noProof/>
                <w:webHidden/>
              </w:rPr>
              <w:fldChar w:fldCharType="separate"/>
            </w:r>
            <w:r>
              <w:rPr>
                <w:noProof/>
                <w:webHidden/>
              </w:rPr>
              <w:t>173</w:t>
            </w:r>
            <w:r w:rsidR="00176303">
              <w:rPr>
                <w:noProof/>
                <w:webHidden/>
              </w:rPr>
              <w:fldChar w:fldCharType="end"/>
            </w:r>
          </w:hyperlink>
        </w:p>
        <w:p w14:paraId="755A7D62" w14:textId="0A206CA0" w:rsidR="00176303" w:rsidRDefault="00B14787">
          <w:pPr>
            <w:pStyle w:val="Spistreci2"/>
            <w:tabs>
              <w:tab w:val="left" w:pos="880"/>
              <w:tab w:val="right" w:leader="dot" w:pos="9060"/>
            </w:tabs>
            <w:rPr>
              <w:rFonts w:eastAsiaTheme="minorEastAsia"/>
              <w:noProof/>
              <w:sz w:val="22"/>
              <w:lang w:val="pl-PL" w:eastAsia="pl-PL"/>
            </w:rPr>
          </w:pPr>
          <w:hyperlink w:anchor="_Toc69725461" w:history="1">
            <w:r w:rsidR="00176303" w:rsidRPr="008766C8">
              <w:rPr>
                <w:rStyle w:val="Hipercze"/>
                <w:noProof/>
                <w:lang w:val="en-US"/>
              </w:rPr>
              <w:t>3.6.</w:t>
            </w:r>
            <w:r w:rsidR="00176303">
              <w:rPr>
                <w:rFonts w:eastAsiaTheme="minorEastAsia"/>
                <w:noProof/>
                <w:sz w:val="22"/>
                <w:lang w:val="pl-PL" w:eastAsia="pl-PL"/>
              </w:rPr>
              <w:tab/>
            </w:r>
            <w:r w:rsidR="00176303" w:rsidRPr="008766C8">
              <w:rPr>
                <w:rStyle w:val="Hipercze"/>
                <w:noProof/>
                <w:lang w:val="en-US"/>
              </w:rPr>
              <w:t>Podsumowanie</w:t>
            </w:r>
            <w:r w:rsidR="00176303">
              <w:rPr>
                <w:noProof/>
                <w:webHidden/>
              </w:rPr>
              <w:tab/>
            </w:r>
            <w:r w:rsidR="00176303">
              <w:rPr>
                <w:noProof/>
                <w:webHidden/>
              </w:rPr>
              <w:fldChar w:fldCharType="begin"/>
            </w:r>
            <w:r w:rsidR="00176303">
              <w:rPr>
                <w:noProof/>
                <w:webHidden/>
              </w:rPr>
              <w:instrText xml:space="preserve"> PAGEREF _Toc69725461 \h </w:instrText>
            </w:r>
            <w:r w:rsidR="00176303">
              <w:rPr>
                <w:noProof/>
                <w:webHidden/>
              </w:rPr>
            </w:r>
            <w:r w:rsidR="00176303">
              <w:rPr>
                <w:noProof/>
                <w:webHidden/>
              </w:rPr>
              <w:fldChar w:fldCharType="separate"/>
            </w:r>
            <w:r>
              <w:rPr>
                <w:noProof/>
                <w:webHidden/>
              </w:rPr>
              <w:t>177</w:t>
            </w:r>
            <w:r w:rsidR="00176303">
              <w:rPr>
                <w:noProof/>
                <w:webHidden/>
              </w:rPr>
              <w:fldChar w:fldCharType="end"/>
            </w:r>
          </w:hyperlink>
        </w:p>
        <w:p w14:paraId="26C19919" w14:textId="2B89131C" w:rsidR="003C6121" w:rsidRPr="00091BAE" w:rsidRDefault="003C6121" w:rsidP="00733091">
          <w:pPr>
            <w:rPr>
              <w:b/>
              <w:bCs/>
              <w:noProof/>
              <w:lang w:val="pl-PL"/>
            </w:rPr>
          </w:pPr>
          <w:r w:rsidRPr="00091BAE">
            <w:rPr>
              <w:b/>
              <w:bCs/>
              <w:noProof/>
              <w:lang w:val="pl-PL"/>
            </w:rPr>
            <w:fldChar w:fldCharType="end"/>
          </w:r>
        </w:p>
      </w:sdtContent>
    </w:sdt>
    <w:p w14:paraId="136BB719" w14:textId="69885506" w:rsidR="00962D2F" w:rsidRPr="00091BAE" w:rsidRDefault="00962D2F" w:rsidP="00733091">
      <w:pPr>
        <w:ind w:left="0"/>
        <w:rPr>
          <w:rStyle w:val="Wyrnieniedelikatne"/>
          <w:b w:val="0"/>
          <w:bCs w:val="0"/>
          <w:iCs w:val="0"/>
          <w:noProof/>
          <w:sz w:val="24"/>
          <w:lang w:val="pl-PL"/>
        </w:rPr>
      </w:pPr>
      <w:r w:rsidRPr="00091BAE">
        <w:rPr>
          <w:rStyle w:val="Wyrnieniedelikatne"/>
          <w:b w:val="0"/>
          <w:bCs w:val="0"/>
          <w:iCs w:val="0"/>
          <w:noProof/>
          <w:sz w:val="24"/>
          <w:lang w:val="pl-PL"/>
        </w:rPr>
        <w:br w:type="page"/>
      </w:r>
    </w:p>
    <w:p w14:paraId="62C730A6" w14:textId="6C1B230E" w:rsidR="004B5BC9" w:rsidRPr="00091BAE" w:rsidRDefault="004B5BC9" w:rsidP="00733091">
      <w:pPr>
        <w:ind w:left="0"/>
        <w:rPr>
          <w:b/>
          <w:bCs/>
          <w:noProof/>
          <w:lang w:val="pl-PL"/>
        </w:rPr>
      </w:pPr>
    </w:p>
    <w:p w14:paraId="0EA24DE3" w14:textId="77777777" w:rsidR="00F0500E" w:rsidRPr="00091BAE" w:rsidRDefault="00297B22" w:rsidP="00733091">
      <w:pPr>
        <w:pStyle w:val="elementgraficznytabela"/>
        <w:spacing w:after="240"/>
        <w:jc w:val="center"/>
      </w:pPr>
      <w:r w:rsidRPr="00091BAE">
        <w:drawing>
          <wp:inline distT="0" distB="0" distL="0" distR="0" wp14:anchorId="1F905ADA" wp14:editId="00599F66">
            <wp:extent cx="5345374" cy="5345374"/>
            <wp:effectExtent l="0" t="0" r="8255" b="8255"/>
            <wp:docPr id="3" name="Obraz 3">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az 3">
                      <a:extLst>
                        <a:ext uri="{C183D7F6-B498-43B3-948B-1728B52AA6E4}">
                          <adec:decorative xmlns:adec="http://schemas.microsoft.com/office/drawing/2017/decorative" val="0"/>
                        </a:ext>
                      </a:extLst>
                    </pic:cNvPr>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345374" cy="5345374"/>
                    </a:xfrm>
                    <a:prstGeom prst="rect">
                      <a:avLst/>
                    </a:prstGeom>
                  </pic:spPr>
                </pic:pic>
              </a:graphicData>
            </a:graphic>
          </wp:inline>
        </w:drawing>
      </w:r>
    </w:p>
    <w:p w14:paraId="0392C16E" w14:textId="04A37BE7" w:rsidR="00F1340D" w:rsidRDefault="005D421F" w:rsidP="00733091">
      <w:pPr>
        <w:pStyle w:val="Nagwek1"/>
        <w:numPr>
          <w:ilvl w:val="0"/>
          <w:numId w:val="0"/>
        </w:numPr>
        <w:spacing w:before="120" w:after="240"/>
        <w:ind w:left="851"/>
        <w:rPr>
          <w:lang w:val="pl-PL"/>
        </w:rPr>
      </w:pPr>
      <w:bookmarkStart w:id="0" w:name="_Toc69725426"/>
      <w:r>
        <w:rPr>
          <w:lang w:val="pl-PL"/>
        </w:rPr>
        <w:lastRenderedPageBreak/>
        <w:t>WSTĘP</w:t>
      </w:r>
      <w:bookmarkEnd w:id="0"/>
    </w:p>
    <w:p w14:paraId="3A6D3B89" w14:textId="1219DE43" w:rsidR="005359DC" w:rsidRPr="00733091" w:rsidRDefault="005359DC" w:rsidP="00733091">
      <w:pPr>
        <w:rPr>
          <w:b/>
          <w:bCs/>
          <w:lang w:val="pl-PL"/>
        </w:rPr>
      </w:pPr>
      <w:r w:rsidRPr="00733091">
        <w:rPr>
          <w:lang w:val="pl-PL"/>
        </w:rPr>
        <w:t xml:space="preserve">Niniejsze opracowanie przedstawia syntetyczną diagnozę społeczno-gospodarczą </w:t>
      </w:r>
      <w:r w:rsidR="00733091">
        <w:rPr>
          <w:lang w:val="pl-PL"/>
        </w:rPr>
        <w:br/>
      </w:r>
      <w:r w:rsidRPr="00733091">
        <w:rPr>
          <w:lang w:val="pl-PL"/>
        </w:rPr>
        <w:t xml:space="preserve">i środowiskowo-przestrzenną obszaru Partnerstwa Południowe Mazury i zostało sporządzone w celu opracowania </w:t>
      </w:r>
      <w:r w:rsidRPr="00733091">
        <w:rPr>
          <w:b/>
          <w:bCs/>
          <w:lang w:val="pl-PL"/>
        </w:rPr>
        <w:t xml:space="preserve">strategii rozwoju obszaru na lata 2021-2030, </w:t>
      </w:r>
      <w:r w:rsidR="00733091">
        <w:rPr>
          <w:b/>
          <w:bCs/>
          <w:lang w:val="pl-PL"/>
        </w:rPr>
        <w:br/>
      </w:r>
      <w:r w:rsidRPr="00733091">
        <w:rPr>
          <w:b/>
          <w:bCs/>
          <w:lang w:val="pl-PL"/>
        </w:rPr>
        <w:t>z perspektywą do 2050 r</w:t>
      </w:r>
      <w:r w:rsidRPr="00733091">
        <w:rPr>
          <w:lang w:val="pl-PL"/>
        </w:rPr>
        <w:t xml:space="preserve">. Diagnoza wykorzystuje podstawowe dane </w:t>
      </w:r>
      <w:r w:rsidRPr="00733091">
        <w:rPr>
          <w:color w:val="000000" w:themeColor="text1"/>
          <w:lang w:val="pl-PL"/>
        </w:rPr>
        <w:t xml:space="preserve">statystyczne, </w:t>
      </w:r>
      <w:r w:rsidRPr="00733091">
        <w:rPr>
          <w:rFonts w:ascii="Calibri" w:hAnsi="Calibri" w:cs="Calibri"/>
          <w:color w:val="000000" w:themeColor="text1"/>
          <w:shd w:val="clear" w:color="auto" w:fill="FFFFFF"/>
          <w:lang w:val="pl-PL"/>
        </w:rPr>
        <w:t>dane i opracowania gminne, badania społeczne</w:t>
      </w:r>
      <w:r w:rsidRPr="00733091">
        <w:rPr>
          <w:color w:val="000000" w:themeColor="text1"/>
          <w:lang w:val="pl-PL"/>
        </w:rPr>
        <w:t xml:space="preserve"> </w:t>
      </w:r>
      <w:r w:rsidRPr="00733091">
        <w:rPr>
          <w:lang w:val="pl-PL"/>
        </w:rPr>
        <w:t xml:space="preserve">i porusza wybrane, </w:t>
      </w:r>
      <w:r w:rsidRPr="00733091">
        <w:rPr>
          <w:b/>
          <w:bCs/>
          <w:lang w:val="pl-PL"/>
        </w:rPr>
        <w:t xml:space="preserve">najważniejsze dla rozwoju obszaru Partnerstwa zagadnienia. </w:t>
      </w:r>
    </w:p>
    <w:p w14:paraId="7552D2F3" w14:textId="37D9A44C" w:rsidR="005359DC" w:rsidRPr="00733091" w:rsidRDefault="005359DC" w:rsidP="00733091">
      <w:pPr>
        <w:rPr>
          <w:lang w:val="pl-PL"/>
        </w:rPr>
      </w:pPr>
      <w:r w:rsidRPr="00733091">
        <w:rPr>
          <w:lang w:val="pl-PL"/>
        </w:rPr>
        <w:t xml:space="preserve">Zakres czasowy opracowania obejmuje lata </w:t>
      </w:r>
      <w:r w:rsidRPr="00733091">
        <w:rPr>
          <w:b/>
          <w:bCs/>
          <w:lang w:val="pl-PL"/>
        </w:rPr>
        <w:t>2009-2019</w:t>
      </w:r>
      <w:r w:rsidRPr="0095183D">
        <w:rPr>
          <w:rStyle w:val="Odwoanieprzypisudolnego"/>
          <w:rFonts w:cstheme="minorHAnsi"/>
          <w:b/>
          <w:bCs/>
        </w:rPr>
        <w:footnoteReference w:id="2"/>
      </w:r>
      <w:r w:rsidRPr="00733091">
        <w:rPr>
          <w:lang w:val="pl-PL"/>
        </w:rPr>
        <w:t xml:space="preserve">, jednakże tam, gdzie było to możliwe wykorzystano najbardziej aktualne na dzień sporządzenia opracowania informacje. Dla analizy niektórych procesów demograficznych (w szczególności analizy liczby ludności) rozszerzono zakres czasowy diagnozy o lata 1999-2008. </w:t>
      </w:r>
    </w:p>
    <w:p w14:paraId="5906754A" w14:textId="77777777" w:rsidR="00136B5A" w:rsidRDefault="005359DC" w:rsidP="00136B5A">
      <w:pPr>
        <w:rPr>
          <w:lang w:val="pl-PL"/>
        </w:rPr>
      </w:pPr>
      <w:r w:rsidRPr="00733091">
        <w:rPr>
          <w:lang w:val="pl-PL"/>
        </w:rPr>
        <w:t xml:space="preserve">Dane wykorzystane do analizy pochodzą ze </w:t>
      </w:r>
      <w:r w:rsidRPr="00733091">
        <w:rPr>
          <w:b/>
          <w:bCs/>
          <w:lang w:val="pl-PL"/>
        </w:rPr>
        <w:t xml:space="preserve">źródeł pierwotnych i są pozyskane </w:t>
      </w:r>
      <w:r w:rsidR="005B63BD">
        <w:rPr>
          <w:b/>
          <w:bCs/>
          <w:lang w:val="pl-PL"/>
        </w:rPr>
        <w:br/>
      </w:r>
      <w:r w:rsidRPr="00733091">
        <w:rPr>
          <w:b/>
          <w:bCs/>
          <w:lang w:val="pl-PL"/>
        </w:rPr>
        <w:t>z krajowej statystyki publicznej</w:t>
      </w:r>
      <w:r w:rsidRPr="00733091">
        <w:rPr>
          <w:lang w:val="pl-PL"/>
        </w:rPr>
        <w:t xml:space="preserve"> (dane Głównego Urzędu Statystycznego), właściwych miejscowo Urzędów Skarbowych, Zakładów Ubezpieczeń Społecznych, Kas Rolniczego Ubezpieczenia Społecznego i zasobów informacyjnych jednostek samorządu terytorialnego wchodzących w skład Partnerstwa. </w:t>
      </w:r>
    </w:p>
    <w:p w14:paraId="440D76C7" w14:textId="7B612647" w:rsidR="005359DC" w:rsidRPr="00733091" w:rsidRDefault="005359DC" w:rsidP="00136B5A">
      <w:pPr>
        <w:rPr>
          <w:lang w:val="pl-PL"/>
        </w:rPr>
      </w:pPr>
      <w:r w:rsidRPr="00733091">
        <w:rPr>
          <w:lang w:val="pl-PL"/>
        </w:rPr>
        <w:t>Ważnym punktem odniesienia w procesie analizy danych, w tym formułowania wniosków były dane dotyczące województwa warmińsko-mazurskiego oraz kraju.</w:t>
      </w:r>
    </w:p>
    <w:p w14:paraId="41611BD5" w14:textId="77777777" w:rsidR="00136B5A" w:rsidRDefault="005359DC" w:rsidP="00136B5A">
      <w:pPr>
        <w:rPr>
          <w:b/>
          <w:bCs/>
          <w:shd w:val="clear" w:color="auto" w:fill="FFFFFF"/>
          <w:lang w:val="pl-PL"/>
        </w:rPr>
      </w:pPr>
      <w:r w:rsidRPr="00733091">
        <w:rPr>
          <w:shd w:val="clear" w:color="auto" w:fill="FFFFFF"/>
          <w:lang w:val="pl-PL"/>
        </w:rPr>
        <w:t xml:space="preserve">Analiza danych statystycznych została uzupełniona </w:t>
      </w:r>
      <w:r w:rsidRPr="00733091">
        <w:rPr>
          <w:b/>
          <w:bCs/>
          <w:shd w:val="clear" w:color="auto" w:fill="FFFFFF"/>
          <w:lang w:val="pl-PL"/>
        </w:rPr>
        <w:t xml:space="preserve">wywiadami z władzami </w:t>
      </w:r>
      <w:r w:rsidR="00733091">
        <w:rPr>
          <w:b/>
          <w:bCs/>
          <w:shd w:val="clear" w:color="auto" w:fill="FFFFFF"/>
          <w:lang w:val="pl-PL"/>
        </w:rPr>
        <w:br/>
      </w:r>
      <w:r w:rsidRPr="00733091">
        <w:rPr>
          <w:b/>
          <w:bCs/>
          <w:shd w:val="clear" w:color="auto" w:fill="FFFFFF"/>
          <w:lang w:val="pl-PL"/>
        </w:rPr>
        <w:t>i pracownikami jednostek samorządu terytorialnego</w:t>
      </w:r>
      <w:r w:rsidRPr="0095183D">
        <w:rPr>
          <w:rStyle w:val="Odwoanieprzypisudolnego"/>
          <w:b/>
          <w:bCs/>
          <w:shd w:val="clear" w:color="auto" w:fill="FFFFFF"/>
        </w:rPr>
        <w:footnoteReference w:id="3"/>
      </w:r>
      <w:r w:rsidRPr="00733091">
        <w:rPr>
          <w:shd w:val="clear" w:color="auto" w:fill="FFFFFF"/>
          <w:lang w:val="pl-PL"/>
        </w:rPr>
        <w:t xml:space="preserve">, </w:t>
      </w:r>
      <w:r w:rsidRPr="00733091">
        <w:rPr>
          <w:b/>
          <w:bCs/>
          <w:shd w:val="clear" w:color="auto" w:fill="FFFFFF"/>
          <w:lang w:val="pl-PL"/>
        </w:rPr>
        <w:t>liderami lokalnymi</w:t>
      </w:r>
      <w:r w:rsidRPr="0095183D">
        <w:rPr>
          <w:rStyle w:val="Odwoanieprzypisudolnego"/>
          <w:b/>
          <w:bCs/>
          <w:shd w:val="clear" w:color="auto" w:fill="FFFFFF"/>
        </w:rPr>
        <w:footnoteReference w:id="4"/>
      </w:r>
      <w:r w:rsidRPr="00733091">
        <w:rPr>
          <w:shd w:val="clear" w:color="auto" w:fill="FFFFFF"/>
          <w:lang w:val="pl-PL"/>
        </w:rPr>
        <w:t xml:space="preserve"> (społecznymi, gospodarczymi, samorządowymi), a także ankietowymi </w:t>
      </w:r>
      <w:r w:rsidRPr="00733091">
        <w:rPr>
          <w:b/>
          <w:bCs/>
          <w:shd w:val="clear" w:color="auto" w:fill="FFFFFF"/>
          <w:lang w:val="pl-PL"/>
        </w:rPr>
        <w:t>badaniami mieszkańców</w:t>
      </w:r>
      <w:r w:rsidRPr="0095183D">
        <w:rPr>
          <w:rStyle w:val="Odwoanieprzypisudolnego"/>
          <w:b/>
          <w:bCs/>
          <w:shd w:val="clear" w:color="auto" w:fill="FFFFFF"/>
        </w:rPr>
        <w:footnoteReference w:id="5"/>
      </w:r>
      <w:r w:rsidRPr="00733091">
        <w:rPr>
          <w:b/>
          <w:bCs/>
          <w:shd w:val="clear" w:color="auto" w:fill="FFFFFF"/>
          <w:lang w:val="pl-PL"/>
        </w:rPr>
        <w:t xml:space="preserve"> i młodzieży</w:t>
      </w:r>
      <w:r w:rsidRPr="0095183D">
        <w:rPr>
          <w:rStyle w:val="Odwoanieprzypisudolnego"/>
          <w:b/>
          <w:bCs/>
          <w:shd w:val="clear" w:color="auto" w:fill="FFFFFF"/>
        </w:rPr>
        <w:footnoteReference w:id="6"/>
      </w:r>
      <w:r w:rsidRPr="00733091">
        <w:rPr>
          <w:b/>
          <w:bCs/>
          <w:shd w:val="clear" w:color="auto" w:fill="FFFFFF"/>
          <w:lang w:val="pl-PL"/>
        </w:rPr>
        <w:t>.</w:t>
      </w:r>
      <w:r w:rsidR="00136B5A">
        <w:rPr>
          <w:b/>
          <w:bCs/>
          <w:shd w:val="clear" w:color="auto" w:fill="FFFFFF"/>
          <w:lang w:val="pl-PL"/>
        </w:rPr>
        <w:t xml:space="preserve"> </w:t>
      </w:r>
    </w:p>
    <w:p w14:paraId="7A6B6425" w14:textId="77777777" w:rsidR="00136B5A" w:rsidRDefault="00136B5A" w:rsidP="00136B5A">
      <w:pPr>
        <w:rPr>
          <w:b/>
          <w:bCs/>
          <w:shd w:val="clear" w:color="auto" w:fill="FFFFFF"/>
          <w:lang w:val="pl-PL"/>
        </w:rPr>
      </w:pPr>
    </w:p>
    <w:p w14:paraId="34C64D65" w14:textId="77777777" w:rsidR="00136B5A" w:rsidRDefault="00136B5A" w:rsidP="00136B5A">
      <w:pPr>
        <w:rPr>
          <w:b/>
          <w:bCs/>
          <w:shd w:val="clear" w:color="auto" w:fill="FFFFFF"/>
          <w:lang w:val="pl-PL"/>
        </w:rPr>
      </w:pPr>
    </w:p>
    <w:p w14:paraId="4569AFDE" w14:textId="04EDE066" w:rsidR="00C1051A" w:rsidRPr="00136B5A" w:rsidRDefault="00136B5A" w:rsidP="00136B5A">
      <w:pPr>
        <w:rPr>
          <w:b/>
          <w:bCs/>
          <w:shd w:val="clear" w:color="auto" w:fill="FFFFFF"/>
          <w:lang w:val="pl-PL"/>
        </w:rPr>
      </w:pPr>
      <w:r>
        <w:rPr>
          <w:b/>
          <w:bCs/>
          <w:shd w:val="clear" w:color="auto" w:fill="FFFFFF"/>
          <w:lang w:val="pl-PL"/>
        </w:rPr>
        <w:lastRenderedPageBreak/>
        <w:br/>
      </w:r>
      <w:r w:rsidR="00C1051A" w:rsidRPr="00136B5A">
        <w:rPr>
          <w:shd w:val="clear" w:color="auto" w:fill="FFFFFF"/>
          <w:lang w:val="pl-PL"/>
        </w:rPr>
        <w:t xml:space="preserve">Do analizy danych statystycznych wykorzystano narzędzia </w:t>
      </w:r>
      <w:r w:rsidRPr="00136B5A">
        <w:rPr>
          <w:shd w:val="clear" w:color="auto" w:fill="FFFFFF"/>
          <w:lang w:val="pl-PL"/>
        </w:rPr>
        <w:t xml:space="preserve">diagnostyczne </w:t>
      </w:r>
      <w:r w:rsidR="00C1051A" w:rsidRPr="00136B5A">
        <w:rPr>
          <w:shd w:val="clear" w:color="auto" w:fill="FFFFFF"/>
          <w:lang w:val="pl-PL"/>
        </w:rPr>
        <w:t xml:space="preserve">Związku Miast Polskich – Monitor Rozwoju Lokalnego </w:t>
      </w:r>
      <w:r>
        <w:rPr>
          <w:shd w:val="clear" w:color="auto" w:fill="FFFFFF"/>
          <w:lang w:val="pl-PL"/>
        </w:rPr>
        <w:t>–</w:t>
      </w:r>
      <w:r w:rsidR="00C1051A" w:rsidRPr="00136B5A">
        <w:rPr>
          <w:shd w:val="clear" w:color="auto" w:fill="FFFFFF"/>
          <w:lang w:val="pl-PL"/>
        </w:rPr>
        <w:t xml:space="preserve"> </w:t>
      </w:r>
      <w:r>
        <w:rPr>
          <w:shd w:val="clear" w:color="auto" w:fill="FFFFFF"/>
          <w:lang w:val="pl-PL"/>
        </w:rPr>
        <w:t xml:space="preserve">dostępne </w:t>
      </w:r>
      <w:hyperlink r:id="rId16" w:history="1">
        <w:r w:rsidRPr="00136B5A">
          <w:rPr>
            <w:rStyle w:val="Hipercze"/>
            <w:color w:val="auto"/>
            <w:u w:val="none"/>
            <w:lang w:val="pl-PL"/>
          </w:rPr>
          <w:t>pod</w:t>
        </w:r>
      </w:hyperlink>
      <w:r w:rsidRPr="00136B5A">
        <w:rPr>
          <w:lang w:val="pl-PL"/>
        </w:rPr>
        <w:t xml:space="preserve"> </w:t>
      </w:r>
      <w:r>
        <w:rPr>
          <w:lang w:val="pl-PL"/>
        </w:rPr>
        <w:t xml:space="preserve">adresem: </w:t>
      </w:r>
      <w:hyperlink r:id="rId17" w:history="1">
        <w:r w:rsidRPr="00BB186C">
          <w:rPr>
            <w:rStyle w:val="Hipercze"/>
            <w:lang w:val="pl-PL"/>
          </w:rPr>
          <w:t>https://analizy.monitorrozwoju.pl</w:t>
        </w:r>
      </w:hyperlink>
      <w:r>
        <w:rPr>
          <w:lang w:val="pl-PL"/>
        </w:rPr>
        <w:t xml:space="preserve"> oraz </w:t>
      </w:r>
      <w:hyperlink r:id="rId18" w:history="1">
        <w:r w:rsidRPr="00BB186C">
          <w:rPr>
            <w:rStyle w:val="Hipercze"/>
            <w:lang w:val="pl-PL"/>
          </w:rPr>
          <w:t>https://partnerstwa.monitorrozwoju.pl</w:t>
        </w:r>
      </w:hyperlink>
      <w:r>
        <w:rPr>
          <w:rStyle w:val="Odwoanieprzypisudolnego"/>
          <w:lang w:val="pl-PL"/>
        </w:rPr>
        <w:footnoteReference w:id="7"/>
      </w:r>
      <w:r>
        <w:rPr>
          <w:lang w:val="pl-PL"/>
        </w:rPr>
        <w:t>.</w:t>
      </w:r>
    </w:p>
    <w:p w14:paraId="65CC0DBD" w14:textId="77777777" w:rsidR="00136B5A" w:rsidRDefault="00136B5A" w:rsidP="00733091">
      <w:pPr>
        <w:contextualSpacing/>
        <w:rPr>
          <w:lang w:val="pl-PL"/>
        </w:rPr>
      </w:pPr>
    </w:p>
    <w:p w14:paraId="2E4079DD" w14:textId="3693F934" w:rsidR="005359DC" w:rsidRPr="00733091" w:rsidRDefault="005359DC" w:rsidP="00733091">
      <w:pPr>
        <w:contextualSpacing/>
        <w:rPr>
          <w:lang w:val="pl-PL"/>
        </w:rPr>
      </w:pPr>
      <w:r w:rsidRPr="00733091">
        <w:rPr>
          <w:lang w:val="pl-PL"/>
        </w:rPr>
        <w:t>Diagnozę obszaru Partnerstwa przeprowadzono w pięciu etapach (rysunek poniżej)</w:t>
      </w:r>
      <w:r w:rsidRPr="0095183D">
        <w:rPr>
          <w:rStyle w:val="Odwoanieprzypisudolnego"/>
        </w:rPr>
        <w:footnoteReference w:id="8"/>
      </w:r>
      <w:r w:rsidRPr="00733091">
        <w:rPr>
          <w:lang w:val="pl-PL"/>
        </w:rPr>
        <w:t>:</w:t>
      </w:r>
    </w:p>
    <w:p w14:paraId="7A8FD00C" w14:textId="7B1AA7C5" w:rsidR="005359DC" w:rsidRPr="002907DD" w:rsidRDefault="005359DC" w:rsidP="002E24A9">
      <w:pPr>
        <w:pStyle w:val="Legenda"/>
        <w:rPr>
          <w:lang w:val="pl-PL"/>
        </w:rPr>
      </w:pPr>
      <w:bookmarkStart w:id="1" w:name="_Toc67904480"/>
      <w:bookmarkStart w:id="2" w:name="_Toc67909153"/>
      <w:bookmarkStart w:id="3" w:name="_Toc68113509"/>
      <w:r w:rsidRPr="002907DD">
        <w:rPr>
          <w:lang w:val="pl-PL"/>
        </w:rPr>
        <w:t xml:space="preserve">Rysunek </w:t>
      </w:r>
      <w:r w:rsidR="00733091">
        <w:fldChar w:fldCharType="begin"/>
      </w:r>
      <w:r w:rsidR="00733091" w:rsidRPr="002907DD">
        <w:rPr>
          <w:lang w:val="pl-PL"/>
        </w:rPr>
        <w:instrText xml:space="preserve"> SEQ Rysunek \* ARABIC </w:instrText>
      </w:r>
      <w:r w:rsidR="00733091">
        <w:fldChar w:fldCharType="separate"/>
      </w:r>
      <w:r w:rsidR="00B14787">
        <w:rPr>
          <w:noProof/>
          <w:lang w:val="pl-PL"/>
        </w:rPr>
        <w:t>1</w:t>
      </w:r>
      <w:r w:rsidR="00733091">
        <w:rPr>
          <w:noProof/>
        </w:rPr>
        <w:fldChar w:fldCharType="end"/>
      </w:r>
      <w:r w:rsidRPr="002907DD">
        <w:rPr>
          <w:lang w:val="pl-PL"/>
        </w:rPr>
        <w:t>: Proces diagnozy – metodyka</w:t>
      </w:r>
      <w:bookmarkEnd w:id="1"/>
      <w:bookmarkEnd w:id="2"/>
      <w:bookmarkEnd w:id="3"/>
      <w:r w:rsidRPr="002907DD">
        <w:rPr>
          <w:lang w:val="pl-PL"/>
        </w:rPr>
        <w:t xml:space="preserve"> </w:t>
      </w:r>
    </w:p>
    <w:p w14:paraId="605BFBCC" w14:textId="11463448" w:rsidR="002907DD" w:rsidRPr="002907DD" w:rsidRDefault="005359DC" w:rsidP="002907DD">
      <w:pPr>
        <w:ind w:left="0"/>
        <w:contextualSpacing/>
        <w:rPr>
          <w:color w:val="4472C4" w:themeColor="accent1"/>
          <w:lang w:val="pl-PL"/>
        </w:rPr>
      </w:pPr>
      <w:r w:rsidRPr="0095183D">
        <w:rPr>
          <w:noProof/>
        </w:rPr>
        <w:drawing>
          <wp:inline distT="0" distB="0" distL="0" distR="0" wp14:anchorId="0C09F0A9" wp14:editId="7AC0621B">
            <wp:extent cx="5737860" cy="2499360"/>
            <wp:effectExtent l="38100" t="0" r="15240" b="15240"/>
            <wp:docPr id="34" name="Diagram 34" descr="[opis alternatywny: rysunek pokazuje metodykę stosowaną w procesie diagnozy Południowych Mazur: wskazując na 5 etapów: 1. diagnoza wstępna, określenie wstępnych kierunków rozwojowych, etap 2 – diagnoza pogłębiona, Analiza PEST; etap 3 – określenie mocnych i słabych stron oraz szans i zagrożeń, etap 4 – określenie obszarów strategicznej interwencji – analiza SWOT, etap 5 – określenie determinant i wyzwań rozwojowych]"/>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 r:lo="rId20" r:qs="rId21" r:cs="rId22"/>
              </a:graphicData>
            </a:graphic>
          </wp:inline>
        </w:drawing>
      </w:r>
      <w:r w:rsidRPr="002907DD">
        <w:rPr>
          <w:rFonts w:asciiTheme="majorHAnsi" w:hAnsiTheme="majorHAnsi" w:cstheme="majorHAnsi"/>
          <w:lang w:val="pl-PL"/>
        </w:rPr>
        <w:t>Źródło: opracowanie własne</w:t>
      </w:r>
    </w:p>
    <w:p w14:paraId="14855F36" w14:textId="5F61AA64" w:rsidR="005359DC" w:rsidRPr="005B63BD" w:rsidRDefault="002907DD" w:rsidP="00A53827">
      <w:pPr>
        <w:rPr>
          <w:lang w:val="pl-PL"/>
        </w:rPr>
      </w:pPr>
      <w:r>
        <w:rPr>
          <w:lang w:val="pl-PL"/>
        </w:rPr>
        <w:br/>
      </w:r>
      <w:r w:rsidR="005359DC" w:rsidRPr="00733091">
        <w:rPr>
          <w:lang w:val="pl-PL"/>
        </w:rPr>
        <w:t xml:space="preserve">W </w:t>
      </w:r>
      <w:r w:rsidR="005359DC" w:rsidRPr="00733091">
        <w:rPr>
          <w:b/>
          <w:bCs/>
          <w:lang w:val="pl-PL"/>
        </w:rPr>
        <w:t>pierwszym etapie</w:t>
      </w:r>
      <w:r w:rsidR="005359DC" w:rsidRPr="00733091">
        <w:rPr>
          <w:lang w:val="pl-PL"/>
        </w:rPr>
        <w:t xml:space="preserve"> na podstawie wstępnej diagnozy obszaru Partnerstwa</w:t>
      </w:r>
      <w:r w:rsidR="005359DC" w:rsidRPr="0095183D">
        <w:rPr>
          <w:rStyle w:val="Odwoanieprzypisudolnego"/>
        </w:rPr>
        <w:footnoteReference w:id="9"/>
      </w:r>
      <w:r w:rsidR="005359DC" w:rsidRPr="00733091">
        <w:rPr>
          <w:lang w:val="pl-PL"/>
        </w:rPr>
        <w:t xml:space="preserve"> określono (w drodze dialogu strategicznego) </w:t>
      </w:r>
      <w:r w:rsidR="005359DC" w:rsidRPr="00733091">
        <w:rPr>
          <w:rFonts w:cstheme="minorHAnsi"/>
          <w:lang w:val="pl-PL"/>
        </w:rPr>
        <w:t xml:space="preserve">cztery </w:t>
      </w:r>
      <w:r w:rsidR="005359DC" w:rsidRPr="00733091">
        <w:rPr>
          <w:lang w:val="pl-PL"/>
        </w:rPr>
        <w:t>kierunki rozwojowe Partnerstwa Południowe Mazury</w:t>
      </w:r>
      <w:r w:rsidR="005359DC" w:rsidRPr="0095183D">
        <w:rPr>
          <w:rStyle w:val="Odwoanieprzypisudolnego"/>
        </w:rPr>
        <w:footnoteReference w:id="10"/>
      </w:r>
      <w:r w:rsidR="005359DC" w:rsidRPr="00733091">
        <w:rPr>
          <w:lang w:val="pl-PL"/>
        </w:rPr>
        <w:t xml:space="preserve"> (wykres poniżej). Stały się one podstawą dla pogłębiania diagnozy w poszczególnych wymiarach diagnostycznych oraz rozważań i formułowania wizji, misji i celów strategicznych Partnerstwa.</w:t>
      </w:r>
    </w:p>
    <w:p w14:paraId="5BA24ED7" w14:textId="6A2ECF0D" w:rsidR="005359DC" w:rsidRPr="00733091" w:rsidRDefault="005359DC" w:rsidP="002E24A9">
      <w:pPr>
        <w:pStyle w:val="Legenda"/>
        <w:rPr>
          <w:lang w:val="pl-PL"/>
        </w:rPr>
      </w:pPr>
      <w:bookmarkStart w:id="4" w:name="_Toc67904481"/>
      <w:bookmarkStart w:id="5" w:name="_Toc67909154"/>
      <w:bookmarkStart w:id="6" w:name="_Toc68113510"/>
      <w:r w:rsidRPr="00733091">
        <w:rPr>
          <w:lang w:val="pl-PL"/>
        </w:rPr>
        <w:lastRenderedPageBreak/>
        <w:t xml:space="preserve">Rysunek </w:t>
      </w:r>
      <w:r w:rsidR="00733091">
        <w:fldChar w:fldCharType="begin"/>
      </w:r>
      <w:r w:rsidR="00733091" w:rsidRPr="00733091">
        <w:rPr>
          <w:lang w:val="pl-PL"/>
        </w:rPr>
        <w:instrText xml:space="preserve"> SEQ Rysunek \* ARABIC </w:instrText>
      </w:r>
      <w:r w:rsidR="00733091">
        <w:fldChar w:fldCharType="separate"/>
      </w:r>
      <w:r w:rsidR="00B14787">
        <w:rPr>
          <w:noProof/>
          <w:lang w:val="pl-PL"/>
        </w:rPr>
        <w:t>2</w:t>
      </w:r>
      <w:r w:rsidR="00733091">
        <w:rPr>
          <w:noProof/>
        </w:rPr>
        <w:fldChar w:fldCharType="end"/>
      </w:r>
      <w:r w:rsidRPr="00733091">
        <w:rPr>
          <w:lang w:val="pl-PL"/>
        </w:rPr>
        <w:t>: Kierunki rozwojowe Partnerstwa Południowe Mazury</w:t>
      </w:r>
      <w:bookmarkEnd w:id="4"/>
      <w:bookmarkEnd w:id="5"/>
      <w:bookmarkEnd w:id="6"/>
    </w:p>
    <w:p w14:paraId="02B3FA57" w14:textId="759D652D" w:rsidR="005359DC" w:rsidRPr="002907DD" w:rsidRDefault="005359DC" w:rsidP="002907DD">
      <w:pPr>
        <w:ind w:left="0"/>
        <w:contextualSpacing/>
        <w:rPr>
          <w:color w:val="4472C4" w:themeColor="accent1"/>
          <w:lang w:val="pl-PL"/>
        </w:rPr>
      </w:pPr>
      <w:r w:rsidRPr="0095183D">
        <w:rPr>
          <w:noProof/>
          <w:color w:val="FF0000"/>
        </w:rPr>
        <w:drawing>
          <wp:inline distT="0" distB="0" distL="0" distR="0" wp14:anchorId="773616CD" wp14:editId="39BA3493">
            <wp:extent cx="5707380" cy="2910840"/>
            <wp:effectExtent l="0" t="0" r="26670" b="22860"/>
            <wp:docPr id="47" name="Diagram 47" descr="rysunek wskazuje przyjęte 4 kierunki strategiczne: w wymiarze gospodarczym (Konkurencyjna gospodarka oparta na endogennych potencjałach obszaru Partnerstwa, w wymiarze przestrzennym: Dostępny komunikacyjnie w wymiarze wewnętrznym i zewnętrznym obszar Partnerstwa, w wymiarze instytucjonalnym: Nowoczesna i zintegrowana   administracja obszaru Partnerstwa I w wymiarze społecznym: Wyspecjalizowane i dostępne usługi społeczne na obszarze Partnerstwa"/>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4" r:lo="rId25" r:qs="rId26" r:cs="rId27"/>
              </a:graphicData>
            </a:graphic>
          </wp:inline>
        </w:drawing>
      </w:r>
      <w:r w:rsidRPr="002907DD">
        <w:rPr>
          <w:rFonts w:asciiTheme="majorHAnsi" w:hAnsiTheme="majorHAnsi" w:cstheme="majorHAnsi"/>
          <w:lang w:val="pl-PL"/>
        </w:rPr>
        <w:t>Źródło: opracowanie ZMP na podstawie konwersacji strategicznej Partnerów</w:t>
      </w:r>
    </w:p>
    <w:p w14:paraId="5F96A131" w14:textId="77777777" w:rsidR="00136B5A" w:rsidRDefault="00136B5A" w:rsidP="00733091">
      <w:pPr>
        <w:rPr>
          <w:b/>
          <w:bCs/>
          <w:lang w:val="pl-PL"/>
        </w:rPr>
      </w:pPr>
    </w:p>
    <w:p w14:paraId="4D9795F9" w14:textId="30B2B3D0" w:rsidR="005359DC" w:rsidRPr="00733091" w:rsidRDefault="005359DC" w:rsidP="00733091">
      <w:pPr>
        <w:rPr>
          <w:b/>
          <w:bCs/>
          <w:color w:val="4472C4" w:themeColor="accent1"/>
          <w:lang w:val="pl-PL"/>
        </w:rPr>
      </w:pPr>
      <w:r w:rsidRPr="00733091">
        <w:rPr>
          <w:b/>
          <w:bCs/>
          <w:lang w:val="pl-PL"/>
        </w:rPr>
        <w:t>W drugim etapie</w:t>
      </w:r>
      <w:r w:rsidRPr="00733091">
        <w:rPr>
          <w:lang w:val="pl-PL"/>
        </w:rPr>
        <w:t xml:space="preserve"> – w celu potwierdzenia zasadności przyjętych kierunków strategicznych - przeprowadzono diagnozę pogłębioną</w:t>
      </w:r>
      <w:r w:rsidRPr="0095183D">
        <w:rPr>
          <w:rStyle w:val="Odwoanieprzypisudolnego"/>
          <w:rFonts w:cstheme="minorHAnsi"/>
        </w:rPr>
        <w:footnoteReference w:id="11"/>
      </w:r>
      <w:r w:rsidRPr="00733091">
        <w:rPr>
          <w:lang w:val="pl-PL"/>
        </w:rPr>
        <w:t xml:space="preserve"> (kontekstową) Partnerstwa w trzech wymiarach: </w:t>
      </w:r>
    </w:p>
    <w:p w14:paraId="4B615E68" w14:textId="28A179CE" w:rsidR="005359DC" w:rsidRPr="00733091" w:rsidRDefault="005359DC" w:rsidP="00733091">
      <w:pPr>
        <w:pStyle w:val="Akapitzlist"/>
        <w:numPr>
          <w:ilvl w:val="0"/>
          <w:numId w:val="5"/>
        </w:numPr>
        <w:ind w:left="851" w:firstLine="0"/>
        <w:rPr>
          <w:lang w:val="pl-PL"/>
        </w:rPr>
      </w:pPr>
      <w:r w:rsidRPr="00733091">
        <w:rPr>
          <w:u w:val="single"/>
          <w:lang w:val="pl-PL"/>
        </w:rPr>
        <w:t>wymiarze społecznym</w:t>
      </w:r>
      <w:r w:rsidRPr="00733091">
        <w:rPr>
          <w:lang w:val="pl-PL"/>
        </w:rPr>
        <w:t xml:space="preserve"> (obejmującym analizę procesów demograficznych, usług publicznych (edukacji i wychowania, kultury, sportu i rekreacji), aktywności </w:t>
      </w:r>
      <w:r w:rsidR="00CD14BE">
        <w:rPr>
          <w:lang w:val="pl-PL"/>
        </w:rPr>
        <w:br/>
      </w:r>
      <w:r w:rsidRPr="00733091">
        <w:rPr>
          <w:lang w:val="pl-PL"/>
        </w:rPr>
        <w:t xml:space="preserve">i integracji społecznej mieszkańców (w tym opieki społecznej), bezpieczeństwa </w:t>
      </w:r>
      <w:r w:rsidR="00CD14BE">
        <w:rPr>
          <w:lang w:val="pl-PL"/>
        </w:rPr>
        <w:br/>
      </w:r>
      <w:r w:rsidRPr="00733091">
        <w:rPr>
          <w:lang w:val="pl-PL"/>
        </w:rPr>
        <w:t xml:space="preserve">(w tym zdrowotnego) oraz mieszkalnictwa); </w:t>
      </w:r>
    </w:p>
    <w:p w14:paraId="716F8A4E" w14:textId="77777777" w:rsidR="005359DC" w:rsidRPr="00733091" w:rsidRDefault="005359DC" w:rsidP="00733091">
      <w:pPr>
        <w:pStyle w:val="Akapitzlist"/>
        <w:numPr>
          <w:ilvl w:val="0"/>
          <w:numId w:val="5"/>
        </w:numPr>
        <w:ind w:left="851" w:firstLine="0"/>
        <w:rPr>
          <w:lang w:val="pl-PL"/>
        </w:rPr>
      </w:pPr>
      <w:r w:rsidRPr="00733091">
        <w:rPr>
          <w:u w:val="single"/>
          <w:lang w:val="pl-PL"/>
        </w:rPr>
        <w:t>wymiarze gospodarczym</w:t>
      </w:r>
      <w:r w:rsidRPr="00733091">
        <w:rPr>
          <w:lang w:val="pl-PL"/>
        </w:rPr>
        <w:t xml:space="preserve"> (obejmującym analizę rynku pracy, struktury gospodarczej, atrakcyjności inwestycyjnej i konkurencyjności obszaru w skali regionu, przedsiębiorczości, ze szczególnym uwzględnieniem turystyki i rolnictwa); </w:t>
      </w:r>
    </w:p>
    <w:p w14:paraId="403A82B1" w14:textId="77777777" w:rsidR="00733091" w:rsidRDefault="005359DC" w:rsidP="00733091">
      <w:pPr>
        <w:pStyle w:val="Akapitzlist"/>
        <w:numPr>
          <w:ilvl w:val="0"/>
          <w:numId w:val="5"/>
        </w:numPr>
        <w:ind w:left="851" w:firstLine="0"/>
        <w:rPr>
          <w:lang w:val="pl-PL"/>
        </w:rPr>
      </w:pPr>
      <w:r w:rsidRPr="00733091">
        <w:rPr>
          <w:u w:val="single"/>
          <w:lang w:val="pl-PL"/>
        </w:rPr>
        <w:t>wymiarze środowiskowo-przestrzennym</w:t>
      </w:r>
      <w:r w:rsidRPr="00733091">
        <w:rPr>
          <w:lang w:val="pl-PL"/>
        </w:rPr>
        <w:t xml:space="preserve"> (obejmującym charakterystykę najważniejszych aspektów środowiska przyrodniczego oraz jego ochrony, jakości powietrza, dostępności komunikacyjnej obszaru i jego zagospodarowania przestrzennego oraz usług komunalnych). </w:t>
      </w:r>
    </w:p>
    <w:p w14:paraId="1267CFD5" w14:textId="31165152" w:rsidR="005359DC" w:rsidRPr="00733091" w:rsidRDefault="005359DC" w:rsidP="00733091">
      <w:pPr>
        <w:pStyle w:val="Akapitzlist"/>
        <w:numPr>
          <w:ilvl w:val="0"/>
          <w:numId w:val="0"/>
        </w:numPr>
        <w:ind w:left="851"/>
        <w:rPr>
          <w:lang w:val="pl-PL"/>
        </w:rPr>
      </w:pPr>
      <w:r w:rsidRPr="00733091">
        <w:rPr>
          <w:lang w:val="pl-PL"/>
        </w:rPr>
        <w:t>wzbogacając ją informacjami o współpracy i aktywności Partnerstwa</w:t>
      </w:r>
      <w:r>
        <w:rPr>
          <w:rStyle w:val="Odwoanieprzypisudolnego"/>
        </w:rPr>
        <w:footnoteReference w:id="12"/>
      </w:r>
      <w:r w:rsidRPr="00733091">
        <w:rPr>
          <w:lang w:val="pl-PL"/>
        </w:rPr>
        <w:t xml:space="preserve"> oraz zdolnościach Partnerstwa do finansowania rozwoju</w:t>
      </w:r>
      <w:r>
        <w:rPr>
          <w:rStyle w:val="Odwoanieprzypisudolnego"/>
        </w:rPr>
        <w:footnoteReference w:id="13"/>
      </w:r>
      <w:r w:rsidRPr="00733091">
        <w:rPr>
          <w:lang w:val="pl-PL"/>
        </w:rPr>
        <w:t xml:space="preserve"> </w:t>
      </w:r>
      <w:r w:rsidRPr="00733091">
        <w:rPr>
          <w:u w:val="single"/>
          <w:lang w:val="pl-PL"/>
        </w:rPr>
        <w:t>(wymiar instytucjonalny).</w:t>
      </w:r>
      <w:r w:rsidRPr="00733091">
        <w:rPr>
          <w:lang w:val="pl-PL"/>
        </w:rPr>
        <w:t xml:space="preserve"> </w:t>
      </w:r>
    </w:p>
    <w:p w14:paraId="22D5289A" w14:textId="44742C70" w:rsidR="005359DC" w:rsidRPr="00733091" w:rsidRDefault="005359DC" w:rsidP="00733091">
      <w:pPr>
        <w:rPr>
          <w:lang w:val="pl-PL"/>
        </w:rPr>
      </w:pPr>
      <w:r w:rsidRPr="00733091">
        <w:rPr>
          <w:lang w:val="pl-PL"/>
        </w:rPr>
        <w:lastRenderedPageBreak/>
        <w:t>Diagnozę pogłębioną Partnerstwa uzupełniono analizą PEST (czynników zewnętrznych wpływających na rozwój Partnerstwa).</w:t>
      </w:r>
    </w:p>
    <w:p w14:paraId="6683685F" w14:textId="77777777" w:rsidR="005359DC" w:rsidRPr="00733091" w:rsidRDefault="005359DC" w:rsidP="00733091">
      <w:pPr>
        <w:rPr>
          <w:b/>
          <w:bCs/>
          <w:lang w:val="pl-PL"/>
        </w:rPr>
      </w:pPr>
      <w:r w:rsidRPr="00733091">
        <w:rPr>
          <w:lang w:val="pl-PL"/>
        </w:rPr>
        <w:t xml:space="preserve">W wyniku diagnozy pogłębionej i analizy PEST wskazano potencjały, bariery i problemy Partnerstwa oraz określono jego mocne i słabe strony, a także szanse i zagrożenia </w:t>
      </w:r>
      <w:r w:rsidRPr="00733091">
        <w:rPr>
          <w:b/>
          <w:bCs/>
          <w:lang w:val="pl-PL"/>
        </w:rPr>
        <w:t>(etap trzeci).</w:t>
      </w:r>
    </w:p>
    <w:p w14:paraId="5A47E8D7" w14:textId="41809108" w:rsidR="005359DC" w:rsidRPr="00733091" w:rsidRDefault="005359DC" w:rsidP="00733091">
      <w:pPr>
        <w:rPr>
          <w:b/>
          <w:bCs/>
          <w:lang w:val="pl-PL"/>
        </w:rPr>
      </w:pPr>
      <w:r w:rsidRPr="00733091">
        <w:rPr>
          <w:lang w:val="pl-PL"/>
        </w:rPr>
        <w:t xml:space="preserve">Stały się one podstawą </w:t>
      </w:r>
      <w:r w:rsidR="005D1A8B">
        <w:rPr>
          <w:lang w:val="pl-PL"/>
        </w:rPr>
        <w:t xml:space="preserve">dla </w:t>
      </w:r>
      <w:r w:rsidRPr="00733091">
        <w:rPr>
          <w:color w:val="000000" w:themeColor="text1"/>
          <w:lang w:val="pl-PL"/>
        </w:rPr>
        <w:t>z</w:t>
      </w:r>
      <w:r w:rsidRPr="00733091">
        <w:rPr>
          <w:rStyle w:val="normaltextrun"/>
          <w:rFonts w:ascii="Calibri" w:hAnsi="Calibri" w:cs="Calibri"/>
          <w:color w:val="000000" w:themeColor="text1"/>
          <w:shd w:val="clear" w:color="auto" w:fill="FFFFFF"/>
          <w:lang w:val="pl-PL"/>
        </w:rPr>
        <w:t>weryfikowani</w:t>
      </w:r>
      <w:r w:rsidR="005D1A8B">
        <w:rPr>
          <w:rStyle w:val="normaltextrun"/>
          <w:rFonts w:ascii="Calibri" w:hAnsi="Calibri" w:cs="Calibri"/>
          <w:color w:val="000000" w:themeColor="text1"/>
          <w:shd w:val="clear" w:color="auto" w:fill="FFFFFF"/>
          <w:lang w:val="pl-PL"/>
        </w:rPr>
        <w:t xml:space="preserve">a zasadności i możliwości realizacji </w:t>
      </w:r>
      <w:r w:rsidRPr="00733091">
        <w:rPr>
          <w:rStyle w:val="normaltextrun"/>
          <w:rFonts w:ascii="Calibri" w:hAnsi="Calibri" w:cs="Calibri"/>
          <w:color w:val="000000" w:themeColor="text1"/>
          <w:shd w:val="clear" w:color="auto" w:fill="FFFFFF"/>
          <w:lang w:val="pl-PL"/>
        </w:rPr>
        <w:t>wstępnie określonych kierunków rozwojowych </w:t>
      </w:r>
      <w:r w:rsidRPr="00733091">
        <w:rPr>
          <w:b/>
          <w:bCs/>
          <w:lang w:val="pl-PL"/>
        </w:rPr>
        <w:t xml:space="preserve">(etap czwarty).  </w:t>
      </w:r>
    </w:p>
    <w:p w14:paraId="4814B652" w14:textId="13453F4B" w:rsidR="00733091" w:rsidRPr="00733091" w:rsidRDefault="005359DC" w:rsidP="00733091">
      <w:pPr>
        <w:rPr>
          <w:lang w:val="pl-PL"/>
        </w:rPr>
      </w:pPr>
      <w:r w:rsidRPr="00733091">
        <w:rPr>
          <w:lang w:val="pl-PL"/>
        </w:rPr>
        <w:t xml:space="preserve">W kolejnym etapie </w:t>
      </w:r>
      <w:r w:rsidRPr="00733091">
        <w:rPr>
          <w:b/>
          <w:bCs/>
          <w:lang w:val="pl-PL"/>
        </w:rPr>
        <w:t>(etap piąty)</w:t>
      </w:r>
      <w:r w:rsidRPr="00733091">
        <w:rPr>
          <w:lang w:val="pl-PL"/>
        </w:rPr>
        <w:t xml:space="preserve"> wskazano determinanty i wyzwania rozwojowe Partnerstwa w odniesieniu do wyodrębnionych </w:t>
      </w:r>
      <w:r w:rsidR="005D1A8B">
        <w:rPr>
          <w:lang w:val="pl-PL"/>
        </w:rPr>
        <w:t>kierunków rozwojowych</w:t>
      </w:r>
      <w:r w:rsidRPr="00733091">
        <w:rPr>
          <w:lang w:val="pl-PL"/>
        </w:rPr>
        <w:t xml:space="preserve">. </w:t>
      </w:r>
    </w:p>
    <w:p w14:paraId="4C477D3A" w14:textId="34A9BCB1" w:rsidR="005359DC" w:rsidRPr="00733091" w:rsidRDefault="005359DC" w:rsidP="00733091">
      <w:pPr>
        <w:rPr>
          <w:lang w:val="pl-PL"/>
        </w:rPr>
      </w:pPr>
      <w:r w:rsidRPr="00733091">
        <w:rPr>
          <w:lang w:val="pl-PL"/>
        </w:rPr>
        <w:t>Dokument diagnozy został podzielony na trzy rozdziały:</w:t>
      </w:r>
    </w:p>
    <w:p w14:paraId="6D9BF4A8" w14:textId="222C531D" w:rsidR="005359DC" w:rsidRDefault="005359DC" w:rsidP="002907DD">
      <w:pPr>
        <w:pStyle w:val="Akapitzlist"/>
        <w:numPr>
          <w:ilvl w:val="0"/>
          <w:numId w:val="5"/>
        </w:numPr>
        <w:jc w:val="both"/>
        <w:rPr>
          <w:lang w:val="pl-PL"/>
        </w:rPr>
      </w:pPr>
      <w:r w:rsidRPr="00733091">
        <w:rPr>
          <w:lang w:val="pl-PL"/>
        </w:rPr>
        <w:t>rozdział 1: „Charakterystyka Partnerstwa” (zawierający opis Partnerstwa, powiązań funkcjonalnych oraz funkcji Partnerstwa),</w:t>
      </w:r>
    </w:p>
    <w:p w14:paraId="1305C207" w14:textId="3941A73C" w:rsidR="005359DC" w:rsidRDefault="005359DC" w:rsidP="002907DD">
      <w:pPr>
        <w:pStyle w:val="Akapitzlist"/>
        <w:numPr>
          <w:ilvl w:val="0"/>
          <w:numId w:val="5"/>
        </w:numPr>
        <w:jc w:val="both"/>
        <w:rPr>
          <w:lang w:val="pl-PL"/>
        </w:rPr>
      </w:pPr>
      <w:r w:rsidRPr="002907DD">
        <w:rPr>
          <w:lang w:val="pl-PL"/>
        </w:rPr>
        <w:t>rozdział 2: „Portret statystyczny Partnerstwa” (zawierający diagnozę ogólną i pogłębioną – kontekstową obszaru Partnerstwa – etap 2),</w:t>
      </w:r>
    </w:p>
    <w:p w14:paraId="5EF136B8" w14:textId="508A1CFF" w:rsidR="005359DC" w:rsidRPr="002907DD" w:rsidRDefault="005359DC" w:rsidP="002907DD">
      <w:pPr>
        <w:pStyle w:val="Akapitzlist"/>
        <w:numPr>
          <w:ilvl w:val="0"/>
          <w:numId w:val="5"/>
        </w:numPr>
        <w:jc w:val="both"/>
        <w:rPr>
          <w:lang w:val="pl-PL"/>
        </w:rPr>
      </w:pPr>
      <w:r w:rsidRPr="002907DD">
        <w:rPr>
          <w:lang w:val="pl-PL"/>
        </w:rPr>
        <w:t>rozdział 3: „Potencjały, bariery i potrzeby rozwojowe Partnerstwa” (zawierający podsumowanie diagnozy z określeniem potencjałów, barier rozwojowych, determinant i wyzwań Partnerstwa – etap 3,4,5).</w:t>
      </w:r>
    </w:p>
    <w:p w14:paraId="66CD292D" w14:textId="77777777" w:rsidR="005359DC" w:rsidRPr="00733091" w:rsidRDefault="005359DC" w:rsidP="00733091">
      <w:pPr>
        <w:jc w:val="both"/>
        <w:rPr>
          <w:lang w:val="pl-PL"/>
        </w:rPr>
      </w:pPr>
      <w:r w:rsidRPr="0095183D">
        <w:rPr>
          <w:noProof/>
        </w:rPr>
        <mc:AlternateContent>
          <mc:Choice Requires="wps">
            <w:drawing>
              <wp:anchor distT="0" distB="0" distL="114300" distR="114300" simplePos="0" relativeHeight="251658245" behindDoc="0" locked="0" layoutInCell="1" allowOverlap="1" wp14:anchorId="67B4EC1D" wp14:editId="4AF98F28">
                <wp:simplePos x="0" y="0"/>
                <wp:positionH relativeFrom="column">
                  <wp:posOffset>494030</wp:posOffset>
                </wp:positionH>
                <wp:positionV relativeFrom="paragraph">
                  <wp:posOffset>200025</wp:posOffset>
                </wp:positionV>
                <wp:extent cx="5288280" cy="769620"/>
                <wp:effectExtent l="0" t="0" r="26670" b="11430"/>
                <wp:wrapNone/>
                <wp:docPr id="1" name="Pole tekstowe 1"/>
                <wp:cNvGraphicFramePr/>
                <a:graphic xmlns:a="http://schemas.openxmlformats.org/drawingml/2006/main">
                  <a:graphicData uri="http://schemas.microsoft.com/office/word/2010/wordprocessingShape">
                    <wps:wsp>
                      <wps:cNvSpPr txBox="1"/>
                      <wps:spPr>
                        <a:xfrm>
                          <a:off x="0" y="0"/>
                          <a:ext cx="5288280" cy="769620"/>
                        </a:xfrm>
                        <a:prstGeom prst="rect">
                          <a:avLst/>
                        </a:prstGeom>
                        <a:solidFill>
                          <a:schemeClr val="accent5">
                            <a:lumMod val="20000"/>
                            <a:lumOff val="80000"/>
                          </a:schemeClr>
                        </a:solidFill>
                        <a:ln w="6350">
                          <a:solidFill>
                            <a:schemeClr val="tx2"/>
                          </a:solidFill>
                        </a:ln>
                      </wps:spPr>
                      <wps:txbx>
                        <w:txbxContent>
                          <w:p w14:paraId="2BA213FE" w14:textId="6F600F99" w:rsidR="00B14787" w:rsidRPr="00733091" w:rsidRDefault="00B14787" w:rsidP="006E6ABC">
                            <w:pPr>
                              <w:spacing w:before="100" w:beforeAutospacing="1" w:after="100" w:afterAutospacing="1" w:line="240" w:lineRule="auto"/>
                              <w:ind w:left="142"/>
                              <w:contextualSpacing/>
                              <w:jc w:val="both"/>
                              <w:rPr>
                                <w:lang w:val="pl-PL"/>
                              </w:rPr>
                            </w:pPr>
                            <w:r w:rsidRPr="00733091">
                              <w:rPr>
                                <w:lang w:val="pl-PL"/>
                              </w:rPr>
                              <w:t>W t</w:t>
                            </w:r>
                            <w:r>
                              <w:rPr>
                                <w:lang w:val="pl-PL"/>
                              </w:rPr>
                              <w:t>reści</w:t>
                            </w:r>
                            <w:r w:rsidRPr="00733091">
                              <w:rPr>
                                <w:lang w:val="pl-PL"/>
                              </w:rPr>
                              <w:t xml:space="preserve"> diagnozy opinie pozyskane w badaniach ankietowych: młodzieży, mieszkańców i liderów lokalnych zostały wyróżnione ikonami i ramkami w kolorze niebieskim.</w:t>
                            </w:r>
                          </w:p>
                          <w:p w14:paraId="03E5C26F" w14:textId="77777777" w:rsidR="00B14787" w:rsidRPr="00733091" w:rsidRDefault="00B14787" w:rsidP="005359DC">
                            <w:pPr>
                              <w:spacing w:before="100" w:beforeAutospacing="1" w:after="100" w:afterAutospacing="1" w:line="240" w:lineRule="auto"/>
                              <w:contextualSpacing/>
                              <w:jc w:val="both"/>
                              <w:rPr>
                                <w:color w:val="44546A" w:themeColor="text2"/>
                                <w:sz w:val="18"/>
                                <w:szCs w:val="18"/>
                                <w:lang w:val="pl-PL"/>
                              </w:rPr>
                            </w:pPr>
                            <w:r w:rsidRPr="00733091">
                              <w:rPr>
                                <w:lang w:val="pl-PL"/>
                              </w:rPr>
                              <w:br/>
                            </w:r>
                            <w:r w:rsidRPr="00733091">
                              <w:rPr>
                                <w:color w:val="44546A" w:themeColor="text2"/>
                                <w:sz w:val="18"/>
                                <w:szCs w:val="18"/>
                                <w:lang w:val="pl-PL"/>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7B4EC1D" id="_x0000_t202" coordsize="21600,21600" o:spt="202" path="m,l,21600r21600,l21600,xe">
                <v:stroke joinstyle="miter"/>
                <v:path gradientshapeok="t" o:connecttype="rect"/>
              </v:shapetype>
              <v:shape id="Pole tekstowe 1" o:spid="_x0000_s1026" type="#_x0000_t202" style="position:absolute;left:0;text-align:left;margin-left:38.9pt;margin-top:15.75pt;width:416.4pt;height:60.6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" fillcolor="#deeaf6 [664]" strokecolor="#44546a [3215]" strokeweight=".5pt">
                <v:textbox>
                  <w:txbxContent>
                    <w:p w14:paraId="2BA213FE" w14:textId="6F600F99" w:rsidR="00B14787" w:rsidRPr="00733091" w:rsidRDefault="00B14787" w:rsidP="006E6ABC">
                      <w:pPr>
                        <w:spacing w:before="100" w:beforeAutospacing="1" w:after="100" w:afterAutospacing="1" w:line="240" w:lineRule="auto"/>
                        <w:ind w:left="142"/>
                        <w:contextualSpacing/>
                        <w:jc w:val="both"/>
                        <w:rPr>
                          <w:lang w:val="pl-PL"/>
                        </w:rPr>
                      </w:pPr>
                      <w:r w:rsidRPr="00733091">
                        <w:rPr>
                          <w:lang w:val="pl-PL"/>
                        </w:rPr>
                        <w:t>W t</w:t>
                      </w:r>
                      <w:r>
                        <w:rPr>
                          <w:lang w:val="pl-PL"/>
                        </w:rPr>
                        <w:t>reści</w:t>
                      </w:r>
                      <w:r w:rsidRPr="00733091">
                        <w:rPr>
                          <w:lang w:val="pl-PL"/>
                        </w:rPr>
                        <w:t xml:space="preserve"> diagnozy opinie pozyskane w badaniach ankietowych: młodzieży, mieszkańców i liderów lokalnych zostały wyróżnione ikonami i ramkami w kolorze niebieskim.</w:t>
                      </w:r>
                    </w:p>
                    <w:p w14:paraId="03E5C26F" w14:textId="77777777" w:rsidR="00B14787" w:rsidRPr="00733091" w:rsidRDefault="00B14787" w:rsidP="005359DC">
                      <w:pPr>
                        <w:spacing w:before="100" w:beforeAutospacing="1" w:after="100" w:afterAutospacing="1" w:line="240" w:lineRule="auto"/>
                        <w:contextualSpacing/>
                        <w:jc w:val="both"/>
                        <w:rPr>
                          <w:color w:val="44546A" w:themeColor="text2"/>
                          <w:sz w:val="18"/>
                          <w:szCs w:val="18"/>
                          <w:lang w:val="pl-PL"/>
                        </w:rPr>
                      </w:pPr>
                      <w:r w:rsidRPr="00733091">
                        <w:rPr>
                          <w:lang w:val="pl-PL"/>
                        </w:rPr>
                        <w:br/>
                      </w:r>
                      <w:r w:rsidRPr="00733091">
                        <w:rPr>
                          <w:color w:val="44546A" w:themeColor="text2"/>
                          <w:sz w:val="18"/>
                          <w:szCs w:val="18"/>
                          <w:lang w:val="pl-PL"/>
                        </w:rPr>
                        <w:t xml:space="preserve">                                                                                           </w:t>
                      </w:r>
                    </w:p>
                  </w:txbxContent>
                </v:textbox>
              </v:shape>
            </w:pict>
          </mc:Fallback>
        </mc:AlternateContent>
      </w:r>
    </w:p>
    <w:p w14:paraId="67B1989C" w14:textId="77777777" w:rsidR="005359DC" w:rsidRPr="0095183D" w:rsidRDefault="005359DC" w:rsidP="00733091">
      <w:pPr>
        <w:contextualSpacing/>
        <w:jc w:val="both"/>
      </w:pPr>
      <w:r w:rsidRPr="0095183D">
        <w:rPr>
          <w:rFonts w:cstheme="minorHAnsi"/>
          <w:noProof/>
          <w:color w:val="001133"/>
          <w:shd w:val="clear" w:color="auto" w:fill="FFFFFF"/>
        </w:rPr>
        <w:drawing>
          <wp:inline distT="0" distB="0" distL="0" distR="0" wp14:anchorId="116BA669" wp14:editId="69DBD2BF">
            <wp:extent cx="365760" cy="365760"/>
            <wp:effectExtent l="0" t="0" r="0" b="0"/>
            <wp:docPr id="8" name="Grafika 8" descr="Lista kontrolna (od prawej do lew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a 14" descr="Lista kontrolna (od prawej do lewej)"/>
                    <pic:cNvPicPr/>
                  </pic:nvPicPr>
                  <pic:blipFill>
                    <a:blip r:embed="rId29" cstate="print">
                      <a:extLst>
                        <a:ext uri="{28A0092B-C50C-407E-A947-70E740481C1C}">
                          <a14:useLocalDpi xmlns:a14="http://schemas.microsoft.com/office/drawing/2010/main" val="0"/>
                        </a:ext>
                        <a:ext uri="{96DAC541-7B7A-43D3-8B79-37D633B846F1}">
                          <asvg:svgBlip xmlns:asvg="http://schemas.microsoft.com/office/drawing/2016/SVG/main" r:embed="rId30"/>
                        </a:ext>
                      </a:extLst>
                    </a:blip>
                    <a:stretch>
                      <a:fillRect/>
                    </a:stretch>
                  </pic:blipFill>
                  <pic:spPr>
                    <a:xfrm>
                      <a:off x="0" y="0"/>
                      <a:ext cx="365760" cy="365760"/>
                    </a:xfrm>
                    <a:prstGeom prst="rect">
                      <a:avLst/>
                    </a:prstGeom>
                  </pic:spPr>
                </pic:pic>
              </a:graphicData>
            </a:graphic>
          </wp:inline>
        </w:drawing>
      </w:r>
    </w:p>
    <w:p w14:paraId="23387CC7" w14:textId="77777777" w:rsidR="005359DC" w:rsidRPr="0095183D" w:rsidRDefault="005359DC" w:rsidP="00733091">
      <w:pPr>
        <w:ind w:firstLine="567"/>
        <w:contextualSpacing/>
        <w:jc w:val="both"/>
      </w:pPr>
    </w:p>
    <w:p w14:paraId="4917AB8B" w14:textId="77777777" w:rsidR="005359DC" w:rsidRPr="0095183D" w:rsidRDefault="005359DC" w:rsidP="00733091">
      <w:pPr>
        <w:ind w:firstLine="567"/>
        <w:contextualSpacing/>
        <w:jc w:val="both"/>
      </w:pPr>
    </w:p>
    <w:p w14:paraId="2C1CD7C0" w14:textId="77777777" w:rsidR="005359DC" w:rsidRPr="0095183D" w:rsidRDefault="005359DC" w:rsidP="00733091">
      <w:pPr>
        <w:ind w:firstLine="567"/>
        <w:contextualSpacing/>
        <w:jc w:val="both"/>
      </w:pPr>
    </w:p>
    <w:p w14:paraId="0ED50C63" w14:textId="77777777" w:rsidR="005359DC" w:rsidRPr="005359DC" w:rsidRDefault="005359DC" w:rsidP="00136B5A">
      <w:pPr>
        <w:ind w:left="0"/>
        <w:rPr>
          <w:lang w:val="pl-PL"/>
        </w:rPr>
      </w:pPr>
    </w:p>
    <w:p w14:paraId="60154556" w14:textId="3D64E288" w:rsidR="007E58A1" w:rsidRPr="00690E7F" w:rsidRDefault="00120B4A" w:rsidP="00733091">
      <w:pPr>
        <w:pStyle w:val="Nagwek1"/>
        <w:spacing w:before="120" w:after="240"/>
        <w:rPr>
          <w:lang w:val="en-US"/>
        </w:rPr>
      </w:pPr>
      <w:bookmarkStart w:id="7" w:name="_Toc69725427"/>
      <w:r w:rsidRPr="00120B4A">
        <w:rPr>
          <w:lang w:val="en-US"/>
        </w:rPr>
        <w:lastRenderedPageBreak/>
        <w:t>CHARAKTERYSTYKA PARTNERSTWA</w:t>
      </w:r>
      <w:bookmarkEnd w:id="7"/>
    </w:p>
    <w:p w14:paraId="75DF87C2" w14:textId="4189A031" w:rsidR="008360FF" w:rsidRDefault="00120B4A" w:rsidP="00733091">
      <w:pPr>
        <w:pStyle w:val="Nagwek2"/>
        <w:spacing w:before="120"/>
        <w:rPr>
          <w:lang w:val="pl-PL"/>
        </w:rPr>
      </w:pPr>
      <w:bookmarkStart w:id="8" w:name="_Toc69725428"/>
      <w:r w:rsidRPr="00120B4A">
        <w:rPr>
          <w:lang w:val="pl-PL"/>
        </w:rPr>
        <w:t>Podstawowe informacje o Partnerstwie</w:t>
      </w:r>
      <w:bookmarkEnd w:id="8"/>
    </w:p>
    <w:p w14:paraId="6F3D586E" w14:textId="77777777" w:rsidR="00733091" w:rsidRDefault="00733091" w:rsidP="00733091">
      <w:pPr>
        <w:rPr>
          <w:lang w:val="pl-PL"/>
        </w:rPr>
      </w:pPr>
    </w:p>
    <w:p w14:paraId="6FD19484" w14:textId="5C8ED990" w:rsidR="004C537B" w:rsidRPr="00733091" w:rsidRDefault="004C537B" w:rsidP="00733091">
      <w:pPr>
        <w:rPr>
          <w:lang w:val="pl-PL"/>
        </w:rPr>
      </w:pPr>
      <w:r w:rsidRPr="00733091">
        <w:rPr>
          <w:lang w:val="pl-PL"/>
        </w:rPr>
        <w:t xml:space="preserve">Partnerstwo „Południowe Mazury” jest </w:t>
      </w:r>
      <w:r w:rsidRPr="00733091">
        <w:rPr>
          <w:b/>
          <w:bCs/>
          <w:lang w:val="pl-PL"/>
        </w:rPr>
        <w:t>niezinstytucjonalizowaną formą współpracy</w:t>
      </w:r>
      <w:r w:rsidRPr="00733091">
        <w:rPr>
          <w:lang w:val="pl-PL"/>
        </w:rPr>
        <w:t xml:space="preserve"> 26 jednostek samorządu terytorialnego szczebla gminnego i powiatowego, tj: Powiatu Szczycieńskiego, Miasta Szczytno, Gminy Pasym, Gminy Wielbark, Gminy Szczytno, Gminy Dźwierzuty, Gminy Jedwabno, Gminy Rozogi, Gminy Świętajno, Powiatu Działdowskiego, Gminy Rybno, Gminy Płośnica, Miasta Lidzbark, Gminy Działdowo, Miasta Działdowo, Gminy Iłowo-Osada, Powiatu Nidzickiego, Gminy Kozłowo, Gminy Nidzica, Gminy Janowo, Gminy Janowiec Kościelny, Powiatu Piskiego, Gminy Ruciane-Nida, Gminy Biała Piska, Gminy Orzysz </w:t>
      </w:r>
      <w:r w:rsidR="00733091">
        <w:rPr>
          <w:lang w:val="pl-PL"/>
        </w:rPr>
        <w:br/>
      </w:r>
      <w:r w:rsidRPr="00733091">
        <w:rPr>
          <w:lang w:val="pl-PL"/>
        </w:rPr>
        <w:t>i Gminy Pisz.</w:t>
      </w:r>
    </w:p>
    <w:p w14:paraId="563B8C01" w14:textId="1F9D2E30" w:rsidR="004C537B" w:rsidRPr="00733091" w:rsidRDefault="004C537B" w:rsidP="00733091">
      <w:pPr>
        <w:rPr>
          <w:rFonts w:cs="Calibri Light"/>
          <w:lang w:val="pl-PL"/>
        </w:rPr>
      </w:pPr>
      <w:r w:rsidRPr="00733091">
        <w:rPr>
          <w:rFonts w:cstheme="minorHAnsi"/>
          <w:lang w:val="pl-PL"/>
        </w:rPr>
        <w:t xml:space="preserve">Partnerstwo zostało powołane w celu </w:t>
      </w:r>
      <w:r w:rsidRPr="00733091">
        <w:rPr>
          <w:rFonts w:cs="Calibri Light"/>
          <w:lang w:val="pl-PL"/>
        </w:rPr>
        <w:t>wzmocnienia kompetencji JST</w:t>
      </w:r>
      <w:r w:rsidR="00D467C8">
        <w:rPr>
          <w:rStyle w:val="Odwoanieprzypisudolnego"/>
          <w:rFonts w:cs="Calibri Light"/>
          <w:lang w:val="pl-PL"/>
        </w:rPr>
        <w:footnoteReference w:id="14"/>
      </w:r>
      <w:r w:rsidRPr="00733091">
        <w:rPr>
          <w:rFonts w:cs="Calibri Light"/>
          <w:lang w:val="pl-PL"/>
        </w:rPr>
        <w:t xml:space="preserve"> wchodzących </w:t>
      </w:r>
      <w:r w:rsidR="00733091">
        <w:rPr>
          <w:rFonts w:cs="Calibri Light"/>
          <w:lang w:val="pl-PL"/>
        </w:rPr>
        <w:br/>
      </w:r>
      <w:r w:rsidRPr="00733091">
        <w:rPr>
          <w:rFonts w:cs="Calibri Light"/>
          <w:lang w:val="pl-PL"/>
        </w:rPr>
        <w:t xml:space="preserve">w jego skład w zakresie zarządzania strategicznego rozwojem lokalnym oraz w celu inicjowania i realizacji kompleksowych przedsięwzięć rozwojowych, a także – </w:t>
      </w:r>
      <w:r w:rsidR="00733091">
        <w:rPr>
          <w:rFonts w:cs="Calibri Light"/>
          <w:lang w:val="pl-PL"/>
        </w:rPr>
        <w:br/>
      </w:r>
      <w:r w:rsidRPr="00733091">
        <w:rPr>
          <w:rFonts w:cs="Calibri Light"/>
          <w:lang w:val="pl-PL"/>
        </w:rPr>
        <w:t xml:space="preserve">w dłuższej perspektywie czasowej – wspólnej realizacji usług publicznych. </w:t>
      </w:r>
      <w:r w:rsidRPr="00733091">
        <w:rPr>
          <w:rFonts w:cstheme="minorHAnsi"/>
          <w:lang w:val="pl-PL"/>
        </w:rPr>
        <w:t xml:space="preserve">Partnerstwo obecnie nie ma osobowości prawnej; działa w oparciu o </w:t>
      </w:r>
      <w:r w:rsidRPr="00733091">
        <w:rPr>
          <w:rFonts w:cstheme="minorHAnsi"/>
          <w:b/>
          <w:bCs/>
          <w:lang w:val="pl-PL"/>
        </w:rPr>
        <w:t xml:space="preserve">list intencyjny </w:t>
      </w:r>
      <w:r w:rsidRPr="00733091">
        <w:rPr>
          <w:rFonts w:cstheme="minorHAnsi"/>
          <w:lang w:val="pl-PL"/>
        </w:rPr>
        <w:t xml:space="preserve">podpisany w dniu 24.09.2020 r. przez wskazane wyżej JST oraz </w:t>
      </w:r>
      <w:r w:rsidRPr="00733091">
        <w:rPr>
          <w:rFonts w:cstheme="minorHAnsi"/>
          <w:b/>
          <w:bCs/>
          <w:lang w:val="pl-PL"/>
        </w:rPr>
        <w:t>Regulamin Partnerstwa</w:t>
      </w:r>
      <w:r w:rsidRPr="00733091">
        <w:rPr>
          <w:rFonts w:cstheme="minorHAnsi"/>
          <w:lang w:val="pl-PL"/>
        </w:rPr>
        <w:t xml:space="preserve"> przyjęty w dniu 11.12.2020 r., zawierający postanowienia regulujące organizację i tryb pracy Partnerstwa.</w:t>
      </w:r>
    </w:p>
    <w:p w14:paraId="4576EC89" w14:textId="77777777" w:rsidR="004C537B" w:rsidRPr="00733091" w:rsidRDefault="004C537B" w:rsidP="00733091">
      <w:pPr>
        <w:contextualSpacing/>
        <w:rPr>
          <w:rFonts w:cstheme="minorHAnsi"/>
          <w:b/>
          <w:bCs/>
          <w:lang w:val="pl-PL"/>
        </w:rPr>
      </w:pPr>
      <w:r w:rsidRPr="00733091">
        <w:rPr>
          <w:rFonts w:cstheme="minorHAnsi"/>
          <w:lang w:val="pl-PL"/>
        </w:rPr>
        <w:t xml:space="preserve">Partnerstwo „Południowe Mazury” obejmuje </w:t>
      </w:r>
      <w:r w:rsidRPr="00733091">
        <w:rPr>
          <w:rFonts w:cstheme="minorHAnsi"/>
          <w:b/>
          <w:bCs/>
          <w:lang w:val="pl-PL"/>
        </w:rPr>
        <w:t xml:space="preserve">obszar </w:t>
      </w:r>
      <w:r w:rsidRPr="00733091">
        <w:rPr>
          <w:rFonts w:cstheme="minorHAnsi"/>
          <w:lang w:val="pl-PL"/>
        </w:rPr>
        <w:t xml:space="preserve">położony w południowej części województwa warmińsko-mazurskiego (przy granicy z województwem mazowieckim) </w:t>
      </w:r>
      <w:r w:rsidRPr="00733091">
        <w:rPr>
          <w:rFonts w:cstheme="minorHAnsi"/>
          <w:b/>
          <w:bCs/>
          <w:lang w:val="pl-PL"/>
        </w:rPr>
        <w:t>o powierzchni 5.623 km</w:t>
      </w:r>
      <w:r w:rsidRPr="00733091">
        <w:rPr>
          <w:rFonts w:cstheme="minorHAnsi"/>
          <w:b/>
          <w:bCs/>
          <w:vertAlign w:val="superscript"/>
          <w:lang w:val="pl-PL"/>
        </w:rPr>
        <w:t>2</w:t>
      </w:r>
      <w:r w:rsidRPr="00733091">
        <w:rPr>
          <w:rFonts w:cstheme="minorHAnsi"/>
          <w:b/>
          <w:bCs/>
          <w:lang w:val="pl-PL"/>
        </w:rPr>
        <w:t>, stanowiący 23,3% powierzchni tego województwa</w:t>
      </w:r>
      <w:r w:rsidRPr="00733091">
        <w:rPr>
          <w:rFonts w:cstheme="minorHAnsi"/>
          <w:lang w:val="pl-PL"/>
        </w:rPr>
        <w:t xml:space="preserve">, zamieszkały przez </w:t>
      </w:r>
      <w:r w:rsidRPr="00733091">
        <w:rPr>
          <w:rFonts w:eastAsia="Times New Roman" w:cstheme="minorHAnsi"/>
          <w:b/>
          <w:bCs/>
          <w:color w:val="000000"/>
          <w:lang w:val="pl-PL" w:eastAsia="pl-PL"/>
        </w:rPr>
        <w:t>223,5 tys. osób</w:t>
      </w:r>
      <w:r w:rsidRPr="00733091">
        <w:rPr>
          <w:rFonts w:cstheme="minorHAnsi"/>
          <w:b/>
          <w:bCs/>
          <w:lang w:val="pl-PL"/>
        </w:rPr>
        <w:t>.</w:t>
      </w:r>
    </w:p>
    <w:p w14:paraId="78FCCC7D" w14:textId="5EC533CB" w:rsidR="00090D3B" w:rsidRPr="00733091" w:rsidRDefault="00090D3B" w:rsidP="002E24A9">
      <w:pPr>
        <w:pStyle w:val="Legenda"/>
        <w:rPr>
          <w:lang w:val="pl-PL"/>
        </w:rPr>
      </w:pPr>
      <w:bookmarkStart w:id="9" w:name="_Toc69596601"/>
      <w:r w:rsidRPr="00733091">
        <w:rPr>
          <w:lang w:val="pl-PL"/>
        </w:rPr>
        <w:lastRenderedPageBreak/>
        <w:t xml:space="preserve">Mapa </w:t>
      </w:r>
      <w:r w:rsidR="00733091">
        <w:fldChar w:fldCharType="begin"/>
      </w:r>
      <w:r w:rsidR="00733091" w:rsidRPr="00733091">
        <w:rPr>
          <w:lang w:val="pl-PL"/>
        </w:rPr>
        <w:instrText xml:space="preserve"> SEQ Mapa \* ARABIC </w:instrText>
      </w:r>
      <w:r w:rsidR="00733091">
        <w:fldChar w:fldCharType="separate"/>
      </w:r>
      <w:r w:rsidR="00B14787">
        <w:rPr>
          <w:noProof/>
          <w:lang w:val="pl-PL"/>
        </w:rPr>
        <w:t>1</w:t>
      </w:r>
      <w:r w:rsidR="00733091">
        <w:rPr>
          <w:noProof/>
        </w:rPr>
        <w:fldChar w:fldCharType="end"/>
      </w:r>
      <w:r w:rsidRPr="00733091">
        <w:rPr>
          <w:lang w:val="pl-PL"/>
        </w:rPr>
        <w:t>: Położenie Partnerstwa Południowe Mazury</w:t>
      </w:r>
      <w:bookmarkEnd w:id="9"/>
    </w:p>
    <w:p w14:paraId="4E714776" w14:textId="53436175" w:rsidR="004C537B" w:rsidRDefault="004C537B" w:rsidP="002E24A9">
      <w:pPr>
        <w:pStyle w:val="Legenda"/>
        <w:rPr>
          <w:rStyle w:val="podpiselementuZnak"/>
          <w:lang w:val="pl-PL"/>
        </w:rPr>
      </w:pPr>
      <w:r w:rsidRPr="003C78E2">
        <w:rPr>
          <w:rFonts w:cstheme="minorHAnsi"/>
          <w:noProof/>
        </w:rPr>
        <w:drawing>
          <wp:inline distT="0" distB="0" distL="0" distR="0" wp14:anchorId="5FB0B4B9" wp14:editId="029A1A8A">
            <wp:extent cx="5843905" cy="3745230"/>
            <wp:effectExtent l="19050" t="19050" r="23495" b="26670"/>
            <wp:docPr id="44" name="Obraz 44" descr=" część mapy Polski z obrysowanym białą linią obszarem Partnerst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Obraz 44" descr=" część mapy Polski z obrysowanym białą linią obszarem Partnerstwa"/>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843905" cy="3745230"/>
                    </a:xfrm>
                    <a:prstGeom prst="rect">
                      <a:avLst/>
                    </a:prstGeom>
                    <a:noFill/>
                    <a:ln>
                      <a:solidFill>
                        <a:schemeClr val="tx2"/>
                      </a:solidFill>
                    </a:ln>
                  </pic:spPr>
                </pic:pic>
              </a:graphicData>
            </a:graphic>
          </wp:inline>
        </w:drawing>
      </w:r>
      <w:r w:rsidRPr="00733091">
        <w:rPr>
          <w:lang w:val="pl-PL"/>
        </w:rPr>
        <w:br/>
      </w:r>
      <w:r w:rsidRPr="006E6ABC">
        <w:rPr>
          <w:rStyle w:val="podpiselementuZnak"/>
          <w:lang w:val="pl-PL"/>
        </w:rPr>
        <w:t>Źródło: opracowanie ZMP na podstawie nap GUGiK i GDDKiA</w:t>
      </w:r>
    </w:p>
    <w:p w14:paraId="5AFEAF87" w14:textId="77777777" w:rsidR="006E6ABC" w:rsidRPr="006E6ABC" w:rsidRDefault="006E6ABC" w:rsidP="006E6ABC">
      <w:pPr>
        <w:rPr>
          <w:lang w:val="pl-PL"/>
        </w:rPr>
      </w:pPr>
    </w:p>
    <w:p w14:paraId="6ACF64A3" w14:textId="77777777" w:rsidR="004C537B" w:rsidRPr="00733091" w:rsidRDefault="004C537B" w:rsidP="006E6ABC">
      <w:pPr>
        <w:pStyle w:val="Akapitzlist"/>
        <w:numPr>
          <w:ilvl w:val="0"/>
          <w:numId w:val="0"/>
        </w:numPr>
        <w:ind w:left="851"/>
        <w:rPr>
          <w:lang w:val="pl-PL"/>
        </w:rPr>
      </w:pPr>
      <w:r w:rsidRPr="00733091">
        <w:rPr>
          <w:rFonts w:cstheme="minorHAnsi"/>
          <w:color w:val="001133"/>
          <w:shd w:val="clear" w:color="auto" w:fill="FFFFFF"/>
          <w:lang w:val="pl-PL"/>
        </w:rPr>
        <w:t xml:space="preserve">Obszar Partnerstwa Południowe Mazury charakteryzuje </w:t>
      </w:r>
      <w:r w:rsidRPr="00733091">
        <w:rPr>
          <w:b/>
          <w:bCs/>
          <w:lang w:val="pl-PL"/>
        </w:rPr>
        <w:t>zróżnicowana struktura osiedleńcza</w:t>
      </w:r>
      <w:r>
        <w:rPr>
          <w:rStyle w:val="Odwoanieprzypisudolnego"/>
          <w:b/>
          <w:bCs/>
        </w:rPr>
        <w:footnoteReference w:id="15"/>
      </w:r>
      <w:r w:rsidRPr="00733091">
        <w:rPr>
          <w:b/>
          <w:bCs/>
          <w:lang w:val="pl-PL"/>
        </w:rPr>
        <w:t xml:space="preserve">, </w:t>
      </w:r>
      <w:r w:rsidRPr="00733091">
        <w:rPr>
          <w:lang w:val="pl-PL"/>
        </w:rPr>
        <w:t>którą tworzą:</w:t>
      </w:r>
    </w:p>
    <w:p w14:paraId="3154BB33" w14:textId="77777777" w:rsidR="004C537B" w:rsidRPr="00733091" w:rsidRDefault="004C537B" w:rsidP="00B063F0">
      <w:pPr>
        <w:pStyle w:val="Akapitzlist"/>
        <w:numPr>
          <w:ilvl w:val="0"/>
          <w:numId w:val="7"/>
        </w:numPr>
        <w:tabs>
          <w:tab w:val="left" w:pos="426"/>
        </w:tabs>
        <w:ind w:left="851" w:firstLine="0"/>
        <w:rPr>
          <w:lang w:val="pl-PL"/>
        </w:rPr>
      </w:pPr>
      <w:r w:rsidRPr="00733091">
        <w:rPr>
          <w:lang w:val="pl-PL"/>
        </w:rPr>
        <w:t>gminy (miasta) - ośrodki wielofunkcyjne: Działdowo, Szczytno,</w:t>
      </w:r>
    </w:p>
    <w:p w14:paraId="1A9E6248" w14:textId="77777777" w:rsidR="004C537B" w:rsidRPr="00733091" w:rsidRDefault="004C537B" w:rsidP="00B063F0">
      <w:pPr>
        <w:pStyle w:val="Akapitzlist"/>
        <w:numPr>
          <w:ilvl w:val="0"/>
          <w:numId w:val="7"/>
        </w:numPr>
        <w:tabs>
          <w:tab w:val="left" w:pos="426"/>
        </w:tabs>
        <w:ind w:left="851" w:firstLine="0"/>
        <w:rPr>
          <w:lang w:val="pl-PL"/>
        </w:rPr>
      </w:pPr>
      <w:r w:rsidRPr="00733091">
        <w:rPr>
          <w:lang w:val="pl-PL"/>
        </w:rPr>
        <w:t>gminy pełniące funkcje pozarolnicze: Pasym, Lidzbark, Ruciane-Nida, Dźwierzuty, Jedwabno,</w:t>
      </w:r>
    </w:p>
    <w:p w14:paraId="492D13F6" w14:textId="4AD4A936" w:rsidR="004C537B" w:rsidRPr="00733091" w:rsidRDefault="004C537B" w:rsidP="00B063F0">
      <w:pPr>
        <w:pStyle w:val="Akapitzlist"/>
        <w:numPr>
          <w:ilvl w:val="0"/>
          <w:numId w:val="6"/>
        </w:numPr>
        <w:tabs>
          <w:tab w:val="left" w:pos="426"/>
        </w:tabs>
        <w:ind w:left="851" w:firstLine="0"/>
        <w:rPr>
          <w:lang w:val="pl-PL"/>
        </w:rPr>
      </w:pPr>
      <w:r w:rsidRPr="00733091">
        <w:rPr>
          <w:lang w:val="pl-PL"/>
        </w:rPr>
        <w:t xml:space="preserve">gminy pełniące funkcje umiarkowanie rolnicze: Orzysz, Biała Piska, Iłowo-Osada, Rozogi, Rybno, </w:t>
      </w:r>
      <w:r w:rsidR="00D467C8">
        <w:rPr>
          <w:lang w:val="pl-PL"/>
        </w:rPr>
        <w:t xml:space="preserve">gmina wiejska </w:t>
      </w:r>
      <w:r w:rsidRPr="00733091">
        <w:rPr>
          <w:lang w:val="pl-PL"/>
        </w:rPr>
        <w:t>Szczytno,</w:t>
      </w:r>
    </w:p>
    <w:p w14:paraId="616399DC" w14:textId="42E70EE9" w:rsidR="004C537B" w:rsidRPr="00733091" w:rsidRDefault="004C537B" w:rsidP="00B063F0">
      <w:pPr>
        <w:pStyle w:val="Akapitzlist"/>
        <w:numPr>
          <w:ilvl w:val="0"/>
          <w:numId w:val="6"/>
        </w:numPr>
        <w:tabs>
          <w:tab w:val="left" w:pos="426"/>
        </w:tabs>
        <w:ind w:left="851" w:firstLine="0"/>
        <w:rPr>
          <w:lang w:val="pl-PL"/>
        </w:rPr>
      </w:pPr>
      <w:r w:rsidRPr="00733091">
        <w:rPr>
          <w:lang w:val="pl-PL"/>
        </w:rPr>
        <w:t xml:space="preserve">gminy pełniące funkcje intensywnie rolnicze: </w:t>
      </w:r>
      <w:r w:rsidR="00D467C8">
        <w:rPr>
          <w:lang w:val="pl-PL"/>
        </w:rPr>
        <w:t xml:space="preserve">gmina wiejska </w:t>
      </w:r>
      <w:r w:rsidRPr="00733091">
        <w:rPr>
          <w:lang w:val="pl-PL"/>
        </w:rPr>
        <w:t>Działdowo, Janowiec Kościelny, Płośnica, Kozłowo,</w:t>
      </w:r>
    </w:p>
    <w:p w14:paraId="4512706D" w14:textId="77777777" w:rsidR="004C537B" w:rsidRPr="00733091" w:rsidRDefault="004C537B" w:rsidP="00B063F0">
      <w:pPr>
        <w:pStyle w:val="Akapitzlist"/>
        <w:numPr>
          <w:ilvl w:val="0"/>
          <w:numId w:val="6"/>
        </w:numPr>
        <w:tabs>
          <w:tab w:val="left" w:pos="426"/>
        </w:tabs>
        <w:ind w:left="851" w:firstLine="0"/>
        <w:rPr>
          <w:lang w:val="pl-PL"/>
        </w:rPr>
      </w:pPr>
      <w:r w:rsidRPr="00733091">
        <w:rPr>
          <w:lang w:val="pl-PL"/>
        </w:rPr>
        <w:t>gminy ekstensywnie zagospodarowane: Janowo, Świętajno, Wielbark, Pisz,</w:t>
      </w:r>
    </w:p>
    <w:p w14:paraId="179FFBAB" w14:textId="1C4247BC" w:rsidR="00090D3B" w:rsidRPr="00733091" w:rsidRDefault="004C537B" w:rsidP="00B063F0">
      <w:pPr>
        <w:pStyle w:val="Akapitzlist"/>
        <w:numPr>
          <w:ilvl w:val="0"/>
          <w:numId w:val="6"/>
        </w:numPr>
        <w:tabs>
          <w:tab w:val="left" w:pos="426"/>
        </w:tabs>
        <w:ind w:left="851" w:firstLine="0"/>
        <w:rPr>
          <w:lang w:val="pl-PL"/>
        </w:rPr>
      </w:pPr>
      <w:r w:rsidRPr="00733091">
        <w:rPr>
          <w:lang w:val="pl-PL"/>
        </w:rPr>
        <w:t>i gmina rozwinięta transportowo – Nidzica.</w:t>
      </w:r>
      <w:r>
        <mc:AlternateContent>
          <mc:Choice Requires="wps">
            <w:drawing>
              <wp:anchor distT="0" distB="0" distL="114300" distR="114300" simplePos="0" relativeHeight="251658246" behindDoc="0" locked="0" layoutInCell="1" allowOverlap="1" wp14:anchorId="62534C9D" wp14:editId="30AF16CD">
                <wp:simplePos x="0" y="0"/>
                <wp:positionH relativeFrom="column">
                  <wp:posOffset>1287145</wp:posOffset>
                </wp:positionH>
                <wp:positionV relativeFrom="paragraph">
                  <wp:posOffset>1859280</wp:posOffset>
                </wp:positionV>
                <wp:extent cx="106680" cy="53340"/>
                <wp:effectExtent l="0" t="0" r="26670" b="0"/>
                <wp:wrapNone/>
                <wp:docPr id="2" name="Łuk 2"/>
                <wp:cNvGraphicFramePr/>
                <a:graphic xmlns:a="http://schemas.openxmlformats.org/drawingml/2006/main">
                  <a:graphicData uri="http://schemas.microsoft.com/office/word/2010/wordprocessingShape">
                    <wps:wsp>
                      <wps:cNvSpPr/>
                      <wps:spPr>
                        <a:xfrm>
                          <a:off x="0" y="0"/>
                          <a:ext cx="106680" cy="53340"/>
                        </a:xfrm>
                        <a:prstGeom prst="arc">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FC7D1AC" id="Łuk 2" o:spid="_x0000_s1026" style="position:absolute;margin-left:101.35pt;margin-top:146.4pt;width:8.4pt;height:4.2pt;z-index:251669504;visibility:visible;mso-wrap-style:square;mso-wrap-distance-left:9pt;mso-wrap-distance-top:0;mso-wrap-distance-right:9pt;mso-wrap-distance-bottom:0;mso-position-horizontal:absolute;mso-position-horizontal-relative:text;mso-position-vertical:absolute;mso-position-vertical-relative:text;v-text-anchor:middle" coordsize="106680,53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" path="m53340,nsc82799,,106680,11941,106680,26670r-53340,l53340,xem53340,nfc82799,,106680,11941,106680,26670e" filled="f" strokecolor="#4472c4 [3204]" strokeweight=".5pt">
                <v:stroke joinstyle="miter"/>
                <v:path arrowok="t" o:connecttype="custom" o:connectlocs="53340,0;106680,26670" o:connectangles="0,0"/>
              </v:shape>
            </w:pict>
          </mc:Fallback>
        </mc:AlternateContent>
      </w:r>
    </w:p>
    <w:p w14:paraId="6F869A32" w14:textId="74AFEF78" w:rsidR="00090D3B" w:rsidRPr="00733091" w:rsidRDefault="00090D3B" w:rsidP="002E24A9">
      <w:pPr>
        <w:pStyle w:val="Legenda"/>
        <w:rPr>
          <w:lang w:val="pl-PL"/>
        </w:rPr>
      </w:pPr>
      <w:bookmarkStart w:id="10" w:name="_Toc69596602"/>
      <w:r w:rsidRPr="00733091">
        <w:rPr>
          <w:lang w:val="pl-PL"/>
        </w:rPr>
        <w:lastRenderedPageBreak/>
        <w:t xml:space="preserve">Mapa </w:t>
      </w:r>
      <w:r w:rsidR="00733091">
        <w:fldChar w:fldCharType="begin"/>
      </w:r>
      <w:r w:rsidR="00733091" w:rsidRPr="00733091">
        <w:rPr>
          <w:lang w:val="pl-PL"/>
        </w:rPr>
        <w:instrText xml:space="preserve"> SEQ Mapa \* ARABIC </w:instrText>
      </w:r>
      <w:r w:rsidR="00733091">
        <w:fldChar w:fldCharType="separate"/>
      </w:r>
      <w:r w:rsidR="00B14787">
        <w:rPr>
          <w:noProof/>
          <w:lang w:val="pl-PL"/>
        </w:rPr>
        <w:t>2</w:t>
      </w:r>
      <w:r w:rsidR="00733091">
        <w:rPr>
          <w:noProof/>
        </w:rPr>
        <w:fldChar w:fldCharType="end"/>
      </w:r>
      <w:r w:rsidRPr="00733091">
        <w:rPr>
          <w:lang w:val="pl-PL"/>
        </w:rPr>
        <w:t>: Klasyfikacja funkcjonalna gmin z obszaru Partnerstwa</w:t>
      </w:r>
      <w:bookmarkEnd w:id="10"/>
    </w:p>
    <w:p w14:paraId="0FFEFFB8" w14:textId="6F1BED90" w:rsidR="004C537B" w:rsidRPr="00733091" w:rsidRDefault="004C537B" w:rsidP="00733091">
      <w:pPr>
        <w:ind w:left="0"/>
        <w:contextualSpacing/>
        <w:rPr>
          <w:lang w:val="pl-PL"/>
        </w:rPr>
      </w:pPr>
      <w:r>
        <w:rPr>
          <w:noProof/>
        </w:rPr>
        <w:drawing>
          <wp:inline distT="0" distB="0" distL="0" distR="0" wp14:anchorId="480A824D" wp14:editId="15D68A2A">
            <wp:extent cx="5619750" cy="3638550"/>
            <wp:effectExtent l="19050" t="19050" r="19050" b="19050"/>
            <wp:docPr id="9" name="Obraz 9" descr="część mapy Polski z zaznaczonym kolorem gminami zgodnie z funkcjami, jakie gminy pełnią w strukturze osiedleńczej kraj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braz 9" descr="część mapy Polski z zaznaczonym kolorem gminami zgodnie z funkcjami, jakie gminy pełnią w strukturze osiedleńczej kraju"/>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16678" cy="3701307"/>
                    </a:xfrm>
                    <a:prstGeom prst="rect">
                      <a:avLst/>
                    </a:prstGeom>
                    <a:noFill/>
                    <a:ln>
                      <a:solidFill>
                        <a:schemeClr val="tx2"/>
                      </a:solidFill>
                    </a:ln>
                  </pic:spPr>
                </pic:pic>
              </a:graphicData>
            </a:graphic>
          </wp:inline>
        </w:drawing>
      </w:r>
      <w:r w:rsidRPr="00733091">
        <w:rPr>
          <w:i/>
          <w:iCs/>
          <w:lang w:val="pl-PL"/>
        </w:rPr>
        <w:br/>
      </w:r>
      <w:r w:rsidRPr="00733091">
        <w:rPr>
          <w:rStyle w:val="podpiselementuZnak"/>
          <w:lang w:val="pl-PL"/>
        </w:rPr>
        <w:t>Źródło: P. Śleszyński, T. Komornicki, „Klasyfikacja funkcjonalna gmin na potrzeby monitoringu planowania przestrzennego” Przegląd Geograficzny, 2016</w:t>
      </w:r>
    </w:p>
    <w:p w14:paraId="2ED09A39" w14:textId="6DEB5C06" w:rsidR="004C537B" w:rsidRPr="00E65D31" w:rsidRDefault="004C537B" w:rsidP="00D467C8">
      <w:pPr>
        <w:pStyle w:val="Tekstprzypisudolnego"/>
        <w:spacing w:before="120" w:after="240"/>
        <w:rPr>
          <w:rFonts w:asciiTheme="minorHAnsi" w:hAnsiTheme="minorHAnsi" w:cstheme="minorHAnsi"/>
          <w:szCs w:val="24"/>
          <w:lang w:val="pl-PL"/>
        </w:rPr>
      </w:pPr>
      <w:r w:rsidRPr="00E65D31">
        <w:rPr>
          <w:rFonts w:asciiTheme="minorHAnsi" w:hAnsiTheme="minorHAnsi" w:cstheme="minorHAnsi"/>
          <w:szCs w:val="24"/>
          <w:lang w:val="pl-PL"/>
        </w:rPr>
        <w:t xml:space="preserve">Administracyjnie Partnerstwo obejmuje obszar </w:t>
      </w:r>
      <w:r w:rsidRPr="00E65D31">
        <w:rPr>
          <w:rFonts w:asciiTheme="minorHAnsi" w:hAnsiTheme="minorHAnsi" w:cstheme="minorHAnsi"/>
          <w:b/>
          <w:bCs/>
          <w:szCs w:val="24"/>
          <w:lang w:val="pl-PL"/>
        </w:rPr>
        <w:t>22 gmin</w:t>
      </w:r>
      <w:r w:rsidRPr="00E65D31">
        <w:rPr>
          <w:rFonts w:asciiTheme="minorHAnsi" w:hAnsiTheme="minorHAnsi" w:cstheme="minorHAnsi"/>
          <w:szCs w:val="24"/>
          <w:lang w:val="pl-PL"/>
        </w:rPr>
        <w:t>: 12 wiejskich, 8 miejsko-wiejskich i dwóch miast, położonych na terenie czterech powiatów ziemskich: działdowskiego, szczycieńskiego, nidzickiego i piskiego w województwie warmińsko-mazurskim.</w:t>
      </w:r>
      <w:r w:rsidR="0064234B" w:rsidRPr="00E65D31">
        <w:rPr>
          <w:rFonts w:asciiTheme="minorHAnsi" w:hAnsiTheme="minorHAnsi" w:cstheme="minorHAnsi"/>
          <w:szCs w:val="24"/>
          <w:lang w:val="pl-PL"/>
        </w:rPr>
        <w:t xml:space="preserve"> </w:t>
      </w:r>
      <w:r w:rsidRPr="00E65D31">
        <w:rPr>
          <w:rFonts w:asciiTheme="minorHAnsi" w:hAnsiTheme="minorHAnsi" w:cstheme="minorHAnsi"/>
          <w:lang w:val="pl-PL"/>
        </w:rPr>
        <w:t>Wykaz JST wchodzących w skład Partnerstwa i ich powierzchnię prezentuje tabela poniżej.</w:t>
      </w:r>
    </w:p>
    <w:p w14:paraId="316728E7" w14:textId="081C4D3D" w:rsidR="0091426B" w:rsidRPr="00733091" w:rsidRDefault="0091426B" w:rsidP="002E24A9">
      <w:pPr>
        <w:pStyle w:val="Legenda"/>
        <w:rPr>
          <w:lang w:val="pl-PL"/>
        </w:rPr>
      </w:pPr>
      <w:bookmarkStart w:id="11" w:name="_Toc69723250"/>
      <w:r w:rsidRPr="00733091">
        <w:rPr>
          <w:lang w:val="pl-PL"/>
        </w:rPr>
        <w:t xml:space="preserve">Tabela </w:t>
      </w:r>
      <w:r w:rsidR="00733091">
        <w:fldChar w:fldCharType="begin"/>
      </w:r>
      <w:r w:rsidR="00733091" w:rsidRPr="00733091">
        <w:rPr>
          <w:lang w:val="pl-PL"/>
        </w:rPr>
        <w:instrText xml:space="preserve"> SEQ Tabela \* ARABIC </w:instrText>
      </w:r>
      <w:r w:rsidR="00733091">
        <w:fldChar w:fldCharType="separate"/>
      </w:r>
      <w:r w:rsidR="00B14787">
        <w:rPr>
          <w:noProof/>
          <w:lang w:val="pl-PL"/>
        </w:rPr>
        <w:t>1</w:t>
      </w:r>
      <w:r w:rsidR="00733091">
        <w:rPr>
          <w:noProof/>
        </w:rPr>
        <w:fldChar w:fldCharType="end"/>
      </w:r>
      <w:r w:rsidRPr="00733091">
        <w:rPr>
          <w:lang w:val="pl-PL"/>
        </w:rPr>
        <w:t>: Wykaz gmin i powierzchnia gmin wchodzących w skład Partnerstwa Południowe Mazury</w:t>
      </w:r>
      <w:bookmarkEnd w:id="11"/>
    </w:p>
    <w:tbl>
      <w:tblPr>
        <w:tblStyle w:val="CWD"/>
        <w:tblW w:w="5000" w:type="pct"/>
        <w:tblLook w:val="04A0" w:firstRow="1" w:lastRow="0" w:firstColumn="1" w:lastColumn="0" w:noHBand="0" w:noVBand="1"/>
      </w:tblPr>
      <w:tblGrid>
        <w:gridCol w:w="2924"/>
        <w:gridCol w:w="3347"/>
        <w:gridCol w:w="2789"/>
      </w:tblGrid>
      <w:tr w:rsidR="004C537B" w:rsidRPr="00E95809" w14:paraId="4ECB9B06" w14:textId="77777777" w:rsidTr="00E70191">
        <w:trPr>
          <w:cnfStyle w:val="100000000000" w:firstRow="1" w:lastRow="0" w:firstColumn="0" w:lastColumn="0" w:oddVBand="0" w:evenVBand="0" w:oddHBand="0" w:evenHBand="0" w:firstRowFirstColumn="0" w:firstRowLastColumn="0" w:lastRowFirstColumn="0" w:lastRowLastColumn="0"/>
          <w:trHeight w:val="288"/>
          <w:tblHeader/>
        </w:trPr>
        <w:tc>
          <w:tcPr>
            <w:cnfStyle w:val="001000000000" w:firstRow="0" w:lastRow="0" w:firstColumn="1" w:lastColumn="0" w:oddVBand="0" w:evenVBand="0" w:oddHBand="0" w:evenHBand="0" w:firstRowFirstColumn="0" w:firstRowLastColumn="0" w:lastRowFirstColumn="0" w:lastRowLastColumn="0"/>
            <w:tcW w:w="2924" w:type="dxa"/>
            <w:noWrap/>
          </w:tcPr>
          <w:p w14:paraId="44AAD387" w14:textId="77777777" w:rsidR="004C537B" w:rsidRPr="00C60C31" w:rsidRDefault="004C537B" w:rsidP="002F493F">
            <w:pPr>
              <w:contextualSpacing/>
              <w:rPr>
                <w:rStyle w:val="Pogrubienie"/>
                <w:b/>
                <w:bCs/>
              </w:rPr>
            </w:pPr>
            <w:r w:rsidRPr="00C60C31">
              <w:rPr>
                <w:rStyle w:val="Pogrubienie"/>
                <w:b/>
                <w:bCs/>
              </w:rPr>
              <w:t>Nazwa JST</w:t>
            </w:r>
          </w:p>
        </w:tc>
        <w:tc>
          <w:tcPr>
            <w:tcW w:w="3347" w:type="dxa"/>
            <w:noWrap/>
          </w:tcPr>
          <w:p w14:paraId="6881BD74" w14:textId="77777777" w:rsidR="004C537B" w:rsidRPr="00C60C31" w:rsidRDefault="004C537B" w:rsidP="002F493F">
            <w:pPr>
              <w:contextualSpacing/>
              <w:cnfStyle w:val="100000000000" w:firstRow="1" w:lastRow="0" w:firstColumn="0" w:lastColumn="0" w:oddVBand="0" w:evenVBand="0" w:oddHBand="0" w:evenHBand="0" w:firstRowFirstColumn="0" w:firstRowLastColumn="0" w:lastRowFirstColumn="0" w:lastRowLastColumn="0"/>
              <w:rPr>
                <w:rStyle w:val="Pogrubienie"/>
                <w:b/>
                <w:bCs/>
              </w:rPr>
            </w:pPr>
            <w:r w:rsidRPr="00C60C31">
              <w:rPr>
                <w:rStyle w:val="Pogrubienie"/>
                <w:b/>
                <w:bCs/>
              </w:rPr>
              <w:t>Typ JST</w:t>
            </w:r>
          </w:p>
        </w:tc>
        <w:tc>
          <w:tcPr>
            <w:tcW w:w="2789" w:type="dxa"/>
            <w:noWrap/>
          </w:tcPr>
          <w:p w14:paraId="544DFC0F" w14:textId="6EE15A3D" w:rsidR="004C537B" w:rsidRPr="00C60C31" w:rsidRDefault="004C537B" w:rsidP="002F493F">
            <w:pPr>
              <w:ind w:right="208" w:hanging="714"/>
              <w:contextualSpacing/>
              <w:cnfStyle w:val="100000000000" w:firstRow="1" w:lastRow="0" w:firstColumn="0" w:lastColumn="0" w:oddVBand="0" w:evenVBand="0" w:oddHBand="0" w:evenHBand="0" w:firstRowFirstColumn="0" w:firstRowLastColumn="0" w:lastRowFirstColumn="0" w:lastRowLastColumn="0"/>
              <w:rPr>
                <w:rStyle w:val="Pogrubienie"/>
                <w:b/>
                <w:bCs/>
              </w:rPr>
            </w:pPr>
            <w:r w:rsidRPr="00C60C31">
              <w:rPr>
                <w:rStyle w:val="Pogrubienie"/>
                <w:b/>
                <w:bCs/>
              </w:rPr>
              <w:t>Powierzchnia</w:t>
            </w:r>
            <w:r w:rsidR="008A652D">
              <w:rPr>
                <w:rStyle w:val="Pogrubienie"/>
                <w:b/>
                <w:bCs/>
              </w:rPr>
              <w:t xml:space="preserve"> </w:t>
            </w:r>
            <w:r w:rsidRPr="00C60C31">
              <w:rPr>
                <w:rStyle w:val="Pogrubienie"/>
                <w:b/>
                <w:bCs/>
              </w:rPr>
              <w:t>w km</w:t>
            </w:r>
            <w:r w:rsidRPr="00E70191">
              <w:rPr>
                <w:rStyle w:val="Pogrubienie"/>
                <w:b/>
                <w:bCs/>
                <w:vertAlign w:val="superscript"/>
              </w:rPr>
              <w:t>2</w:t>
            </w:r>
          </w:p>
        </w:tc>
      </w:tr>
      <w:tr w:rsidR="004C537B" w:rsidRPr="00E95809" w14:paraId="69705A44" w14:textId="77777777" w:rsidTr="008A652D">
        <w:trPr>
          <w:trHeight w:val="288"/>
        </w:trPr>
        <w:tc>
          <w:tcPr>
            <w:cnfStyle w:val="001000000000" w:firstRow="0" w:lastRow="0" w:firstColumn="1" w:lastColumn="0" w:oddVBand="0" w:evenVBand="0" w:oddHBand="0" w:evenHBand="0" w:firstRowFirstColumn="0" w:firstRowLastColumn="0" w:lastRowFirstColumn="0" w:lastRowLastColumn="0"/>
            <w:tcW w:w="6271" w:type="dxa"/>
            <w:gridSpan w:val="2"/>
            <w:noWrap/>
          </w:tcPr>
          <w:p w14:paraId="74070B45" w14:textId="77777777" w:rsidR="004C537B" w:rsidRPr="00E65D31" w:rsidRDefault="004C537B" w:rsidP="002F493F">
            <w:pPr>
              <w:contextualSpacing/>
              <w:rPr>
                <w:rStyle w:val="Pogrubienie"/>
              </w:rPr>
            </w:pPr>
            <w:r w:rsidRPr="00E65D31">
              <w:rPr>
                <w:rStyle w:val="Pogrubienie"/>
              </w:rPr>
              <w:t>Powiat działdowski</w:t>
            </w:r>
          </w:p>
        </w:tc>
        <w:tc>
          <w:tcPr>
            <w:tcW w:w="2789" w:type="dxa"/>
            <w:shd w:val="clear" w:color="auto" w:fill="D9D9D9" w:themeFill="background1" w:themeFillShade="D9"/>
            <w:noWrap/>
          </w:tcPr>
          <w:p w14:paraId="4D484AF4" w14:textId="77777777" w:rsidR="004C537B" w:rsidRPr="0016161A" w:rsidRDefault="004C537B" w:rsidP="002F493F">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lang w:eastAsia="pl-PL"/>
              </w:rPr>
            </w:pPr>
            <w:r w:rsidRPr="0016161A">
              <w:rPr>
                <w:lang w:eastAsia="pl-PL"/>
              </w:rPr>
              <w:t>954</w:t>
            </w:r>
          </w:p>
        </w:tc>
      </w:tr>
      <w:tr w:rsidR="004C537B" w:rsidRPr="00E95809" w14:paraId="7C430802" w14:textId="77777777" w:rsidTr="0091426B">
        <w:trPr>
          <w:trHeight w:val="288"/>
        </w:trPr>
        <w:tc>
          <w:tcPr>
            <w:cnfStyle w:val="001000000000" w:firstRow="0" w:lastRow="0" w:firstColumn="1" w:lastColumn="0" w:oddVBand="0" w:evenVBand="0" w:oddHBand="0" w:evenHBand="0" w:firstRowFirstColumn="0" w:firstRowLastColumn="0" w:lastRowFirstColumn="0" w:lastRowLastColumn="0"/>
            <w:tcW w:w="2924" w:type="dxa"/>
            <w:noWrap/>
            <w:hideMark/>
          </w:tcPr>
          <w:p w14:paraId="1643C490" w14:textId="77777777" w:rsidR="004C537B" w:rsidRPr="00E65D31" w:rsidRDefault="004C537B" w:rsidP="002F493F">
            <w:pPr>
              <w:contextualSpacing/>
              <w:rPr>
                <w:rStyle w:val="Pogrubienie"/>
              </w:rPr>
            </w:pPr>
            <w:r w:rsidRPr="00E65D31">
              <w:rPr>
                <w:rStyle w:val="Pogrubienie"/>
              </w:rPr>
              <w:t>Działdowo</w:t>
            </w:r>
          </w:p>
        </w:tc>
        <w:tc>
          <w:tcPr>
            <w:tcW w:w="3347" w:type="dxa"/>
            <w:noWrap/>
            <w:hideMark/>
          </w:tcPr>
          <w:p w14:paraId="40D88455" w14:textId="77777777" w:rsidR="004C537B" w:rsidRPr="00E65D31" w:rsidRDefault="004C537B" w:rsidP="002F493F">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lang w:eastAsia="pl-PL"/>
              </w:rPr>
            </w:pPr>
            <w:r w:rsidRPr="00E65D31">
              <w:rPr>
                <w:lang w:eastAsia="pl-PL"/>
              </w:rPr>
              <w:t>Gmina miejska</w:t>
            </w:r>
          </w:p>
        </w:tc>
        <w:tc>
          <w:tcPr>
            <w:tcW w:w="2789" w:type="dxa"/>
            <w:noWrap/>
            <w:hideMark/>
          </w:tcPr>
          <w:p w14:paraId="4D597750" w14:textId="77777777" w:rsidR="004C537B" w:rsidRPr="0016161A" w:rsidRDefault="004C537B" w:rsidP="002F493F">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lang w:eastAsia="pl-PL"/>
              </w:rPr>
            </w:pPr>
            <w:r w:rsidRPr="0016161A">
              <w:rPr>
                <w:lang w:eastAsia="pl-PL"/>
              </w:rPr>
              <w:t>11</w:t>
            </w:r>
          </w:p>
        </w:tc>
      </w:tr>
      <w:tr w:rsidR="004C537B" w:rsidRPr="00E95809" w14:paraId="5947A483" w14:textId="77777777" w:rsidTr="0091426B">
        <w:trPr>
          <w:trHeight w:val="288"/>
        </w:trPr>
        <w:tc>
          <w:tcPr>
            <w:cnfStyle w:val="001000000000" w:firstRow="0" w:lastRow="0" w:firstColumn="1" w:lastColumn="0" w:oddVBand="0" w:evenVBand="0" w:oddHBand="0" w:evenHBand="0" w:firstRowFirstColumn="0" w:firstRowLastColumn="0" w:lastRowFirstColumn="0" w:lastRowLastColumn="0"/>
            <w:tcW w:w="2924" w:type="dxa"/>
            <w:noWrap/>
            <w:hideMark/>
          </w:tcPr>
          <w:p w14:paraId="32972DA9" w14:textId="77777777" w:rsidR="004C537B" w:rsidRPr="00E65D31" w:rsidRDefault="004C537B" w:rsidP="002F493F">
            <w:pPr>
              <w:contextualSpacing/>
              <w:rPr>
                <w:rStyle w:val="Pogrubienie"/>
              </w:rPr>
            </w:pPr>
            <w:r w:rsidRPr="00E65D31">
              <w:rPr>
                <w:rStyle w:val="Pogrubienie"/>
              </w:rPr>
              <w:t>Działdowo</w:t>
            </w:r>
          </w:p>
        </w:tc>
        <w:tc>
          <w:tcPr>
            <w:tcW w:w="3347" w:type="dxa"/>
            <w:noWrap/>
            <w:hideMark/>
          </w:tcPr>
          <w:p w14:paraId="6CBF8CD3" w14:textId="77777777" w:rsidR="004C537B" w:rsidRPr="00E65D31" w:rsidRDefault="004C537B" w:rsidP="002F493F">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lang w:eastAsia="pl-PL"/>
              </w:rPr>
            </w:pPr>
            <w:r w:rsidRPr="00E65D31">
              <w:rPr>
                <w:lang w:eastAsia="pl-PL"/>
              </w:rPr>
              <w:t>Gmina wiejska</w:t>
            </w:r>
          </w:p>
        </w:tc>
        <w:tc>
          <w:tcPr>
            <w:tcW w:w="2789" w:type="dxa"/>
            <w:noWrap/>
            <w:hideMark/>
          </w:tcPr>
          <w:p w14:paraId="0B8A7217" w14:textId="77777777" w:rsidR="004C537B" w:rsidRPr="0016161A" w:rsidRDefault="004C537B" w:rsidP="002F493F">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lang w:eastAsia="pl-PL"/>
              </w:rPr>
            </w:pPr>
            <w:r w:rsidRPr="0016161A">
              <w:rPr>
                <w:lang w:eastAsia="pl-PL"/>
              </w:rPr>
              <w:t>273</w:t>
            </w:r>
          </w:p>
        </w:tc>
      </w:tr>
      <w:tr w:rsidR="004C537B" w:rsidRPr="00E95809" w14:paraId="5127A06F" w14:textId="77777777" w:rsidTr="0091426B">
        <w:trPr>
          <w:trHeight w:val="288"/>
        </w:trPr>
        <w:tc>
          <w:tcPr>
            <w:cnfStyle w:val="001000000000" w:firstRow="0" w:lastRow="0" w:firstColumn="1" w:lastColumn="0" w:oddVBand="0" w:evenVBand="0" w:oddHBand="0" w:evenHBand="0" w:firstRowFirstColumn="0" w:firstRowLastColumn="0" w:lastRowFirstColumn="0" w:lastRowLastColumn="0"/>
            <w:tcW w:w="2924" w:type="dxa"/>
            <w:noWrap/>
            <w:hideMark/>
          </w:tcPr>
          <w:p w14:paraId="2C7F0C5C" w14:textId="77777777" w:rsidR="004C537B" w:rsidRPr="00E65D31" w:rsidRDefault="004C537B" w:rsidP="002F493F">
            <w:pPr>
              <w:contextualSpacing/>
              <w:rPr>
                <w:rStyle w:val="Pogrubienie"/>
              </w:rPr>
            </w:pPr>
            <w:r w:rsidRPr="00E65D31">
              <w:rPr>
                <w:rStyle w:val="Pogrubienie"/>
              </w:rPr>
              <w:t>Iłowo-Osada</w:t>
            </w:r>
          </w:p>
        </w:tc>
        <w:tc>
          <w:tcPr>
            <w:tcW w:w="3347" w:type="dxa"/>
            <w:noWrap/>
            <w:hideMark/>
          </w:tcPr>
          <w:p w14:paraId="2109E5F0" w14:textId="77777777" w:rsidR="004C537B" w:rsidRPr="00E65D31" w:rsidRDefault="004C537B" w:rsidP="002F493F">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lang w:eastAsia="pl-PL"/>
              </w:rPr>
            </w:pPr>
            <w:r w:rsidRPr="00E65D31">
              <w:rPr>
                <w:lang w:eastAsia="pl-PL"/>
              </w:rPr>
              <w:t>Gmina wiejska</w:t>
            </w:r>
          </w:p>
        </w:tc>
        <w:tc>
          <w:tcPr>
            <w:tcW w:w="2789" w:type="dxa"/>
            <w:noWrap/>
            <w:hideMark/>
          </w:tcPr>
          <w:p w14:paraId="13C6EABA" w14:textId="77777777" w:rsidR="004C537B" w:rsidRPr="0016161A" w:rsidRDefault="004C537B" w:rsidP="002F493F">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lang w:eastAsia="pl-PL"/>
              </w:rPr>
            </w:pPr>
            <w:r w:rsidRPr="0016161A">
              <w:rPr>
                <w:lang w:eastAsia="pl-PL"/>
              </w:rPr>
              <w:t>104</w:t>
            </w:r>
          </w:p>
        </w:tc>
      </w:tr>
      <w:tr w:rsidR="004C537B" w:rsidRPr="00E95809" w14:paraId="059F9175" w14:textId="77777777" w:rsidTr="0091426B">
        <w:trPr>
          <w:trHeight w:val="288"/>
        </w:trPr>
        <w:tc>
          <w:tcPr>
            <w:cnfStyle w:val="001000000000" w:firstRow="0" w:lastRow="0" w:firstColumn="1" w:lastColumn="0" w:oddVBand="0" w:evenVBand="0" w:oddHBand="0" w:evenHBand="0" w:firstRowFirstColumn="0" w:firstRowLastColumn="0" w:lastRowFirstColumn="0" w:lastRowLastColumn="0"/>
            <w:tcW w:w="2924" w:type="dxa"/>
            <w:noWrap/>
            <w:hideMark/>
          </w:tcPr>
          <w:p w14:paraId="7842AB5F" w14:textId="77777777" w:rsidR="004C537B" w:rsidRPr="00E65D31" w:rsidRDefault="004C537B" w:rsidP="002F493F">
            <w:pPr>
              <w:contextualSpacing/>
              <w:rPr>
                <w:rStyle w:val="Pogrubienie"/>
              </w:rPr>
            </w:pPr>
            <w:r w:rsidRPr="00E65D31">
              <w:rPr>
                <w:rStyle w:val="Pogrubienie"/>
              </w:rPr>
              <w:t>Lidzbark</w:t>
            </w:r>
          </w:p>
        </w:tc>
        <w:tc>
          <w:tcPr>
            <w:tcW w:w="3347" w:type="dxa"/>
            <w:noWrap/>
            <w:hideMark/>
          </w:tcPr>
          <w:p w14:paraId="30B54EAE" w14:textId="77777777" w:rsidR="004C537B" w:rsidRPr="00E65D31" w:rsidRDefault="004C537B" w:rsidP="002F493F">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lang w:eastAsia="pl-PL"/>
              </w:rPr>
            </w:pPr>
            <w:r w:rsidRPr="00E65D31">
              <w:rPr>
                <w:lang w:eastAsia="pl-PL"/>
              </w:rPr>
              <w:t>Gmina miejsko-wiejska</w:t>
            </w:r>
          </w:p>
        </w:tc>
        <w:tc>
          <w:tcPr>
            <w:tcW w:w="2789" w:type="dxa"/>
            <w:noWrap/>
            <w:hideMark/>
          </w:tcPr>
          <w:p w14:paraId="369823BB" w14:textId="77777777" w:rsidR="004C537B" w:rsidRPr="0016161A" w:rsidRDefault="004C537B" w:rsidP="002F493F">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lang w:eastAsia="pl-PL"/>
              </w:rPr>
            </w:pPr>
            <w:r w:rsidRPr="0016161A">
              <w:rPr>
                <w:lang w:eastAsia="pl-PL"/>
              </w:rPr>
              <w:t>255</w:t>
            </w:r>
          </w:p>
        </w:tc>
      </w:tr>
      <w:tr w:rsidR="004C537B" w:rsidRPr="00E95809" w14:paraId="626C5525" w14:textId="77777777" w:rsidTr="0091426B">
        <w:trPr>
          <w:trHeight w:val="288"/>
        </w:trPr>
        <w:tc>
          <w:tcPr>
            <w:cnfStyle w:val="001000000000" w:firstRow="0" w:lastRow="0" w:firstColumn="1" w:lastColumn="0" w:oddVBand="0" w:evenVBand="0" w:oddHBand="0" w:evenHBand="0" w:firstRowFirstColumn="0" w:firstRowLastColumn="0" w:lastRowFirstColumn="0" w:lastRowLastColumn="0"/>
            <w:tcW w:w="2924" w:type="dxa"/>
            <w:noWrap/>
            <w:hideMark/>
          </w:tcPr>
          <w:p w14:paraId="559BE4C8" w14:textId="77777777" w:rsidR="004C537B" w:rsidRPr="00E65D31" w:rsidRDefault="004C537B" w:rsidP="002F493F">
            <w:pPr>
              <w:contextualSpacing/>
              <w:rPr>
                <w:rStyle w:val="Pogrubienie"/>
              </w:rPr>
            </w:pPr>
            <w:r w:rsidRPr="00E65D31">
              <w:rPr>
                <w:rStyle w:val="Pogrubienie"/>
              </w:rPr>
              <w:t>Płośnica</w:t>
            </w:r>
          </w:p>
        </w:tc>
        <w:tc>
          <w:tcPr>
            <w:tcW w:w="3347" w:type="dxa"/>
            <w:noWrap/>
            <w:hideMark/>
          </w:tcPr>
          <w:p w14:paraId="58A4BE19" w14:textId="77777777" w:rsidR="004C537B" w:rsidRPr="00E65D31" w:rsidRDefault="004C537B" w:rsidP="002F493F">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lang w:eastAsia="pl-PL"/>
              </w:rPr>
            </w:pPr>
            <w:r w:rsidRPr="00E65D31">
              <w:rPr>
                <w:lang w:eastAsia="pl-PL"/>
              </w:rPr>
              <w:t>Gmina wiejska</w:t>
            </w:r>
          </w:p>
        </w:tc>
        <w:tc>
          <w:tcPr>
            <w:tcW w:w="2789" w:type="dxa"/>
            <w:noWrap/>
            <w:hideMark/>
          </w:tcPr>
          <w:p w14:paraId="431D9F12" w14:textId="77777777" w:rsidR="004C537B" w:rsidRPr="0016161A" w:rsidRDefault="004C537B" w:rsidP="002F493F">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lang w:eastAsia="pl-PL"/>
              </w:rPr>
            </w:pPr>
            <w:r w:rsidRPr="0016161A">
              <w:rPr>
                <w:lang w:eastAsia="pl-PL"/>
              </w:rPr>
              <w:t>163</w:t>
            </w:r>
          </w:p>
        </w:tc>
      </w:tr>
      <w:tr w:rsidR="004C537B" w:rsidRPr="00E95809" w14:paraId="41B7AB0B" w14:textId="77777777" w:rsidTr="0091426B">
        <w:trPr>
          <w:trHeight w:val="288"/>
        </w:trPr>
        <w:tc>
          <w:tcPr>
            <w:cnfStyle w:val="001000000000" w:firstRow="0" w:lastRow="0" w:firstColumn="1" w:lastColumn="0" w:oddVBand="0" w:evenVBand="0" w:oddHBand="0" w:evenHBand="0" w:firstRowFirstColumn="0" w:firstRowLastColumn="0" w:lastRowFirstColumn="0" w:lastRowLastColumn="0"/>
            <w:tcW w:w="2924" w:type="dxa"/>
            <w:noWrap/>
            <w:hideMark/>
          </w:tcPr>
          <w:p w14:paraId="710B63F3" w14:textId="77777777" w:rsidR="004C537B" w:rsidRPr="00E65D31" w:rsidRDefault="004C537B" w:rsidP="002F493F">
            <w:pPr>
              <w:contextualSpacing/>
              <w:rPr>
                <w:rStyle w:val="Pogrubienie"/>
              </w:rPr>
            </w:pPr>
            <w:r w:rsidRPr="00E65D31">
              <w:rPr>
                <w:rStyle w:val="Pogrubienie"/>
              </w:rPr>
              <w:lastRenderedPageBreak/>
              <w:t>Rybno</w:t>
            </w:r>
          </w:p>
        </w:tc>
        <w:tc>
          <w:tcPr>
            <w:tcW w:w="3347" w:type="dxa"/>
            <w:noWrap/>
            <w:hideMark/>
          </w:tcPr>
          <w:p w14:paraId="5D06569D" w14:textId="77777777" w:rsidR="004C537B" w:rsidRPr="0016161A" w:rsidRDefault="004C537B" w:rsidP="002F493F">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lang w:eastAsia="pl-PL"/>
              </w:rPr>
            </w:pPr>
            <w:r>
              <w:rPr>
                <w:lang w:eastAsia="pl-PL"/>
              </w:rPr>
              <w:t xml:space="preserve">Gmina </w:t>
            </w:r>
            <w:r w:rsidRPr="0016161A">
              <w:rPr>
                <w:lang w:eastAsia="pl-PL"/>
              </w:rPr>
              <w:t>wiejska</w:t>
            </w:r>
          </w:p>
        </w:tc>
        <w:tc>
          <w:tcPr>
            <w:tcW w:w="2789" w:type="dxa"/>
            <w:noWrap/>
            <w:hideMark/>
          </w:tcPr>
          <w:p w14:paraId="5735B042" w14:textId="77777777" w:rsidR="004C537B" w:rsidRPr="0016161A" w:rsidRDefault="004C537B" w:rsidP="002F493F">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lang w:eastAsia="pl-PL"/>
              </w:rPr>
            </w:pPr>
            <w:r w:rsidRPr="0016161A">
              <w:rPr>
                <w:lang w:eastAsia="pl-PL"/>
              </w:rPr>
              <w:t>148</w:t>
            </w:r>
          </w:p>
        </w:tc>
      </w:tr>
      <w:tr w:rsidR="004C537B" w:rsidRPr="00E95809" w14:paraId="33CA512E" w14:textId="77777777" w:rsidTr="00DA6726">
        <w:trPr>
          <w:trHeight w:val="652"/>
        </w:trPr>
        <w:tc>
          <w:tcPr>
            <w:cnfStyle w:val="001000000000" w:firstRow="0" w:lastRow="0" w:firstColumn="1" w:lastColumn="0" w:oddVBand="0" w:evenVBand="0" w:oddHBand="0" w:evenHBand="0" w:firstRowFirstColumn="0" w:firstRowLastColumn="0" w:lastRowFirstColumn="0" w:lastRowLastColumn="0"/>
            <w:tcW w:w="6271" w:type="dxa"/>
            <w:gridSpan w:val="2"/>
            <w:noWrap/>
            <w:hideMark/>
          </w:tcPr>
          <w:p w14:paraId="3E29A162" w14:textId="77777777" w:rsidR="004C537B" w:rsidRPr="00E65D31" w:rsidRDefault="004C537B" w:rsidP="002F493F">
            <w:pPr>
              <w:contextualSpacing/>
              <w:rPr>
                <w:rStyle w:val="Pogrubienie"/>
              </w:rPr>
            </w:pPr>
            <w:r w:rsidRPr="00E65D31">
              <w:rPr>
                <w:rStyle w:val="Pogrubienie"/>
              </w:rPr>
              <w:t>Powiat nidzicki</w:t>
            </w:r>
          </w:p>
        </w:tc>
        <w:tc>
          <w:tcPr>
            <w:tcW w:w="2789" w:type="dxa"/>
            <w:shd w:val="clear" w:color="auto" w:fill="D9D9D9" w:themeFill="background1" w:themeFillShade="D9"/>
            <w:noWrap/>
            <w:hideMark/>
          </w:tcPr>
          <w:p w14:paraId="5E210504" w14:textId="77777777" w:rsidR="004C537B" w:rsidRPr="0016161A" w:rsidRDefault="004C537B" w:rsidP="002F493F">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lang w:eastAsia="pl-PL"/>
              </w:rPr>
            </w:pPr>
            <w:r w:rsidRPr="0016161A">
              <w:rPr>
                <w:lang w:eastAsia="pl-PL"/>
              </w:rPr>
              <w:t>961</w:t>
            </w:r>
          </w:p>
        </w:tc>
      </w:tr>
      <w:tr w:rsidR="004C537B" w:rsidRPr="00E95809" w14:paraId="74E3D043" w14:textId="77777777" w:rsidTr="0091426B">
        <w:trPr>
          <w:trHeight w:val="288"/>
        </w:trPr>
        <w:tc>
          <w:tcPr>
            <w:cnfStyle w:val="001000000000" w:firstRow="0" w:lastRow="0" w:firstColumn="1" w:lastColumn="0" w:oddVBand="0" w:evenVBand="0" w:oddHBand="0" w:evenHBand="0" w:firstRowFirstColumn="0" w:firstRowLastColumn="0" w:lastRowFirstColumn="0" w:lastRowLastColumn="0"/>
            <w:tcW w:w="2924" w:type="dxa"/>
            <w:noWrap/>
            <w:hideMark/>
          </w:tcPr>
          <w:p w14:paraId="73992CAC" w14:textId="77777777" w:rsidR="004C537B" w:rsidRPr="00E65D31" w:rsidRDefault="004C537B" w:rsidP="002F493F">
            <w:pPr>
              <w:contextualSpacing/>
              <w:rPr>
                <w:rStyle w:val="Pogrubienie"/>
              </w:rPr>
            </w:pPr>
            <w:r w:rsidRPr="00E65D31">
              <w:rPr>
                <w:rStyle w:val="Pogrubienie"/>
              </w:rPr>
              <w:t>Janowiec Kościelny</w:t>
            </w:r>
          </w:p>
        </w:tc>
        <w:tc>
          <w:tcPr>
            <w:tcW w:w="3347" w:type="dxa"/>
            <w:noWrap/>
            <w:hideMark/>
          </w:tcPr>
          <w:p w14:paraId="5653AFF4" w14:textId="77777777" w:rsidR="004C537B" w:rsidRPr="0016161A" w:rsidRDefault="004C537B" w:rsidP="002F493F">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lang w:eastAsia="pl-PL"/>
              </w:rPr>
            </w:pPr>
            <w:r>
              <w:rPr>
                <w:lang w:eastAsia="pl-PL"/>
              </w:rPr>
              <w:t xml:space="preserve">Gmina </w:t>
            </w:r>
            <w:r w:rsidRPr="0016161A">
              <w:rPr>
                <w:lang w:eastAsia="pl-PL"/>
              </w:rPr>
              <w:t>wiejska</w:t>
            </w:r>
          </w:p>
        </w:tc>
        <w:tc>
          <w:tcPr>
            <w:tcW w:w="2789" w:type="dxa"/>
            <w:noWrap/>
            <w:hideMark/>
          </w:tcPr>
          <w:p w14:paraId="63920C04" w14:textId="77777777" w:rsidR="004C537B" w:rsidRPr="0016161A" w:rsidRDefault="004C537B" w:rsidP="002F493F">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lang w:eastAsia="pl-PL"/>
              </w:rPr>
            </w:pPr>
            <w:r w:rsidRPr="0016161A">
              <w:rPr>
                <w:lang w:eastAsia="pl-PL"/>
              </w:rPr>
              <w:t>136</w:t>
            </w:r>
          </w:p>
        </w:tc>
      </w:tr>
      <w:tr w:rsidR="004C537B" w:rsidRPr="00E95809" w14:paraId="1209119E" w14:textId="77777777" w:rsidTr="0091426B">
        <w:trPr>
          <w:trHeight w:val="288"/>
        </w:trPr>
        <w:tc>
          <w:tcPr>
            <w:cnfStyle w:val="001000000000" w:firstRow="0" w:lastRow="0" w:firstColumn="1" w:lastColumn="0" w:oddVBand="0" w:evenVBand="0" w:oddHBand="0" w:evenHBand="0" w:firstRowFirstColumn="0" w:firstRowLastColumn="0" w:lastRowFirstColumn="0" w:lastRowLastColumn="0"/>
            <w:tcW w:w="2924" w:type="dxa"/>
            <w:noWrap/>
            <w:hideMark/>
          </w:tcPr>
          <w:p w14:paraId="62B9A03C" w14:textId="77777777" w:rsidR="004C537B" w:rsidRPr="00E65D31" w:rsidRDefault="004C537B" w:rsidP="002F493F">
            <w:pPr>
              <w:contextualSpacing/>
              <w:rPr>
                <w:rStyle w:val="Pogrubienie"/>
              </w:rPr>
            </w:pPr>
            <w:r w:rsidRPr="00E65D31">
              <w:rPr>
                <w:rStyle w:val="Pogrubienie"/>
              </w:rPr>
              <w:t>Janowo</w:t>
            </w:r>
          </w:p>
        </w:tc>
        <w:tc>
          <w:tcPr>
            <w:tcW w:w="3347" w:type="dxa"/>
            <w:noWrap/>
            <w:hideMark/>
          </w:tcPr>
          <w:p w14:paraId="06450E6B" w14:textId="77777777" w:rsidR="004C537B" w:rsidRPr="0016161A" w:rsidRDefault="004C537B" w:rsidP="002F493F">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lang w:eastAsia="pl-PL"/>
              </w:rPr>
            </w:pPr>
            <w:r>
              <w:rPr>
                <w:lang w:eastAsia="pl-PL"/>
              </w:rPr>
              <w:t xml:space="preserve">Gmina </w:t>
            </w:r>
            <w:r w:rsidRPr="0016161A">
              <w:rPr>
                <w:lang w:eastAsia="pl-PL"/>
              </w:rPr>
              <w:t>wiejska</w:t>
            </w:r>
          </w:p>
        </w:tc>
        <w:tc>
          <w:tcPr>
            <w:tcW w:w="2789" w:type="dxa"/>
            <w:noWrap/>
            <w:hideMark/>
          </w:tcPr>
          <w:p w14:paraId="2246D293" w14:textId="77777777" w:rsidR="004C537B" w:rsidRPr="0016161A" w:rsidRDefault="004C537B" w:rsidP="002F493F">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lang w:eastAsia="pl-PL"/>
              </w:rPr>
            </w:pPr>
            <w:r w:rsidRPr="0016161A">
              <w:rPr>
                <w:lang w:eastAsia="pl-PL"/>
              </w:rPr>
              <w:t>192</w:t>
            </w:r>
          </w:p>
        </w:tc>
      </w:tr>
      <w:tr w:rsidR="004C537B" w:rsidRPr="00E95809" w14:paraId="0616E1A9" w14:textId="77777777" w:rsidTr="0091426B">
        <w:trPr>
          <w:trHeight w:val="288"/>
        </w:trPr>
        <w:tc>
          <w:tcPr>
            <w:cnfStyle w:val="001000000000" w:firstRow="0" w:lastRow="0" w:firstColumn="1" w:lastColumn="0" w:oddVBand="0" w:evenVBand="0" w:oddHBand="0" w:evenHBand="0" w:firstRowFirstColumn="0" w:firstRowLastColumn="0" w:lastRowFirstColumn="0" w:lastRowLastColumn="0"/>
            <w:tcW w:w="2924" w:type="dxa"/>
            <w:noWrap/>
            <w:hideMark/>
          </w:tcPr>
          <w:p w14:paraId="00F5A76E" w14:textId="77777777" w:rsidR="004C537B" w:rsidRPr="00E65D31" w:rsidRDefault="004C537B" w:rsidP="002F493F">
            <w:pPr>
              <w:contextualSpacing/>
              <w:rPr>
                <w:rStyle w:val="Pogrubienie"/>
              </w:rPr>
            </w:pPr>
            <w:r w:rsidRPr="00E65D31">
              <w:rPr>
                <w:rStyle w:val="Pogrubienie"/>
              </w:rPr>
              <w:t>Kozłowo</w:t>
            </w:r>
          </w:p>
        </w:tc>
        <w:tc>
          <w:tcPr>
            <w:tcW w:w="3347" w:type="dxa"/>
            <w:noWrap/>
            <w:hideMark/>
          </w:tcPr>
          <w:p w14:paraId="6B24CFF2" w14:textId="77777777" w:rsidR="004C537B" w:rsidRPr="0016161A" w:rsidRDefault="004C537B" w:rsidP="002F493F">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lang w:eastAsia="pl-PL"/>
              </w:rPr>
            </w:pPr>
            <w:r>
              <w:rPr>
                <w:lang w:eastAsia="pl-PL"/>
              </w:rPr>
              <w:t xml:space="preserve">Gmina </w:t>
            </w:r>
            <w:r w:rsidRPr="0016161A">
              <w:rPr>
                <w:lang w:eastAsia="pl-PL"/>
              </w:rPr>
              <w:t>wiejska</w:t>
            </w:r>
          </w:p>
        </w:tc>
        <w:tc>
          <w:tcPr>
            <w:tcW w:w="2789" w:type="dxa"/>
            <w:noWrap/>
            <w:hideMark/>
          </w:tcPr>
          <w:p w14:paraId="7E4A5E76" w14:textId="77777777" w:rsidR="004C537B" w:rsidRPr="0016161A" w:rsidRDefault="004C537B" w:rsidP="002F493F">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lang w:eastAsia="pl-PL"/>
              </w:rPr>
            </w:pPr>
            <w:r w:rsidRPr="0016161A">
              <w:rPr>
                <w:lang w:eastAsia="pl-PL"/>
              </w:rPr>
              <w:t>254</w:t>
            </w:r>
          </w:p>
        </w:tc>
      </w:tr>
      <w:tr w:rsidR="004C537B" w:rsidRPr="00E95809" w14:paraId="00CC2697" w14:textId="77777777" w:rsidTr="0091426B">
        <w:trPr>
          <w:trHeight w:val="288"/>
        </w:trPr>
        <w:tc>
          <w:tcPr>
            <w:cnfStyle w:val="001000000000" w:firstRow="0" w:lastRow="0" w:firstColumn="1" w:lastColumn="0" w:oddVBand="0" w:evenVBand="0" w:oddHBand="0" w:evenHBand="0" w:firstRowFirstColumn="0" w:firstRowLastColumn="0" w:lastRowFirstColumn="0" w:lastRowLastColumn="0"/>
            <w:tcW w:w="2924" w:type="dxa"/>
            <w:noWrap/>
            <w:hideMark/>
          </w:tcPr>
          <w:p w14:paraId="36DBCF8F" w14:textId="77777777" w:rsidR="004C537B" w:rsidRPr="00E65D31" w:rsidRDefault="004C537B" w:rsidP="002F493F">
            <w:pPr>
              <w:contextualSpacing/>
              <w:rPr>
                <w:rStyle w:val="Pogrubienie"/>
              </w:rPr>
            </w:pPr>
            <w:r w:rsidRPr="00E65D31">
              <w:rPr>
                <w:rStyle w:val="Pogrubienie"/>
              </w:rPr>
              <w:t>Nidzica</w:t>
            </w:r>
          </w:p>
        </w:tc>
        <w:tc>
          <w:tcPr>
            <w:tcW w:w="3347" w:type="dxa"/>
            <w:noWrap/>
            <w:hideMark/>
          </w:tcPr>
          <w:p w14:paraId="29B67F83" w14:textId="77777777" w:rsidR="004C537B" w:rsidRPr="0016161A" w:rsidRDefault="004C537B" w:rsidP="002F493F">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lang w:eastAsia="pl-PL"/>
              </w:rPr>
            </w:pPr>
            <w:r>
              <w:rPr>
                <w:lang w:eastAsia="pl-PL"/>
              </w:rPr>
              <w:t xml:space="preserve">Gmina </w:t>
            </w:r>
            <w:r w:rsidRPr="0016161A">
              <w:rPr>
                <w:lang w:eastAsia="pl-PL"/>
              </w:rPr>
              <w:t>miejsko-wiejska</w:t>
            </w:r>
          </w:p>
        </w:tc>
        <w:tc>
          <w:tcPr>
            <w:tcW w:w="2789" w:type="dxa"/>
            <w:noWrap/>
            <w:hideMark/>
          </w:tcPr>
          <w:p w14:paraId="594680E8" w14:textId="77777777" w:rsidR="004C537B" w:rsidRPr="0016161A" w:rsidRDefault="004C537B" w:rsidP="002F493F">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lang w:eastAsia="pl-PL"/>
              </w:rPr>
            </w:pPr>
            <w:r w:rsidRPr="0016161A">
              <w:rPr>
                <w:lang w:eastAsia="pl-PL"/>
              </w:rPr>
              <w:t>379</w:t>
            </w:r>
          </w:p>
        </w:tc>
      </w:tr>
      <w:tr w:rsidR="004C537B" w:rsidRPr="00E95809" w14:paraId="0DEE7CA0" w14:textId="77777777" w:rsidTr="008A652D">
        <w:trPr>
          <w:trHeight w:val="288"/>
        </w:trPr>
        <w:tc>
          <w:tcPr>
            <w:cnfStyle w:val="001000000000" w:firstRow="0" w:lastRow="0" w:firstColumn="1" w:lastColumn="0" w:oddVBand="0" w:evenVBand="0" w:oddHBand="0" w:evenHBand="0" w:firstRowFirstColumn="0" w:firstRowLastColumn="0" w:lastRowFirstColumn="0" w:lastRowLastColumn="0"/>
            <w:tcW w:w="6271" w:type="dxa"/>
            <w:gridSpan w:val="2"/>
            <w:noWrap/>
            <w:hideMark/>
          </w:tcPr>
          <w:p w14:paraId="32F12E52" w14:textId="77777777" w:rsidR="004C537B" w:rsidRPr="00E65D31" w:rsidRDefault="004C537B" w:rsidP="002F493F">
            <w:pPr>
              <w:contextualSpacing/>
              <w:rPr>
                <w:rStyle w:val="Pogrubienie"/>
              </w:rPr>
            </w:pPr>
            <w:r w:rsidRPr="00E65D31">
              <w:rPr>
                <w:rStyle w:val="Pogrubienie"/>
              </w:rPr>
              <w:t>Powiat piski</w:t>
            </w:r>
          </w:p>
        </w:tc>
        <w:tc>
          <w:tcPr>
            <w:tcW w:w="2789" w:type="dxa"/>
            <w:shd w:val="clear" w:color="auto" w:fill="D9D9D9" w:themeFill="background1" w:themeFillShade="D9"/>
            <w:noWrap/>
            <w:hideMark/>
          </w:tcPr>
          <w:p w14:paraId="698AD3DC" w14:textId="77777777" w:rsidR="004C537B" w:rsidRPr="0016161A" w:rsidRDefault="004C537B" w:rsidP="002F493F">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lang w:eastAsia="pl-PL"/>
              </w:rPr>
            </w:pPr>
            <w:r w:rsidRPr="0016161A">
              <w:rPr>
                <w:lang w:eastAsia="pl-PL"/>
              </w:rPr>
              <w:t>1 775</w:t>
            </w:r>
          </w:p>
        </w:tc>
      </w:tr>
      <w:tr w:rsidR="004C537B" w:rsidRPr="00E95809" w14:paraId="4B7CD6A7" w14:textId="77777777" w:rsidTr="0091426B">
        <w:trPr>
          <w:trHeight w:val="288"/>
        </w:trPr>
        <w:tc>
          <w:tcPr>
            <w:cnfStyle w:val="001000000000" w:firstRow="0" w:lastRow="0" w:firstColumn="1" w:lastColumn="0" w:oddVBand="0" w:evenVBand="0" w:oddHBand="0" w:evenHBand="0" w:firstRowFirstColumn="0" w:firstRowLastColumn="0" w:lastRowFirstColumn="0" w:lastRowLastColumn="0"/>
            <w:tcW w:w="2924" w:type="dxa"/>
            <w:noWrap/>
            <w:hideMark/>
          </w:tcPr>
          <w:p w14:paraId="112FABE4" w14:textId="77777777" w:rsidR="004C537B" w:rsidRPr="00E65D31" w:rsidRDefault="004C537B" w:rsidP="002F493F">
            <w:pPr>
              <w:contextualSpacing/>
              <w:rPr>
                <w:rStyle w:val="Pogrubienie"/>
              </w:rPr>
            </w:pPr>
            <w:r w:rsidRPr="00E65D31">
              <w:rPr>
                <w:rStyle w:val="Pogrubienie"/>
              </w:rPr>
              <w:t>Biała Piska</w:t>
            </w:r>
          </w:p>
        </w:tc>
        <w:tc>
          <w:tcPr>
            <w:tcW w:w="3347" w:type="dxa"/>
            <w:noWrap/>
            <w:hideMark/>
          </w:tcPr>
          <w:p w14:paraId="6CE21248" w14:textId="77777777" w:rsidR="004C537B" w:rsidRPr="0016161A" w:rsidRDefault="004C537B" w:rsidP="002F493F">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lang w:eastAsia="pl-PL"/>
              </w:rPr>
            </w:pPr>
            <w:r>
              <w:rPr>
                <w:lang w:eastAsia="pl-PL"/>
              </w:rPr>
              <w:t xml:space="preserve">Gmina </w:t>
            </w:r>
            <w:r w:rsidRPr="0016161A">
              <w:rPr>
                <w:lang w:eastAsia="pl-PL"/>
              </w:rPr>
              <w:t>miejsko-wiejska</w:t>
            </w:r>
          </w:p>
        </w:tc>
        <w:tc>
          <w:tcPr>
            <w:tcW w:w="2789" w:type="dxa"/>
            <w:noWrap/>
            <w:hideMark/>
          </w:tcPr>
          <w:p w14:paraId="37E446CC" w14:textId="77777777" w:rsidR="004C537B" w:rsidRPr="0016161A" w:rsidRDefault="004C537B" w:rsidP="002F493F">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lang w:eastAsia="pl-PL"/>
              </w:rPr>
            </w:pPr>
            <w:r w:rsidRPr="0016161A">
              <w:rPr>
                <w:lang w:eastAsia="pl-PL"/>
              </w:rPr>
              <w:t>420</w:t>
            </w:r>
          </w:p>
        </w:tc>
      </w:tr>
      <w:tr w:rsidR="004C537B" w:rsidRPr="00E95809" w14:paraId="592DFED9" w14:textId="77777777" w:rsidTr="0091426B">
        <w:trPr>
          <w:trHeight w:val="288"/>
        </w:trPr>
        <w:tc>
          <w:tcPr>
            <w:cnfStyle w:val="001000000000" w:firstRow="0" w:lastRow="0" w:firstColumn="1" w:lastColumn="0" w:oddVBand="0" w:evenVBand="0" w:oddHBand="0" w:evenHBand="0" w:firstRowFirstColumn="0" w:firstRowLastColumn="0" w:lastRowFirstColumn="0" w:lastRowLastColumn="0"/>
            <w:tcW w:w="2924" w:type="dxa"/>
            <w:noWrap/>
            <w:hideMark/>
          </w:tcPr>
          <w:p w14:paraId="0F4396A5" w14:textId="77777777" w:rsidR="004C537B" w:rsidRPr="00E65D31" w:rsidRDefault="004C537B" w:rsidP="002F493F">
            <w:pPr>
              <w:contextualSpacing/>
              <w:rPr>
                <w:rStyle w:val="Pogrubienie"/>
              </w:rPr>
            </w:pPr>
            <w:r w:rsidRPr="00E65D31">
              <w:rPr>
                <w:rStyle w:val="Pogrubienie"/>
              </w:rPr>
              <w:t>Orzysz</w:t>
            </w:r>
          </w:p>
        </w:tc>
        <w:tc>
          <w:tcPr>
            <w:tcW w:w="3347" w:type="dxa"/>
            <w:noWrap/>
            <w:hideMark/>
          </w:tcPr>
          <w:p w14:paraId="2EF6E07B" w14:textId="77777777" w:rsidR="004C537B" w:rsidRPr="0016161A" w:rsidRDefault="004C537B" w:rsidP="002F493F">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lang w:eastAsia="pl-PL"/>
              </w:rPr>
            </w:pPr>
            <w:r>
              <w:rPr>
                <w:lang w:eastAsia="pl-PL"/>
              </w:rPr>
              <w:t xml:space="preserve">Gmina </w:t>
            </w:r>
            <w:r w:rsidRPr="0016161A">
              <w:rPr>
                <w:lang w:eastAsia="pl-PL"/>
              </w:rPr>
              <w:t>miejsko-wiejska</w:t>
            </w:r>
          </w:p>
        </w:tc>
        <w:tc>
          <w:tcPr>
            <w:tcW w:w="2789" w:type="dxa"/>
            <w:noWrap/>
            <w:hideMark/>
          </w:tcPr>
          <w:p w14:paraId="500E8C6D" w14:textId="77777777" w:rsidR="004C537B" w:rsidRPr="0016161A" w:rsidRDefault="004C537B" w:rsidP="002F493F">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lang w:eastAsia="pl-PL"/>
              </w:rPr>
            </w:pPr>
            <w:r w:rsidRPr="0016161A">
              <w:rPr>
                <w:lang w:eastAsia="pl-PL"/>
              </w:rPr>
              <w:t>363</w:t>
            </w:r>
          </w:p>
        </w:tc>
      </w:tr>
      <w:tr w:rsidR="004C537B" w:rsidRPr="00E95809" w14:paraId="41F85F25" w14:textId="77777777" w:rsidTr="0091426B">
        <w:trPr>
          <w:trHeight w:val="288"/>
        </w:trPr>
        <w:tc>
          <w:tcPr>
            <w:cnfStyle w:val="001000000000" w:firstRow="0" w:lastRow="0" w:firstColumn="1" w:lastColumn="0" w:oddVBand="0" w:evenVBand="0" w:oddHBand="0" w:evenHBand="0" w:firstRowFirstColumn="0" w:firstRowLastColumn="0" w:lastRowFirstColumn="0" w:lastRowLastColumn="0"/>
            <w:tcW w:w="2924" w:type="dxa"/>
            <w:noWrap/>
            <w:hideMark/>
          </w:tcPr>
          <w:p w14:paraId="5496AF16" w14:textId="77777777" w:rsidR="004C537B" w:rsidRPr="00E65D31" w:rsidRDefault="004C537B" w:rsidP="002F493F">
            <w:pPr>
              <w:contextualSpacing/>
              <w:rPr>
                <w:rStyle w:val="Pogrubienie"/>
              </w:rPr>
            </w:pPr>
            <w:r w:rsidRPr="00E65D31">
              <w:rPr>
                <w:rStyle w:val="Pogrubienie"/>
              </w:rPr>
              <w:t>Pisz</w:t>
            </w:r>
          </w:p>
        </w:tc>
        <w:tc>
          <w:tcPr>
            <w:tcW w:w="3347" w:type="dxa"/>
            <w:noWrap/>
            <w:hideMark/>
          </w:tcPr>
          <w:p w14:paraId="33C7BA2E" w14:textId="77777777" w:rsidR="004C537B" w:rsidRPr="0016161A" w:rsidRDefault="004C537B" w:rsidP="002F493F">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lang w:eastAsia="pl-PL"/>
              </w:rPr>
            </w:pPr>
            <w:r>
              <w:rPr>
                <w:lang w:eastAsia="pl-PL"/>
              </w:rPr>
              <w:t xml:space="preserve">Gmina </w:t>
            </w:r>
            <w:r w:rsidRPr="0016161A">
              <w:rPr>
                <w:lang w:eastAsia="pl-PL"/>
              </w:rPr>
              <w:t>miejsko-wiejska</w:t>
            </w:r>
          </w:p>
        </w:tc>
        <w:tc>
          <w:tcPr>
            <w:tcW w:w="2789" w:type="dxa"/>
            <w:noWrap/>
            <w:hideMark/>
          </w:tcPr>
          <w:p w14:paraId="103E52BA" w14:textId="77777777" w:rsidR="004C537B" w:rsidRPr="0016161A" w:rsidRDefault="004C537B" w:rsidP="002F493F">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lang w:eastAsia="pl-PL"/>
              </w:rPr>
            </w:pPr>
            <w:r w:rsidRPr="0016161A">
              <w:rPr>
                <w:lang w:eastAsia="pl-PL"/>
              </w:rPr>
              <w:t>634</w:t>
            </w:r>
          </w:p>
        </w:tc>
      </w:tr>
      <w:tr w:rsidR="004C537B" w:rsidRPr="00E95809" w14:paraId="6AA287B2" w14:textId="77777777" w:rsidTr="0091426B">
        <w:trPr>
          <w:trHeight w:val="288"/>
        </w:trPr>
        <w:tc>
          <w:tcPr>
            <w:cnfStyle w:val="001000000000" w:firstRow="0" w:lastRow="0" w:firstColumn="1" w:lastColumn="0" w:oddVBand="0" w:evenVBand="0" w:oddHBand="0" w:evenHBand="0" w:firstRowFirstColumn="0" w:firstRowLastColumn="0" w:lastRowFirstColumn="0" w:lastRowLastColumn="0"/>
            <w:tcW w:w="2924" w:type="dxa"/>
            <w:noWrap/>
            <w:hideMark/>
          </w:tcPr>
          <w:p w14:paraId="7066E368" w14:textId="77777777" w:rsidR="004C537B" w:rsidRPr="00E65D31" w:rsidRDefault="004C537B" w:rsidP="002F493F">
            <w:pPr>
              <w:contextualSpacing/>
              <w:rPr>
                <w:rStyle w:val="Pogrubienie"/>
              </w:rPr>
            </w:pPr>
            <w:r w:rsidRPr="00E65D31">
              <w:rPr>
                <w:rStyle w:val="Pogrubienie"/>
              </w:rPr>
              <w:t>Ruciane-Nida</w:t>
            </w:r>
          </w:p>
        </w:tc>
        <w:tc>
          <w:tcPr>
            <w:tcW w:w="3347" w:type="dxa"/>
            <w:noWrap/>
            <w:hideMark/>
          </w:tcPr>
          <w:p w14:paraId="362F0C3C" w14:textId="77777777" w:rsidR="004C537B" w:rsidRPr="0016161A" w:rsidRDefault="004C537B" w:rsidP="002F493F">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lang w:eastAsia="pl-PL"/>
              </w:rPr>
            </w:pPr>
            <w:r>
              <w:rPr>
                <w:lang w:eastAsia="pl-PL"/>
              </w:rPr>
              <w:t xml:space="preserve">Gmina </w:t>
            </w:r>
            <w:r w:rsidRPr="0016161A">
              <w:rPr>
                <w:lang w:eastAsia="pl-PL"/>
              </w:rPr>
              <w:t>miejsko-wiejska</w:t>
            </w:r>
          </w:p>
        </w:tc>
        <w:tc>
          <w:tcPr>
            <w:tcW w:w="2789" w:type="dxa"/>
            <w:noWrap/>
            <w:hideMark/>
          </w:tcPr>
          <w:p w14:paraId="45F53296" w14:textId="77777777" w:rsidR="004C537B" w:rsidRPr="0016161A" w:rsidRDefault="004C537B" w:rsidP="002F493F">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lang w:eastAsia="pl-PL"/>
              </w:rPr>
            </w:pPr>
            <w:r w:rsidRPr="0016161A">
              <w:rPr>
                <w:lang w:eastAsia="pl-PL"/>
              </w:rPr>
              <w:t>358</w:t>
            </w:r>
          </w:p>
        </w:tc>
      </w:tr>
      <w:tr w:rsidR="004C537B" w:rsidRPr="00E95809" w14:paraId="165E44C2" w14:textId="77777777" w:rsidTr="008A652D">
        <w:trPr>
          <w:trHeight w:val="288"/>
        </w:trPr>
        <w:tc>
          <w:tcPr>
            <w:cnfStyle w:val="001000000000" w:firstRow="0" w:lastRow="0" w:firstColumn="1" w:lastColumn="0" w:oddVBand="0" w:evenVBand="0" w:oddHBand="0" w:evenHBand="0" w:firstRowFirstColumn="0" w:firstRowLastColumn="0" w:lastRowFirstColumn="0" w:lastRowLastColumn="0"/>
            <w:tcW w:w="6271" w:type="dxa"/>
            <w:gridSpan w:val="2"/>
            <w:noWrap/>
            <w:hideMark/>
          </w:tcPr>
          <w:p w14:paraId="783CA462" w14:textId="77777777" w:rsidR="004C537B" w:rsidRPr="00E65D31" w:rsidRDefault="004C537B" w:rsidP="002F493F">
            <w:pPr>
              <w:contextualSpacing/>
              <w:rPr>
                <w:rStyle w:val="Pogrubienie"/>
              </w:rPr>
            </w:pPr>
            <w:r w:rsidRPr="00E65D31">
              <w:rPr>
                <w:rStyle w:val="Pogrubienie"/>
              </w:rPr>
              <w:t>Powiat szczycieński</w:t>
            </w:r>
          </w:p>
        </w:tc>
        <w:tc>
          <w:tcPr>
            <w:tcW w:w="2789" w:type="dxa"/>
            <w:shd w:val="clear" w:color="auto" w:fill="D9D9D9" w:themeFill="background1" w:themeFillShade="D9"/>
            <w:noWrap/>
            <w:hideMark/>
          </w:tcPr>
          <w:p w14:paraId="497B32F2" w14:textId="77777777" w:rsidR="004C537B" w:rsidRPr="0016161A" w:rsidRDefault="004C537B" w:rsidP="002F493F">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lang w:eastAsia="pl-PL"/>
              </w:rPr>
            </w:pPr>
            <w:r w:rsidRPr="0016161A">
              <w:rPr>
                <w:lang w:eastAsia="pl-PL"/>
              </w:rPr>
              <w:t>1 933</w:t>
            </w:r>
          </w:p>
        </w:tc>
      </w:tr>
      <w:tr w:rsidR="004C537B" w:rsidRPr="00E95809" w14:paraId="39A9E381" w14:textId="77777777" w:rsidTr="0091426B">
        <w:trPr>
          <w:trHeight w:val="288"/>
        </w:trPr>
        <w:tc>
          <w:tcPr>
            <w:cnfStyle w:val="001000000000" w:firstRow="0" w:lastRow="0" w:firstColumn="1" w:lastColumn="0" w:oddVBand="0" w:evenVBand="0" w:oddHBand="0" w:evenHBand="0" w:firstRowFirstColumn="0" w:firstRowLastColumn="0" w:lastRowFirstColumn="0" w:lastRowLastColumn="0"/>
            <w:tcW w:w="2924" w:type="dxa"/>
            <w:noWrap/>
            <w:hideMark/>
          </w:tcPr>
          <w:p w14:paraId="39808DF5" w14:textId="77777777" w:rsidR="004C537B" w:rsidRPr="00E65D31" w:rsidRDefault="004C537B" w:rsidP="002F493F">
            <w:pPr>
              <w:contextualSpacing/>
              <w:rPr>
                <w:rStyle w:val="Pogrubienie"/>
              </w:rPr>
            </w:pPr>
            <w:r w:rsidRPr="00E65D31">
              <w:rPr>
                <w:rStyle w:val="Pogrubienie"/>
              </w:rPr>
              <w:t>Szczytno</w:t>
            </w:r>
          </w:p>
        </w:tc>
        <w:tc>
          <w:tcPr>
            <w:tcW w:w="3347" w:type="dxa"/>
            <w:noWrap/>
            <w:hideMark/>
          </w:tcPr>
          <w:p w14:paraId="13D2D4C9" w14:textId="77777777" w:rsidR="004C537B" w:rsidRPr="0016161A" w:rsidRDefault="004C537B" w:rsidP="002F493F">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lang w:eastAsia="pl-PL"/>
              </w:rPr>
            </w:pPr>
            <w:r>
              <w:rPr>
                <w:lang w:eastAsia="pl-PL"/>
              </w:rPr>
              <w:t xml:space="preserve">Gmina </w:t>
            </w:r>
            <w:r w:rsidRPr="0016161A">
              <w:rPr>
                <w:lang w:eastAsia="pl-PL"/>
              </w:rPr>
              <w:t>miejska</w:t>
            </w:r>
          </w:p>
        </w:tc>
        <w:tc>
          <w:tcPr>
            <w:tcW w:w="2789" w:type="dxa"/>
            <w:noWrap/>
            <w:hideMark/>
          </w:tcPr>
          <w:p w14:paraId="1A39E243" w14:textId="77777777" w:rsidR="004C537B" w:rsidRPr="0016161A" w:rsidRDefault="004C537B" w:rsidP="002F493F">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lang w:eastAsia="pl-PL"/>
              </w:rPr>
            </w:pPr>
            <w:r w:rsidRPr="0016161A">
              <w:rPr>
                <w:lang w:eastAsia="pl-PL"/>
              </w:rPr>
              <w:t>11</w:t>
            </w:r>
          </w:p>
        </w:tc>
      </w:tr>
      <w:tr w:rsidR="004C537B" w:rsidRPr="00E95809" w14:paraId="0E75D4E5" w14:textId="77777777" w:rsidTr="0091426B">
        <w:trPr>
          <w:trHeight w:val="288"/>
        </w:trPr>
        <w:tc>
          <w:tcPr>
            <w:cnfStyle w:val="001000000000" w:firstRow="0" w:lastRow="0" w:firstColumn="1" w:lastColumn="0" w:oddVBand="0" w:evenVBand="0" w:oddHBand="0" w:evenHBand="0" w:firstRowFirstColumn="0" w:firstRowLastColumn="0" w:lastRowFirstColumn="0" w:lastRowLastColumn="0"/>
            <w:tcW w:w="2924" w:type="dxa"/>
            <w:noWrap/>
            <w:hideMark/>
          </w:tcPr>
          <w:p w14:paraId="4589AA6C" w14:textId="77777777" w:rsidR="004C537B" w:rsidRPr="00E65D31" w:rsidRDefault="004C537B" w:rsidP="002F493F">
            <w:pPr>
              <w:contextualSpacing/>
              <w:rPr>
                <w:rStyle w:val="Pogrubienie"/>
              </w:rPr>
            </w:pPr>
            <w:r w:rsidRPr="00E65D31">
              <w:rPr>
                <w:rStyle w:val="Pogrubienie"/>
              </w:rPr>
              <w:t>Dźwierzuty</w:t>
            </w:r>
          </w:p>
        </w:tc>
        <w:tc>
          <w:tcPr>
            <w:tcW w:w="3347" w:type="dxa"/>
            <w:noWrap/>
            <w:hideMark/>
          </w:tcPr>
          <w:p w14:paraId="4D5BD3EA" w14:textId="77777777" w:rsidR="004C537B" w:rsidRPr="0016161A" w:rsidRDefault="004C537B" w:rsidP="002F493F">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lang w:eastAsia="pl-PL"/>
              </w:rPr>
            </w:pPr>
            <w:r>
              <w:rPr>
                <w:lang w:eastAsia="pl-PL"/>
              </w:rPr>
              <w:t xml:space="preserve">Gmina </w:t>
            </w:r>
            <w:r w:rsidRPr="0016161A">
              <w:rPr>
                <w:lang w:eastAsia="pl-PL"/>
              </w:rPr>
              <w:t>wiejska</w:t>
            </w:r>
          </w:p>
        </w:tc>
        <w:tc>
          <w:tcPr>
            <w:tcW w:w="2789" w:type="dxa"/>
            <w:noWrap/>
            <w:hideMark/>
          </w:tcPr>
          <w:p w14:paraId="56DD9A50" w14:textId="77777777" w:rsidR="004C537B" w:rsidRPr="0016161A" w:rsidRDefault="004C537B" w:rsidP="002F493F">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lang w:eastAsia="pl-PL"/>
              </w:rPr>
            </w:pPr>
            <w:r w:rsidRPr="0016161A">
              <w:rPr>
                <w:lang w:eastAsia="pl-PL"/>
              </w:rPr>
              <w:t>263</w:t>
            </w:r>
          </w:p>
        </w:tc>
      </w:tr>
      <w:tr w:rsidR="004C537B" w:rsidRPr="00E95809" w14:paraId="2F38DF54" w14:textId="77777777" w:rsidTr="0091426B">
        <w:trPr>
          <w:trHeight w:val="288"/>
        </w:trPr>
        <w:tc>
          <w:tcPr>
            <w:cnfStyle w:val="001000000000" w:firstRow="0" w:lastRow="0" w:firstColumn="1" w:lastColumn="0" w:oddVBand="0" w:evenVBand="0" w:oddHBand="0" w:evenHBand="0" w:firstRowFirstColumn="0" w:firstRowLastColumn="0" w:lastRowFirstColumn="0" w:lastRowLastColumn="0"/>
            <w:tcW w:w="2924" w:type="dxa"/>
            <w:noWrap/>
            <w:hideMark/>
          </w:tcPr>
          <w:p w14:paraId="597502E5" w14:textId="77777777" w:rsidR="004C537B" w:rsidRPr="00E65D31" w:rsidRDefault="004C537B" w:rsidP="002F493F">
            <w:pPr>
              <w:contextualSpacing/>
              <w:rPr>
                <w:rStyle w:val="Pogrubienie"/>
              </w:rPr>
            </w:pPr>
            <w:r w:rsidRPr="00E65D31">
              <w:rPr>
                <w:rStyle w:val="Pogrubienie"/>
              </w:rPr>
              <w:t>Jedwabno</w:t>
            </w:r>
          </w:p>
        </w:tc>
        <w:tc>
          <w:tcPr>
            <w:tcW w:w="3347" w:type="dxa"/>
            <w:noWrap/>
            <w:hideMark/>
          </w:tcPr>
          <w:p w14:paraId="78FD03BF" w14:textId="77777777" w:rsidR="004C537B" w:rsidRPr="0016161A" w:rsidRDefault="004C537B" w:rsidP="002F493F">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lang w:eastAsia="pl-PL"/>
              </w:rPr>
            </w:pPr>
            <w:r>
              <w:rPr>
                <w:lang w:eastAsia="pl-PL"/>
              </w:rPr>
              <w:t xml:space="preserve">Gmina </w:t>
            </w:r>
            <w:r w:rsidRPr="0016161A">
              <w:rPr>
                <w:lang w:eastAsia="pl-PL"/>
              </w:rPr>
              <w:t>wiejska</w:t>
            </w:r>
          </w:p>
        </w:tc>
        <w:tc>
          <w:tcPr>
            <w:tcW w:w="2789" w:type="dxa"/>
            <w:noWrap/>
            <w:hideMark/>
          </w:tcPr>
          <w:p w14:paraId="1D85C08F" w14:textId="77777777" w:rsidR="004C537B" w:rsidRPr="0016161A" w:rsidRDefault="004C537B" w:rsidP="002F493F">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lang w:eastAsia="pl-PL"/>
              </w:rPr>
            </w:pPr>
            <w:r w:rsidRPr="0016161A">
              <w:rPr>
                <w:lang w:eastAsia="pl-PL"/>
              </w:rPr>
              <w:t>312</w:t>
            </w:r>
          </w:p>
        </w:tc>
      </w:tr>
      <w:tr w:rsidR="004C537B" w:rsidRPr="00E95809" w14:paraId="72FFA55A" w14:textId="77777777" w:rsidTr="0091426B">
        <w:trPr>
          <w:trHeight w:val="288"/>
        </w:trPr>
        <w:tc>
          <w:tcPr>
            <w:cnfStyle w:val="001000000000" w:firstRow="0" w:lastRow="0" w:firstColumn="1" w:lastColumn="0" w:oddVBand="0" w:evenVBand="0" w:oddHBand="0" w:evenHBand="0" w:firstRowFirstColumn="0" w:firstRowLastColumn="0" w:lastRowFirstColumn="0" w:lastRowLastColumn="0"/>
            <w:tcW w:w="2924" w:type="dxa"/>
            <w:noWrap/>
            <w:hideMark/>
          </w:tcPr>
          <w:p w14:paraId="33DC67E4" w14:textId="77777777" w:rsidR="004C537B" w:rsidRPr="00E65D31" w:rsidRDefault="004C537B" w:rsidP="002F493F">
            <w:pPr>
              <w:contextualSpacing/>
              <w:rPr>
                <w:rStyle w:val="Pogrubienie"/>
              </w:rPr>
            </w:pPr>
            <w:r w:rsidRPr="00E65D31">
              <w:rPr>
                <w:rStyle w:val="Pogrubienie"/>
              </w:rPr>
              <w:t>Pasym</w:t>
            </w:r>
          </w:p>
        </w:tc>
        <w:tc>
          <w:tcPr>
            <w:tcW w:w="3347" w:type="dxa"/>
            <w:noWrap/>
            <w:hideMark/>
          </w:tcPr>
          <w:p w14:paraId="298A6F85" w14:textId="77777777" w:rsidR="004C537B" w:rsidRPr="0016161A" w:rsidRDefault="004C537B" w:rsidP="002F493F">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lang w:eastAsia="pl-PL"/>
              </w:rPr>
            </w:pPr>
            <w:r>
              <w:rPr>
                <w:lang w:eastAsia="pl-PL"/>
              </w:rPr>
              <w:t xml:space="preserve">Gmina </w:t>
            </w:r>
            <w:r w:rsidRPr="0016161A">
              <w:rPr>
                <w:lang w:eastAsia="pl-PL"/>
              </w:rPr>
              <w:t>miejsko-wiejska</w:t>
            </w:r>
          </w:p>
        </w:tc>
        <w:tc>
          <w:tcPr>
            <w:tcW w:w="2789" w:type="dxa"/>
            <w:noWrap/>
            <w:hideMark/>
          </w:tcPr>
          <w:p w14:paraId="3EE5050D" w14:textId="77777777" w:rsidR="004C537B" w:rsidRPr="0016161A" w:rsidRDefault="004C537B" w:rsidP="002F493F">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lang w:eastAsia="pl-PL"/>
              </w:rPr>
            </w:pPr>
            <w:r w:rsidRPr="0016161A">
              <w:rPr>
                <w:lang w:eastAsia="pl-PL"/>
              </w:rPr>
              <w:t>149</w:t>
            </w:r>
          </w:p>
        </w:tc>
      </w:tr>
      <w:tr w:rsidR="004C537B" w:rsidRPr="00E95809" w14:paraId="634D336B" w14:textId="77777777" w:rsidTr="0091426B">
        <w:trPr>
          <w:trHeight w:val="288"/>
        </w:trPr>
        <w:tc>
          <w:tcPr>
            <w:cnfStyle w:val="001000000000" w:firstRow="0" w:lastRow="0" w:firstColumn="1" w:lastColumn="0" w:oddVBand="0" w:evenVBand="0" w:oddHBand="0" w:evenHBand="0" w:firstRowFirstColumn="0" w:firstRowLastColumn="0" w:lastRowFirstColumn="0" w:lastRowLastColumn="0"/>
            <w:tcW w:w="2924" w:type="dxa"/>
            <w:noWrap/>
            <w:hideMark/>
          </w:tcPr>
          <w:p w14:paraId="54776189" w14:textId="77777777" w:rsidR="004C537B" w:rsidRPr="00E65D31" w:rsidRDefault="004C537B" w:rsidP="002F493F">
            <w:pPr>
              <w:contextualSpacing/>
              <w:rPr>
                <w:rStyle w:val="Pogrubienie"/>
              </w:rPr>
            </w:pPr>
            <w:r w:rsidRPr="00E65D31">
              <w:rPr>
                <w:rStyle w:val="Pogrubienie"/>
              </w:rPr>
              <w:t>Rozogi</w:t>
            </w:r>
          </w:p>
        </w:tc>
        <w:tc>
          <w:tcPr>
            <w:tcW w:w="3347" w:type="dxa"/>
            <w:noWrap/>
            <w:hideMark/>
          </w:tcPr>
          <w:p w14:paraId="02E597B8" w14:textId="77777777" w:rsidR="004C537B" w:rsidRPr="0016161A" w:rsidRDefault="004C537B" w:rsidP="002F493F">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lang w:eastAsia="pl-PL"/>
              </w:rPr>
            </w:pPr>
            <w:r>
              <w:rPr>
                <w:lang w:eastAsia="pl-PL"/>
              </w:rPr>
              <w:t xml:space="preserve">Gmina </w:t>
            </w:r>
            <w:r w:rsidRPr="0016161A">
              <w:rPr>
                <w:lang w:eastAsia="pl-PL"/>
              </w:rPr>
              <w:t>wiejska</w:t>
            </w:r>
          </w:p>
        </w:tc>
        <w:tc>
          <w:tcPr>
            <w:tcW w:w="2789" w:type="dxa"/>
            <w:noWrap/>
            <w:hideMark/>
          </w:tcPr>
          <w:p w14:paraId="3CFA243E" w14:textId="77777777" w:rsidR="004C537B" w:rsidRPr="0016161A" w:rsidRDefault="004C537B" w:rsidP="002F493F">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lang w:eastAsia="pl-PL"/>
              </w:rPr>
            </w:pPr>
            <w:r w:rsidRPr="0016161A">
              <w:rPr>
                <w:lang w:eastAsia="pl-PL"/>
              </w:rPr>
              <w:t>224</w:t>
            </w:r>
          </w:p>
        </w:tc>
      </w:tr>
      <w:tr w:rsidR="004C537B" w:rsidRPr="00E95809" w14:paraId="75396584" w14:textId="77777777" w:rsidTr="0091426B">
        <w:trPr>
          <w:trHeight w:val="288"/>
        </w:trPr>
        <w:tc>
          <w:tcPr>
            <w:cnfStyle w:val="001000000000" w:firstRow="0" w:lastRow="0" w:firstColumn="1" w:lastColumn="0" w:oddVBand="0" w:evenVBand="0" w:oddHBand="0" w:evenHBand="0" w:firstRowFirstColumn="0" w:firstRowLastColumn="0" w:lastRowFirstColumn="0" w:lastRowLastColumn="0"/>
            <w:tcW w:w="2924" w:type="dxa"/>
            <w:noWrap/>
            <w:hideMark/>
          </w:tcPr>
          <w:p w14:paraId="23BA78FF" w14:textId="77777777" w:rsidR="004C537B" w:rsidRPr="00E65D31" w:rsidRDefault="004C537B" w:rsidP="002F493F">
            <w:pPr>
              <w:contextualSpacing/>
              <w:rPr>
                <w:rStyle w:val="Pogrubienie"/>
              </w:rPr>
            </w:pPr>
            <w:r w:rsidRPr="00E65D31">
              <w:rPr>
                <w:rStyle w:val="Pogrubienie"/>
              </w:rPr>
              <w:t>Szczytno</w:t>
            </w:r>
          </w:p>
        </w:tc>
        <w:tc>
          <w:tcPr>
            <w:tcW w:w="3347" w:type="dxa"/>
            <w:noWrap/>
            <w:hideMark/>
          </w:tcPr>
          <w:p w14:paraId="43C0A268" w14:textId="77777777" w:rsidR="004C537B" w:rsidRPr="0016161A" w:rsidRDefault="004C537B" w:rsidP="002F493F">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lang w:eastAsia="pl-PL"/>
              </w:rPr>
            </w:pPr>
            <w:r>
              <w:rPr>
                <w:lang w:eastAsia="pl-PL"/>
              </w:rPr>
              <w:t xml:space="preserve">Gmina </w:t>
            </w:r>
            <w:r w:rsidRPr="0016161A">
              <w:rPr>
                <w:lang w:eastAsia="pl-PL"/>
              </w:rPr>
              <w:t>wiejska</w:t>
            </w:r>
          </w:p>
        </w:tc>
        <w:tc>
          <w:tcPr>
            <w:tcW w:w="2789" w:type="dxa"/>
            <w:noWrap/>
            <w:hideMark/>
          </w:tcPr>
          <w:p w14:paraId="50234C78" w14:textId="77777777" w:rsidR="004C537B" w:rsidRPr="0016161A" w:rsidRDefault="004C537B" w:rsidP="002F493F">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lang w:eastAsia="pl-PL"/>
              </w:rPr>
            </w:pPr>
            <w:r w:rsidRPr="0016161A">
              <w:rPr>
                <w:lang w:eastAsia="pl-PL"/>
              </w:rPr>
              <w:t>346</w:t>
            </w:r>
          </w:p>
        </w:tc>
      </w:tr>
      <w:tr w:rsidR="004C537B" w:rsidRPr="00E95809" w14:paraId="0E9E398B" w14:textId="77777777" w:rsidTr="0091426B">
        <w:trPr>
          <w:trHeight w:val="288"/>
        </w:trPr>
        <w:tc>
          <w:tcPr>
            <w:cnfStyle w:val="001000000000" w:firstRow="0" w:lastRow="0" w:firstColumn="1" w:lastColumn="0" w:oddVBand="0" w:evenVBand="0" w:oddHBand="0" w:evenHBand="0" w:firstRowFirstColumn="0" w:firstRowLastColumn="0" w:lastRowFirstColumn="0" w:lastRowLastColumn="0"/>
            <w:tcW w:w="2924" w:type="dxa"/>
            <w:noWrap/>
            <w:hideMark/>
          </w:tcPr>
          <w:p w14:paraId="35F8758F" w14:textId="77777777" w:rsidR="004C537B" w:rsidRPr="00E65D31" w:rsidRDefault="004C537B" w:rsidP="002F493F">
            <w:pPr>
              <w:contextualSpacing/>
              <w:rPr>
                <w:rStyle w:val="Pogrubienie"/>
              </w:rPr>
            </w:pPr>
            <w:r w:rsidRPr="00E65D31">
              <w:rPr>
                <w:rStyle w:val="Pogrubienie"/>
              </w:rPr>
              <w:t>Świętajno</w:t>
            </w:r>
          </w:p>
        </w:tc>
        <w:tc>
          <w:tcPr>
            <w:tcW w:w="3347" w:type="dxa"/>
            <w:noWrap/>
            <w:hideMark/>
          </w:tcPr>
          <w:p w14:paraId="17C2CB7D" w14:textId="77777777" w:rsidR="004C537B" w:rsidRPr="0016161A" w:rsidRDefault="004C537B" w:rsidP="002F493F">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lang w:eastAsia="pl-PL"/>
              </w:rPr>
            </w:pPr>
            <w:r>
              <w:rPr>
                <w:lang w:eastAsia="pl-PL"/>
              </w:rPr>
              <w:t xml:space="preserve">Gmina </w:t>
            </w:r>
            <w:r w:rsidRPr="0016161A">
              <w:rPr>
                <w:lang w:eastAsia="pl-PL"/>
              </w:rPr>
              <w:t>wiejska</w:t>
            </w:r>
          </w:p>
        </w:tc>
        <w:tc>
          <w:tcPr>
            <w:tcW w:w="2789" w:type="dxa"/>
            <w:noWrap/>
            <w:hideMark/>
          </w:tcPr>
          <w:p w14:paraId="27053A67" w14:textId="77777777" w:rsidR="004C537B" w:rsidRPr="0016161A" w:rsidRDefault="004C537B" w:rsidP="002F493F">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lang w:eastAsia="pl-PL"/>
              </w:rPr>
            </w:pPr>
            <w:r w:rsidRPr="0016161A">
              <w:rPr>
                <w:lang w:eastAsia="pl-PL"/>
              </w:rPr>
              <w:t>280</w:t>
            </w:r>
          </w:p>
        </w:tc>
      </w:tr>
      <w:tr w:rsidR="004C537B" w:rsidRPr="00E95809" w14:paraId="58D9C988" w14:textId="77777777" w:rsidTr="0091426B">
        <w:trPr>
          <w:trHeight w:val="288"/>
        </w:trPr>
        <w:tc>
          <w:tcPr>
            <w:cnfStyle w:val="001000000000" w:firstRow="0" w:lastRow="0" w:firstColumn="1" w:lastColumn="0" w:oddVBand="0" w:evenVBand="0" w:oddHBand="0" w:evenHBand="0" w:firstRowFirstColumn="0" w:firstRowLastColumn="0" w:lastRowFirstColumn="0" w:lastRowLastColumn="0"/>
            <w:tcW w:w="2924" w:type="dxa"/>
            <w:noWrap/>
            <w:hideMark/>
          </w:tcPr>
          <w:p w14:paraId="67123ED8" w14:textId="77777777" w:rsidR="004C537B" w:rsidRPr="00E65D31" w:rsidRDefault="004C537B" w:rsidP="002F493F">
            <w:pPr>
              <w:contextualSpacing/>
              <w:rPr>
                <w:rStyle w:val="Pogrubienie"/>
              </w:rPr>
            </w:pPr>
            <w:r w:rsidRPr="00E65D31">
              <w:rPr>
                <w:rStyle w:val="Pogrubienie"/>
              </w:rPr>
              <w:t>Wielbark</w:t>
            </w:r>
          </w:p>
        </w:tc>
        <w:tc>
          <w:tcPr>
            <w:tcW w:w="3347" w:type="dxa"/>
            <w:noWrap/>
            <w:hideMark/>
          </w:tcPr>
          <w:p w14:paraId="4201CAE5" w14:textId="77777777" w:rsidR="004C537B" w:rsidRPr="0016161A" w:rsidRDefault="004C537B" w:rsidP="002F493F">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lang w:eastAsia="pl-PL"/>
              </w:rPr>
            </w:pPr>
            <w:r>
              <w:rPr>
                <w:lang w:eastAsia="pl-PL"/>
              </w:rPr>
              <w:t xml:space="preserve">Gmina </w:t>
            </w:r>
            <w:r w:rsidRPr="0016161A">
              <w:rPr>
                <w:lang w:eastAsia="pl-PL"/>
              </w:rPr>
              <w:t>miejsko-wiejska</w:t>
            </w:r>
          </w:p>
        </w:tc>
        <w:tc>
          <w:tcPr>
            <w:tcW w:w="2789" w:type="dxa"/>
            <w:noWrap/>
            <w:hideMark/>
          </w:tcPr>
          <w:p w14:paraId="59D198A5" w14:textId="77777777" w:rsidR="004C537B" w:rsidRPr="0016161A" w:rsidRDefault="004C537B" w:rsidP="002F493F">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lang w:eastAsia="pl-PL"/>
              </w:rPr>
            </w:pPr>
            <w:r w:rsidRPr="0016161A">
              <w:rPr>
                <w:lang w:eastAsia="pl-PL"/>
              </w:rPr>
              <w:t>348</w:t>
            </w:r>
          </w:p>
        </w:tc>
      </w:tr>
      <w:tr w:rsidR="004C537B" w:rsidRPr="00E95809" w14:paraId="2C89106D" w14:textId="77777777" w:rsidTr="008A652D">
        <w:trPr>
          <w:trHeight w:val="288"/>
        </w:trPr>
        <w:tc>
          <w:tcPr>
            <w:cnfStyle w:val="001000000000" w:firstRow="0" w:lastRow="0" w:firstColumn="1" w:lastColumn="0" w:oddVBand="0" w:evenVBand="0" w:oddHBand="0" w:evenHBand="0" w:firstRowFirstColumn="0" w:firstRowLastColumn="0" w:lastRowFirstColumn="0" w:lastRowLastColumn="0"/>
            <w:tcW w:w="6271" w:type="dxa"/>
            <w:gridSpan w:val="2"/>
            <w:noWrap/>
          </w:tcPr>
          <w:p w14:paraId="36154D35" w14:textId="77777777" w:rsidR="004C537B" w:rsidRPr="00E65D31" w:rsidRDefault="004C537B" w:rsidP="002F493F">
            <w:pPr>
              <w:contextualSpacing/>
              <w:rPr>
                <w:rStyle w:val="Pogrubienie"/>
              </w:rPr>
            </w:pPr>
            <w:r w:rsidRPr="00E65D31">
              <w:rPr>
                <w:rStyle w:val="Pogrubienie"/>
              </w:rPr>
              <w:t>Łącznie</w:t>
            </w:r>
          </w:p>
        </w:tc>
        <w:tc>
          <w:tcPr>
            <w:tcW w:w="2789" w:type="dxa"/>
            <w:shd w:val="clear" w:color="auto" w:fill="D9D9D9" w:themeFill="background1" w:themeFillShade="D9"/>
            <w:noWrap/>
          </w:tcPr>
          <w:p w14:paraId="6A3FCC2F" w14:textId="77777777" w:rsidR="004C537B" w:rsidRPr="0016161A" w:rsidRDefault="004C537B" w:rsidP="002F493F">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lang w:eastAsia="pl-PL"/>
              </w:rPr>
            </w:pPr>
            <w:r w:rsidRPr="0016161A">
              <w:rPr>
                <w:lang w:eastAsia="pl-PL"/>
              </w:rPr>
              <w:t>5 623</w:t>
            </w:r>
          </w:p>
        </w:tc>
      </w:tr>
    </w:tbl>
    <w:p w14:paraId="4C4FAA12" w14:textId="73D60429" w:rsidR="006E6ABC" w:rsidRPr="008A652D" w:rsidRDefault="004C537B" w:rsidP="008A652D">
      <w:pPr>
        <w:pStyle w:val="podpiselementu"/>
        <w:spacing w:after="240"/>
        <w:rPr>
          <w:lang w:val="pl-PL"/>
        </w:rPr>
      </w:pPr>
      <w:r w:rsidRPr="00733091">
        <w:rPr>
          <w:lang w:val="pl-PL"/>
        </w:rPr>
        <w:t>Źródło: opracowanie własne na podstawie danych BDL</w:t>
      </w:r>
    </w:p>
    <w:p w14:paraId="2123EA25" w14:textId="3190A78B" w:rsidR="004C537B" w:rsidRPr="00CD14BE" w:rsidRDefault="004C537B" w:rsidP="00CD14BE">
      <w:pPr>
        <w:pStyle w:val="Tekstprzypisudolnego"/>
        <w:spacing w:before="120" w:after="240"/>
        <w:rPr>
          <w:rFonts w:asciiTheme="minorHAnsi" w:hAnsiTheme="minorHAnsi" w:cstheme="minorHAnsi"/>
          <w:szCs w:val="24"/>
          <w:lang w:val="pl-PL"/>
        </w:rPr>
      </w:pPr>
      <w:r w:rsidRPr="00CD14BE">
        <w:rPr>
          <w:rFonts w:asciiTheme="minorHAnsi" w:hAnsiTheme="minorHAnsi" w:cstheme="minorHAnsi"/>
          <w:szCs w:val="24"/>
          <w:lang w:val="pl-PL"/>
        </w:rPr>
        <w:lastRenderedPageBreak/>
        <w:t xml:space="preserve">Partnerstwo Południowe Mazury tworzą gminy położone </w:t>
      </w:r>
      <w:r w:rsidR="00D467C8">
        <w:rPr>
          <w:rFonts w:asciiTheme="minorHAnsi" w:hAnsiTheme="minorHAnsi" w:cstheme="minorHAnsi"/>
          <w:szCs w:val="24"/>
          <w:lang w:val="pl-PL"/>
        </w:rPr>
        <w:t>w</w:t>
      </w:r>
      <w:r w:rsidRPr="00CD14BE">
        <w:rPr>
          <w:rFonts w:asciiTheme="minorHAnsi" w:hAnsiTheme="minorHAnsi" w:cstheme="minorHAnsi"/>
          <w:szCs w:val="24"/>
          <w:lang w:val="pl-PL"/>
        </w:rPr>
        <w:t xml:space="preserve"> obszarach strategicznej interwencji</w:t>
      </w:r>
      <w:r w:rsidRPr="00CD14BE">
        <w:rPr>
          <w:rStyle w:val="Odwoanieprzypisudolnego"/>
          <w:rFonts w:asciiTheme="minorHAnsi" w:hAnsiTheme="minorHAnsi" w:cstheme="minorHAnsi"/>
          <w:szCs w:val="24"/>
          <w:lang w:val="pl-PL"/>
        </w:rPr>
        <w:t xml:space="preserve"> </w:t>
      </w:r>
      <w:r w:rsidRPr="00CD14BE">
        <w:rPr>
          <w:rFonts w:asciiTheme="minorHAnsi" w:hAnsiTheme="minorHAnsi" w:cstheme="minorHAnsi"/>
          <w:szCs w:val="24"/>
          <w:lang w:val="pl-PL"/>
        </w:rPr>
        <w:t>(OSI) województwa warmińsko-mazurskiego oraz gminy nie wchodzące w skład tych obszarów (tabela poniżej). Fakt zakwalifikowania</w:t>
      </w:r>
      <w:r w:rsidRPr="00CD14BE">
        <w:rPr>
          <w:rStyle w:val="Odwoanieprzypisudolnego"/>
          <w:rFonts w:asciiTheme="minorHAnsi" w:hAnsiTheme="minorHAnsi" w:cstheme="minorHAnsi"/>
          <w:szCs w:val="24"/>
        </w:rPr>
        <w:footnoteReference w:id="16"/>
      </w:r>
      <w:r w:rsidRPr="00CD14BE">
        <w:rPr>
          <w:rFonts w:asciiTheme="minorHAnsi" w:hAnsiTheme="minorHAnsi" w:cstheme="minorHAnsi"/>
          <w:szCs w:val="24"/>
          <w:lang w:val="pl-PL"/>
        </w:rPr>
        <w:t xml:space="preserve"> tylko części gmin tworzących Partnerstwo (17) do pięciu różnych obszarów strategicznej interwencji </w:t>
      </w:r>
      <w:r w:rsidRPr="00CD14BE">
        <w:rPr>
          <w:rFonts w:asciiTheme="minorHAnsi" w:hAnsiTheme="minorHAnsi" w:cstheme="minorHAnsi"/>
          <w:b/>
          <w:bCs/>
          <w:szCs w:val="24"/>
          <w:lang w:val="pl-PL"/>
        </w:rPr>
        <w:t xml:space="preserve">świadczy o zróżnicowanej sytuacji rozwojowej </w:t>
      </w:r>
      <w:r w:rsidRPr="00CD14BE">
        <w:rPr>
          <w:rFonts w:asciiTheme="minorHAnsi" w:hAnsiTheme="minorHAnsi" w:cstheme="minorHAnsi"/>
          <w:szCs w:val="24"/>
          <w:lang w:val="pl-PL"/>
        </w:rPr>
        <w:t>jednostek tworzących Partnerstwo.</w:t>
      </w:r>
    </w:p>
    <w:p w14:paraId="79DA591E" w14:textId="6C322D57" w:rsidR="004C537B" w:rsidRPr="00733091" w:rsidRDefault="004C537B" w:rsidP="002E24A9">
      <w:pPr>
        <w:pStyle w:val="Legenda"/>
        <w:rPr>
          <w:lang w:val="pl-PL"/>
        </w:rPr>
      </w:pPr>
      <w:r w:rsidRPr="00733091">
        <w:rPr>
          <w:lang w:val="pl-PL"/>
        </w:rPr>
        <w:t xml:space="preserve">Tabela </w:t>
      </w:r>
      <w:r w:rsidR="000E6BC2" w:rsidRPr="00733091">
        <w:rPr>
          <w:lang w:val="pl-PL"/>
        </w:rPr>
        <w:t>2</w:t>
      </w:r>
      <w:r w:rsidRPr="00733091">
        <w:rPr>
          <w:lang w:val="pl-PL"/>
        </w:rPr>
        <w:t>: Wykaz gmin Partnerstwa wchodzących w skład OSI Województwa Warmińsko-Mazurskiego</w:t>
      </w:r>
    </w:p>
    <w:tbl>
      <w:tblPr>
        <w:tblStyle w:val="CWD"/>
        <w:tblW w:w="5000" w:type="pct"/>
        <w:tblLook w:val="04A0" w:firstRow="1" w:lastRow="0" w:firstColumn="1" w:lastColumn="0" w:noHBand="0" w:noVBand="1"/>
      </w:tblPr>
      <w:tblGrid>
        <w:gridCol w:w="2405"/>
        <w:gridCol w:w="5675"/>
        <w:gridCol w:w="980"/>
      </w:tblGrid>
      <w:tr w:rsidR="004C537B" w:rsidRPr="00E95809" w14:paraId="51B801A1" w14:textId="77777777" w:rsidTr="00ED2BBA">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05" w:type="dxa"/>
            <w:noWrap/>
          </w:tcPr>
          <w:p w14:paraId="4899BF45" w14:textId="77777777" w:rsidR="004C537B" w:rsidRPr="00C60C31" w:rsidRDefault="004C537B" w:rsidP="00BA1554">
            <w:pPr>
              <w:ind w:left="0"/>
              <w:contextualSpacing/>
              <w:rPr>
                <w:rStyle w:val="Pogrubienie"/>
                <w:b/>
                <w:bCs/>
              </w:rPr>
            </w:pPr>
            <w:r w:rsidRPr="00C60C31">
              <w:rPr>
                <w:rStyle w:val="Pogrubienie"/>
                <w:b/>
                <w:bCs/>
              </w:rPr>
              <w:t>Nazwa OSI</w:t>
            </w:r>
          </w:p>
        </w:tc>
        <w:tc>
          <w:tcPr>
            <w:tcW w:w="5675" w:type="dxa"/>
            <w:noWrap/>
          </w:tcPr>
          <w:p w14:paraId="4D4B9F25" w14:textId="77777777" w:rsidR="004C537B" w:rsidRPr="00C60C31" w:rsidRDefault="004C537B" w:rsidP="00BA1554">
            <w:pPr>
              <w:ind w:left="0"/>
              <w:contextualSpacing/>
              <w:cnfStyle w:val="100000000000" w:firstRow="1" w:lastRow="0" w:firstColumn="0" w:lastColumn="0" w:oddVBand="0" w:evenVBand="0" w:oddHBand="0" w:evenHBand="0" w:firstRowFirstColumn="0" w:firstRowLastColumn="0" w:lastRowFirstColumn="0" w:lastRowLastColumn="0"/>
              <w:rPr>
                <w:rStyle w:val="Pogrubienie"/>
                <w:b/>
                <w:bCs/>
              </w:rPr>
            </w:pPr>
            <w:r w:rsidRPr="00C60C31">
              <w:rPr>
                <w:rStyle w:val="Pogrubienie"/>
                <w:b/>
                <w:bCs/>
              </w:rPr>
              <w:t>JST położone w OSI</w:t>
            </w:r>
          </w:p>
        </w:tc>
        <w:tc>
          <w:tcPr>
            <w:tcW w:w="982" w:type="dxa"/>
          </w:tcPr>
          <w:p w14:paraId="6925298D" w14:textId="77777777" w:rsidR="004C537B" w:rsidRPr="00C60C31" w:rsidRDefault="004C537B" w:rsidP="00BA1554">
            <w:pPr>
              <w:ind w:left="0"/>
              <w:contextualSpacing/>
              <w:cnfStyle w:val="100000000000" w:firstRow="1" w:lastRow="0" w:firstColumn="0" w:lastColumn="0" w:oddVBand="0" w:evenVBand="0" w:oddHBand="0" w:evenHBand="0" w:firstRowFirstColumn="0" w:firstRowLastColumn="0" w:lastRowFirstColumn="0" w:lastRowLastColumn="0"/>
              <w:rPr>
                <w:rStyle w:val="Pogrubienie"/>
                <w:b/>
                <w:bCs/>
              </w:rPr>
            </w:pPr>
            <w:r w:rsidRPr="00C60C31">
              <w:rPr>
                <w:rStyle w:val="Pogrubienie"/>
                <w:b/>
                <w:bCs/>
              </w:rPr>
              <w:t>Liczba JST</w:t>
            </w:r>
          </w:p>
        </w:tc>
      </w:tr>
      <w:tr w:rsidR="004C537B" w:rsidRPr="00E95809" w14:paraId="1AF739E8" w14:textId="77777777" w:rsidTr="00CD14BE">
        <w:trPr>
          <w:trHeight w:val="1170"/>
        </w:trPr>
        <w:tc>
          <w:tcPr>
            <w:cnfStyle w:val="001000000000" w:firstRow="0" w:lastRow="0" w:firstColumn="1" w:lastColumn="0" w:oddVBand="0" w:evenVBand="0" w:oddHBand="0" w:evenHBand="0" w:firstRowFirstColumn="0" w:firstRowLastColumn="0" w:lastRowFirstColumn="0" w:lastRowLastColumn="0"/>
            <w:tcW w:w="2405" w:type="dxa"/>
            <w:noWrap/>
          </w:tcPr>
          <w:p w14:paraId="1B235D8D" w14:textId="77777777" w:rsidR="004C537B" w:rsidRPr="00E65D31" w:rsidRDefault="004C537B" w:rsidP="00BA1554">
            <w:pPr>
              <w:ind w:left="0"/>
              <w:contextualSpacing/>
              <w:rPr>
                <w:rStyle w:val="Pogrubienie"/>
                <w:lang w:val="pl-PL"/>
              </w:rPr>
            </w:pPr>
            <w:r w:rsidRPr="00E65D31">
              <w:rPr>
                <w:rStyle w:val="Pogrubienie"/>
                <w:lang w:val="pl-PL"/>
              </w:rPr>
              <w:t>Miasta tracące funkcje społeczno-gospodarcze</w:t>
            </w:r>
          </w:p>
        </w:tc>
        <w:tc>
          <w:tcPr>
            <w:tcW w:w="5675" w:type="dxa"/>
            <w:noWrap/>
          </w:tcPr>
          <w:p w14:paraId="488D76C0" w14:textId="4C34B269" w:rsidR="004C537B" w:rsidRPr="0016161A" w:rsidRDefault="004C537B"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lang w:eastAsia="pl-PL"/>
              </w:rPr>
            </w:pPr>
            <w:r>
              <w:rPr>
                <w:lang w:eastAsia="pl-PL"/>
              </w:rPr>
              <w:t>Szczytno (gmina miejska), Działdowo (gmina miejska), Pisz</w:t>
            </w:r>
          </w:p>
        </w:tc>
        <w:tc>
          <w:tcPr>
            <w:tcW w:w="982" w:type="dxa"/>
          </w:tcPr>
          <w:p w14:paraId="76119111" w14:textId="77777777" w:rsidR="004C537B" w:rsidRDefault="004C537B"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lang w:eastAsia="pl-PL"/>
              </w:rPr>
            </w:pPr>
            <w:r>
              <w:rPr>
                <w:lang w:eastAsia="pl-PL"/>
              </w:rPr>
              <w:t>3</w:t>
            </w:r>
          </w:p>
        </w:tc>
      </w:tr>
      <w:tr w:rsidR="004C537B" w:rsidRPr="00E95809" w14:paraId="45DEB1E1" w14:textId="77777777" w:rsidTr="00ED2BBA">
        <w:trPr>
          <w:trHeight w:val="288"/>
        </w:trPr>
        <w:tc>
          <w:tcPr>
            <w:cnfStyle w:val="001000000000" w:firstRow="0" w:lastRow="0" w:firstColumn="1" w:lastColumn="0" w:oddVBand="0" w:evenVBand="0" w:oddHBand="0" w:evenHBand="0" w:firstRowFirstColumn="0" w:firstRowLastColumn="0" w:lastRowFirstColumn="0" w:lastRowLastColumn="0"/>
            <w:tcW w:w="2405" w:type="dxa"/>
            <w:noWrap/>
          </w:tcPr>
          <w:p w14:paraId="19752F28" w14:textId="77777777" w:rsidR="004C537B" w:rsidRPr="00E65D31" w:rsidRDefault="004C537B" w:rsidP="00BA1554">
            <w:pPr>
              <w:ind w:left="0"/>
              <w:contextualSpacing/>
              <w:rPr>
                <w:rStyle w:val="Pogrubienie"/>
              </w:rPr>
            </w:pPr>
            <w:r w:rsidRPr="00E65D31">
              <w:rPr>
                <w:rStyle w:val="Pogrubienie"/>
              </w:rPr>
              <w:t>Cittaslow</w:t>
            </w:r>
          </w:p>
        </w:tc>
        <w:tc>
          <w:tcPr>
            <w:tcW w:w="5675" w:type="dxa"/>
            <w:noWrap/>
          </w:tcPr>
          <w:p w14:paraId="3F9EDC03" w14:textId="77777777" w:rsidR="004C537B" w:rsidRPr="0016161A" w:rsidRDefault="004C537B"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lang w:eastAsia="pl-PL"/>
              </w:rPr>
            </w:pPr>
            <w:r>
              <w:rPr>
                <w:lang w:eastAsia="pl-PL"/>
              </w:rPr>
              <w:t>Pasym, Lidzbark, Działdowo (gmina miejska), Nidzica, Szczytno (gmina miejska)</w:t>
            </w:r>
          </w:p>
        </w:tc>
        <w:tc>
          <w:tcPr>
            <w:tcW w:w="982" w:type="dxa"/>
          </w:tcPr>
          <w:p w14:paraId="4C6B27B2" w14:textId="77777777" w:rsidR="004C537B" w:rsidRDefault="004C537B"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lang w:eastAsia="pl-PL"/>
              </w:rPr>
            </w:pPr>
            <w:r>
              <w:rPr>
                <w:lang w:eastAsia="pl-PL"/>
              </w:rPr>
              <w:t>5</w:t>
            </w:r>
          </w:p>
        </w:tc>
      </w:tr>
      <w:tr w:rsidR="004C537B" w:rsidRPr="00E95809" w14:paraId="6E5254DB" w14:textId="77777777" w:rsidTr="00ED2BBA">
        <w:trPr>
          <w:trHeight w:val="288"/>
        </w:trPr>
        <w:tc>
          <w:tcPr>
            <w:cnfStyle w:val="001000000000" w:firstRow="0" w:lastRow="0" w:firstColumn="1" w:lastColumn="0" w:oddVBand="0" w:evenVBand="0" w:oddHBand="0" w:evenHBand="0" w:firstRowFirstColumn="0" w:firstRowLastColumn="0" w:lastRowFirstColumn="0" w:lastRowLastColumn="0"/>
            <w:tcW w:w="2405" w:type="dxa"/>
            <w:noWrap/>
          </w:tcPr>
          <w:p w14:paraId="0B5AD2E4" w14:textId="77777777" w:rsidR="004C537B" w:rsidRPr="00E65D31" w:rsidRDefault="004C537B" w:rsidP="00BA1554">
            <w:pPr>
              <w:ind w:left="0"/>
              <w:contextualSpacing/>
              <w:rPr>
                <w:rStyle w:val="Pogrubienie"/>
              </w:rPr>
            </w:pPr>
            <w:r w:rsidRPr="00E65D31">
              <w:rPr>
                <w:rStyle w:val="Pogrubienie"/>
              </w:rPr>
              <w:t>Tygrys Warmińsko-Mazurski</w:t>
            </w:r>
          </w:p>
        </w:tc>
        <w:tc>
          <w:tcPr>
            <w:tcW w:w="5675" w:type="dxa"/>
            <w:noWrap/>
          </w:tcPr>
          <w:p w14:paraId="3659399D" w14:textId="77777777" w:rsidR="004C537B" w:rsidRPr="0016161A" w:rsidRDefault="004C537B"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lang w:eastAsia="pl-PL"/>
              </w:rPr>
            </w:pPr>
            <w:r>
              <w:rPr>
                <w:lang w:eastAsia="pl-PL"/>
              </w:rPr>
              <w:t>Dźwierzuty, Iłowo-Osada, Nidzica, Janowiec Kościelny, Orzysz, Kozłowo</w:t>
            </w:r>
          </w:p>
        </w:tc>
        <w:tc>
          <w:tcPr>
            <w:tcW w:w="982" w:type="dxa"/>
          </w:tcPr>
          <w:p w14:paraId="18040C23" w14:textId="77777777" w:rsidR="004C537B" w:rsidRPr="0016161A" w:rsidRDefault="004C537B"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lang w:eastAsia="pl-PL"/>
              </w:rPr>
            </w:pPr>
            <w:r>
              <w:rPr>
                <w:lang w:eastAsia="pl-PL"/>
              </w:rPr>
              <w:t>6</w:t>
            </w:r>
          </w:p>
        </w:tc>
      </w:tr>
      <w:tr w:rsidR="004C537B" w:rsidRPr="00E95809" w14:paraId="01CD2570" w14:textId="77777777" w:rsidTr="00ED2BBA">
        <w:trPr>
          <w:trHeight w:val="288"/>
        </w:trPr>
        <w:tc>
          <w:tcPr>
            <w:cnfStyle w:val="001000000000" w:firstRow="0" w:lastRow="0" w:firstColumn="1" w:lastColumn="0" w:oddVBand="0" w:evenVBand="0" w:oddHBand="0" w:evenHBand="0" w:firstRowFirstColumn="0" w:firstRowLastColumn="0" w:lastRowFirstColumn="0" w:lastRowLastColumn="0"/>
            <w:tcW w:w="2405" w:type="dxa"/>
            <w:noWrap/>
          </w:tcPr>
          <w:p w14:paraId="678E53F6" w14:textId="77777777" w:rsidR="004C537B" w:rsidRPr="00E65D31" w:rsidRDefault="004C537B" w:rsidP="00BA1554">
            <w:pPr>
              <w:ind w:left="0"/>
              <w:contextualSpacing/>
              <w:rPr>
                <w:rStyle w:val="Pogrubienie"/>
              </w:rPr>
            </w:pPr>
            <w:r w:rsidRPr="00E65D31">
              <w:rPr>
                <w:rStyle w:val="Pogrubienie"/>
              </w:rPr>
              <w:t>Obszary marginalizacji</w:t>
            </w:r>
          </w:p>
        </w:tc>
        <w:tc>
          <w:tcPr>
            <w:tcW w:w="5675" w:type="dxa"/>
            <w:noWrap/>
          </w:tcPr>
          <w:p w14:paraId="5A37EEB0" w14:textId="77777777" w:rsidR="004C537B" w:rsidRPr="0016161A" w:rsidRDefault="004C537B"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lang w:eastAsia="pl-PL"/>
              </w:rPr>
            </w:pPr>
            <w:r>
              <w:rPr>
                <w:lang w:eastAsia="pl-PL"/>
              </w:rPr>
              <w:t>Płośnica, Lidzbark, Działdowo (gmina wiejska), Ruciane-Nida, Biała Piska, Orzysz, Rozogi, Kozłowo</w:t>
            </w:r>
          </w:p>
        </w:tc>
        <w:tc>
          <w:tcPr>
            <w:tcW w:w="982" w:type="dxa"/>
          </w:tcPr>
          <w:p w14:paraId="2ECCCC7A" w14:textId="77777777" w:rsidR="004C537B" w:rsidRPr="0016161A" w:rsidRDefault="004C537B"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lang w:eastAsia="pl-PL"/>
              </w:rPr>
            </w:pPr>
            <w:r>
              <w:rPr>
                <w:lang w:eastAsia="pl-PL"/>
              </w:rPr>
              <w:t>8</w:t>
            </w:r>
          </w:p>
        </w:tc>
      </w:tr>
      <w:tr w:rsidR="004C537B" w:rsidRPr="00E95809" w14:paraId="56A365B3" w14:textId="77777777" w:rsidTr="00ED2BBA">
        <w:trPr>
          <w:trHeight w:val="288"/>
        </w:trPr>
        <w:tc>
          <w:tcPr>
            <w:cnfStyle w:val="001000000000" w:firstRow="0" w:lastRow="0" w:firstColumn="1" w:lastColumn="0" w:oddVBand="0" w:evenVBand="0" w:oddHBand="0" w:evenHBand="0" w:firstRowFirstColumn="0" w:firstRowLastColumn="0" w:lastRowFirstColumn="0" w:lastRowLastColumn="0"/>
            <w:tcW w:w="2405" w:type="dxa"/>
            <w:noWrap/>
          </w:tcPr>
          <w:p w14:paraId="3621E73F" w14:textId="77777777" w:rsidR="004C537B" w:rsidRPr="00E65D31" w:rsidRDefault="004C537B" w:rsidP="00BA1554">
            <w:pPr>
              <w:ind w:left="0"/>
              <w:contextualSpacing/>
              <w:rPr>
                <w:rStyle w:val="Pogrubienie"/>
              </w:rPr>
            </w:pPr>
            <w:r w:rsidRPr="00E65D31">
              <w:rPr>
                <w:rStyle w:val="Pogrubienie"/>
              </w:rPr>
              <w:t>OF Wielkie Jeziora Mazurskie</w:t>
            </w:r>
          </w:p>
        </w:tc>
        <w:tc>
          <w:tcPr>
            <w:tcW w:w="5675" w:type="dxa"/>
            <w:noWrap/>
          </w:tcPr>
          <w:p w14:paraId="4DB12026" w14:textId="77777777" w:rsidR="004C537B" w:rsidRPr="0016161A" w:rsidRDefault="004C537B"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lang w:eastAsia="pl-PL"/>
              </w:rPr>
            </w:pPr>
            <w:r>
              <w:rPr>
                <w:lang w:eastAsia="pl-PL"/>
              </w:rPr>
              <w:t>Ruciane-Nida, Orzysz, Pisz</w:t>
            </w:r>
          </w:p>
        </w:tc>
        <w:tc>
          <w:tcPr>
            <w:tcW w:w="982" w:type="dxa"/>
          </w:tcPr>
          <w:p w14:paraId="1F2B2E7E" w14:textId="77777777" w:rsidR="004C537B" w:rsidRPr="0016161A" w:rsidRDefault="004C537B"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lang w:eastAsia="pl-PL"/>
              </w:rPr>
            </w:pPr>
            <w:r>
              <w:rPr>
                <w:lang w:eastAsia="pl-PL"/>
              </w:rPr>
              <w:t>3</w:t>
            </w:r>
          </w:p>
        </w:tc>
      </w:tr>
      <w:tr w:rsidR="004C537B" w:rsidRPr="00E95809" w14:paraId="384DE13B" w14:textId="77777777" w:rsidTr="00ED2BBA">
        <w:trPr>
          <w:trHeight w:val="58"/>
        </w:trPr>
        <w:tc>
          <w:tcPr>
            <w:cnfStyle w:val="001000000000" w:firstRow="0" w:lastRow="0" w:firstColumn="1" w:lastColumn="0" w:oddVBand="0" w:evenVBand="0" w:oddHBand="0" w:evenHBand="0" w:firstRowFirstColumn="0" w:firstRowLastColumn="0" w:lastRowFirstColumn="0" w:lastRowLastColumn="0"/>
            <w:tcW w:w="2405" w:type="dxa"/>
            <w:noWrap/>
          </w:tcPr>
          <w:p w14:paraId="55815A45" w14:textId="77777777" w:rsidR="004C537B" w:rsidRPr="00E65D31" w:rsidRDefault="004C537B" w:rsidP="00BA1554">
            <w:pPr>
              <w:ind w:left="0"/>
              <w:contextualSpacing/>
              <w:rPr>
                <w:rStyle w:val="Pogrubienie"/>
                <w:lang w:val="pl-PL"/>
              </w:rPr>
            </w:pPr>
            <w:r w:rsidRPr="00E65D31">
              <w:rPr>
                <w:rStyle w:val="Pogrubienie"/>
                <w:lang w:val="pl-PL"/>
              </w:rPr>
              <w:t>Gminy nie wchodzące w skład żadnego OSI</w:t>
            </w:r>
          </w:p>
        </w:tc>
        <w:tc>
          <w:tcPr>
            <w:tcW w:w="5675" w:type="dxa"/>
            <w:noWrap/>
          </w:tcPr>
          <w:p w14:paraId="2C224B6E" w14:textId="3B97FF8C" w:rsidR="004C537B" w:rsidRPr="0016161A" w:rsidRDefault="004C537B"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lang w:eastAsia="pl-PL"/>
              </w:rPr>
            </w:pPr>
            <w:r>
              <w:rPr>
                <w:lang w:eastAsia="pl-PL"/>
              </w:rPr>
              <w:t>Szczytno (gmina wiejska), Wielbark, Jedwabno, Świętajno, Rybno,Janowo</w:t>
            </w:r>
          </w:p>
        </w:tc>
        <w:tc>
          <w:tcPr>
            <w:tcW w:w="982" w:type="dxa"/>
          </w:tcPr>
          <w:p w14:paraId="3AB47734" w14:textId="77777777" w:rsidR="004C537B" w:rsidRDefault="004C537B"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lang w:eastAsia="pl-PL"/>
              </w:rPr>
            </w:pPr>
            <w:r>
              <w:rPr>
                <w:lang w:eastAsia="pl-PL"/>
              </w:rPr>
              <w:t>6</w:t>
            </w:r>
          </w:p>
        </w:tc>
      </w:tr>
    </w:tbl>
    <w:p w14:paraId="3A2B8B83" w14:textId="3A04CCF1" w:rsidR="004C537B" w:rsidRPr="00CD14BE" w:rsidRDefault="004C537B" w:rsidP="00CD14BE">
      <w:pPr>
        <w:pStyle w:val="podpiselementu"/>
        <w:spacing w:after="240"/>
        <w:rPr>
          <w:lang w:val="pl-PL"/>
        </w:rPr>
      </w:pPr>
      <w:r w:rsidRPr="00733091">
        <w:rPr>
          <w:lang w:val="pl-PL"/>
        </w:rPr>
        <w:t xml:space="preserve">Źródło: opracowanie własne na podstawie Strategii rozwoju społeczno-gospodarczego </w:t>
      </w:r>
      <w:r w:rsidRPr="00733091">
        <w:rPr>
          <w:lang w:val="pl-PL"/>
        </w:rPr>
        <w:br/>
        <w:t>województwa warmińsko-mazurskiego”</w:t>
      </w:r>
    </w:p>
    <w:p w14:paraId="3393F64F" w14:textId="42AC6513" w:rsidR="004C537B" w:rsidRPr="00733091" w:rsidRDefault="004C537B" w:rsidP="00A53827">
      <w:pPr>
        <w:pStyle w:val="Tekstprzypisudolnego"/>
        <w:spacing w:before="120" w:after="240"/>
        <w:contextualSpacing/>
        <w:rPr>
          <w:rFonts w:asciiTheme="minorHAnsi" w:hAnsiTheme="minorHAnsi" w:cstheme="minorHAnsi"/>
          <w:color w:val="000000" w:themeColor="text1"/>
          <w:szCs w:val="24"/>
          <w:lang w:val="pl-PL"/>
        </w:rPr>
      </w:pPr>
      <w:r w:rsidRPr="00733091">
        <w:rPr>
          <w:rFonts w:asciiTheme="minorHAnsi" w:hAnsiTheme="minorHAnsi" w:cstheme="minorHAnsi"/>
          <w:color w:val="000000" w:themeColor="text1"/>
          <w:szCs w:val="24"/>
          <w:lang w:val="pl-PL"/>
        </w:rPr>
        <w:t>Niejednorodny charakter Partnerstwa potwierdza też fakt zakwalifikowania tylko 12 z 22 gmin tworzących Partnerstwo do obszarów problemowych</w:t>
      </w:r>
      <w:r w:rsidRPr="00733091">
        <w:rPr>
          <w:rStyle w:val="Odwoanieprzypisudolnego"/>
          <w:rFonts w:asciiTheme="minorHAnsi" w:hAnsiTheme="minorHAnsi" w:cstheme="minorHAnsi"/>
          <w:color w:val="000000" w:themeColor="text1"/>
          <w:szCs w:val="24"/>
        </w:rPr>
        <w:footnoteReference w:id="17"/>
      </w:r>
      <w:r w:rsidRPr="00733091">
        <w:rPr>
          <w:rFonts w:asciiTheme="minorHAnsi" w:hAnsiTheme="minorHAnsi" w:cstheme="minorHAnsi"/>
          <w:color w:val="000000" w:themeColor="text1"/>
          <w:szCs w:val="24"/>
          <w:lang w:val="pl-PL"/>
        </w:rPr>
        <w:t xml:space="preserve">, </w:t>
      </w:r>
      <w:r w:rsidR="00D467C8">
        <w:rPr>
          <w:rFonts w:asciiTheme="minorHAnsi" w:hAnsiTheme="minorHAnsi" w:cstheme="minorHAnsi"/>
          <w:color w:val="000000" w:themeColor="text1"/>
          <w:szCs w:val="24"/>
          <w:lang w:val="pl-PL"/>
        </w:rPr>
        <w:t>w</w:t>
      </w:r>
      <w:r w:rsidRPr="00733091">
        <w:rPr>
          <w:rFonts w:asciiTheme="minorHAnsi" w:hAnsiTheme="minorHAnsi" w:cstheme="minorHAnsi"/>
          <w:color w:val="000000" w:themeColor="text1"/>
          <w:szCs w:val="24"/>
          <w:lang w:val="pl-PL"/>
        </w:rPr>
        <w:t xml:space="preserve"> których skumulowały się problemy ekonomiczno-społeczne. Kwalifikacja 8 gmin (Lidzbark, Rybno, Płośnica, Kozłowo, Janowiec Kościelny, Janowo, Wielbark, Rozogi) do obszarów wewnętrznie peryferyjnych</w:t>
      </w:r>
      <w:r w:rsidRPr="00733091">
        <w:rPr>
          <w:rStyle w:val="Odwoanieprzypisudolnego"/>
          <w:rFonts w:asciiTheme="minorHAnsi" w:hAnsiTheme="minorHAnsi" w:cstheme="minorHAnsi"/>
          <w:color w:val="000000" w:themeColor="text1"/>
          <w:szCs w:val="24"/>
        </w:rPr>
        <w:footnoteReference w:id="18"/>
      </w:r>
      <w:r w:rsidRPr="00733091">
        <w:rPr>
          <w:rFonts w:asciiTheme="minorHAnsi" w:hAnsiTheme="minorHAnsi" w:cstheme="minorHAnsi"/>
          <w:color w:val="000000" w:themeColor="text1"/>
          <w:szCs w:val="24"/>
          <w:lang w:val="pl-PL"/>
        </w:rPr>
        <w:t xml:space="preserve"> oraz 4 gmin (Dźwierzuty, Ruciane-Nida, </w:t>
      </w:r>
      <w:r w:rsidRPr="00733091">
        <w:rPr>
          <w:rFonts w:asciiTheme="minorHAnsi" w:hAnsiTheme="minorHAnsi" w:cstheme="minorHAnsi"/>
          <w:color w:val="000000" w:themeColor="text1"/>
          <w:szCs w:val="24"/>
          <w:lang w:val="pl-PL"/>
        </w:rPr>
        <w:lastRenderedPageBreak/>
        <w:t>Orzysz i Biała Piska) do obszarów szoku transformacyjnego</w:t>
      </w:r>
      <w:r w:rsidRPr="00733091">
        <w:rPr>
          <w:rStyle w:val="Odwoanieprzypisudolnego"/>
          <w:rFonts w:asciiTheme="minorHAnsi" w:hAnsiTheme="minorHAnsi" w:cstheme="minorHAnsi"/>
          <w:color w:val="000000" w:themeColor="text1"/>
          <w:szCs w:val="24"/>
        </w:rPr>
        <w:footnoteReference w:id="19"/>
      </w:r>
      <w:r w:rsidRPr="00733091">
        <w:rPr>
          <w:rFonts w:asciiTheme="minorHAnsi" w:hAnsiTheme="minorHAnsi" w:cstheme="minorHAnsi"/>
          <w:color w:val="000000" w:themeColor="text1"/>
          <w:szCs w:val="24"/>
          <w:lang w:val="pl-PL"/>
        </w:rPr>
        <w:t xml:space="preserve"> </w:t>
      </w:r>
      <w:r w:rsidRPr="00733091">
        <w:rPr>
          <w:rFonts w:asciiTheme="minorHAnsi" w:hAnsiTheme="minorHAnsi" w:cstheme="minorHAnsi"/>
          <w:b/>
          <w:bCs/>
          <w:color w:val="000000" w:themeColor="text1"/>
          <w:szCs w:val="24"/>
          <w:lang w:val="pl-PL"/>
        </w:rPr>
        <w:t xml:space="preserve">świadczy </w:t>
      </w:r>
      <w:r w:rsidR="00CD14BE">
        <w:rPr>
          <w:rFonts w:asciiTheme="minorHAnsi" w:hAnsiTheme="minorHAnsi" w:cstheme="minorHAnsi"/>
          <w:b/>
          <w:bCs/>
          <w:color w:val="000000" w:themeColor="text1"/>
          <w:szCs w:val="24"/>
          <w:lang w:val="pl-PL"/>
        </w:rPr>
        <w:br/>
      </w:r>
      <w:r w:rsidRPr="00733091">
        <w:rPr>
          <w:rFonts w:asciiTheme="minorHAnsi" w:hAnsiTheme="minorHAnsi" w:cstheme="minorHAnsi"/>
          <w:b/>
          <w:bCs/>
          <w:color w:val="000000" w:themeColor="text1"/>
          <w:szCs w:val="24"/>
          <w:lang w:val="pl-PL"/>
        </w:rPr>
        <w:t xml:space="preserve">o zróżnicowaniu problemów rozwojowych </w:t>
      </w:r>
      <w:r w:rsidRPr="00733091">
        <w:rPr>
          <w:rFonts w:asciiTheme="minorHAnsi" w:hAnsiTheme="minorHAnsi" w:cstheme="minorHAnsi"/>
          <w:color w:val="000000" w:themeColor="text1"/>
          <w:szCs w:val="24"/>
          <w:lang w:val="pl-PL"/>
        </w:rPr>
        <w:t>obszaru Partnerstwa.</w:t>
      </w:r>
    </w:p>
    <w:p w14:paraId="262C1657" w14:textId="474CAC71" w:rsidR="0051246A" w:rsidRPr="00733091" w:rsidRDefault="0051246A" w:rsidP="002E24A9">
      <w:pPr>
        <w:pStyle w:val="Legenda"/>
        <w:rPr>
          <w:lang w:val="pl-PL"/>
        </w:rPr>
      </w:pPr>
      <w:bookmarkStart w:id="12" w:name="_Toc69596603"/>
      <w:r w:rsidRPr="00733091">
        <w:rPr>
          <w:lang w:val="pl-PL"/>
        </w:rPr>
        <w:t xml:space="preserve">Mapa </w:t>
      </w:r>
      <w:r w:rsidR="00733091">
        <w:fldChar w:fldCharType="begin"/>
      </w:r>
      <w:r w:rsidR="00733091" w:rsidRPr="00733091">
        <w:rPr>
          <w:lang w:val="pl-PL"/>
        </w:rPr>
        <w:instrText xml:space="preserve"> SEQ Mapa \* ARABIC </w:instrText>
      </w:r>
      <w:r w:rsidR="00733091">
        <w:fldChar w:fldCharType="separate"/>
      </w:r>
      <w:r w:rsidR="00B14787">
        <w:rPr>
          <w:noProof/>
          <w:lang w:val="pl-PL"/>
        </w:rPr>
        <w:t>3</w:t>
      </w:r>
      <w:r w:rsidR="00733091">
        <w:rPr>
          <w:noProof/>
        </w:rPr>
        <w:fldChar w:fldCharType="end"/>
      </w:r>
      <w:r w:rsidRPr="00733091">
        <w:rPr>
          <w:lang w:val="pl-PL"/>
        </w:rPr>
        <w:t>: Obszary problemowe na terenie Partnerstwa</w:t>
      </w:r>
      <w:bookmarkEnd w:id="12"/>
    </w:p>
    <w:p w14:paraId="55679E33" w14:textId="253FED06" w:rsidR="00284D34" w:rsidRPr="006E6ABC" w:rsidRDefault="004C537B" w:rsidP="00CD14BE">
      <w:pPr>
        <w:pStyle w:val="podpiselementu"/>
        <w:spacing w:after="240"/>
        <w:rPr>
          <w:color w:val="44546A" w:themeColor="text2"/>
          <w:sz w:val="18"/>
          <w:szCs w:val="18"/>
          <w:lang w:val="pl-PL"/>
        </w:rPr>
      </w:pPr>
      <w:r>
        <w:rPr>
          <w:noProof/>
        </w:rPr>
        <w:drawing>
          <wp:inline distT="0" distB="0" distL="0" distR="0" wp14:anchorId="60EB9221" wp14:editId="4A65C928">
            <wp:extent cx="4849030" cy="4349750"/>
            <wp:effectExtent l="19050" t="19050" r="27940" b="12700"/>
            <wp:docPr id="75" name="Obraz 75" descr="mapa Polski z zaznaczonym czarnym obrysem obszarem Partnerstwa i oznaczonymi: kolorem pomarańczowym gminami wewnętrznie peryferyjnymi i kolorem musztardowym – gminami szoku transformacyjn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Obraz 75" descr="mapa Polski z zaznaczonym czarnym obrysem obszarem Partnerstwa i oznaczonymi: kolorem pomarańczowym gminami wewnętrznie peryferyjnymi i kolorem musztardowym – gminami szoku transformacyjnego"/>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873150" cy="4371386"/>
                    </a:xfrm>
                    <a:prstGeom prst="rect">
                      <a:avLst/>
                    </a:prstGeom>
                    <a:noFill/>
                    <a:ln>
                      <a:solidFill>
                        <a:schemeClr val="tx2"/>
                      </a:solidFill>
                    </a:ln>
                  </pic:spPr>
                </pic:pic>
              </a:graphicData>
            </a:graphic>
          </wp:inline>
        </w:drawing>
      </w:r>
      <w:r w:rsidR="006E6ABC" w:rsidRPr="006E6ABC">
        <w:rPr>
          <w:color w:val="44546A" w:themeColor="text2"/>
          <w:sz w:val="18"/>
          <w:szCs w:val="18"/>
          <w:lang w:val="pl-PL"/>
        </w:rPr>
        <w:br/>
      </w:r>
      <w:r w:rsidRPr="00733091">
        <w:rPr>
          <w:lang w:val="pl-PL"/>
        </w:rPr>
        <w:t>Źródło: Przemysław Śleszyński, Jerzy Bański Marek Degórski, Tomasz Komornicki, „Aktualizacja delimitacji obszarów problemowych na 2018 rok”, PAN, Warszawa 2019</w:t>
      </w:r>
    </w:p>
    <w:p w14:paraId="2B11DFEA" w14:textId="03B7DC73" w:rsidR="007E58A1" w:rsidRDefault="00120B4A" w:rsidP="00733091">
      <w:pPr>
        <w:pStyle w:val="Nagwek2"/>
        <w:spacing w:before="120"/>
        <w:rPr>
          <w:lang w:val="pl-PL"/>
        </w:rPr>
      </w:pPr>
      <w:bookmarkStart w:id="13" w:name="_Toc69725429"/>
      <w:r w:rsidRPr="00120B4A">
        <w:rPr>
          <w:lang w:val="pl-PL"/>
        </w:rPr>
        <w:t>Powiązania funkcjonalne na obszarze Partnerstwa</w:t>
      </w:r>
      <w:bookmarkEnd w:id="13"/>
    </w:p>
    <w:p w14:paraId="40C46DA4" w14:textId="6AAE525B" w:rsidR="00042D08" w:rsidRPr="00733091" w:rsidRDefault="00042D08" w:rsidP="00733091">
      <w:pPr>
        <w:rPr>
          <w:color w:val="FF0000"/>
          <w:shd w:val="clear" w:color="auto" w:fill="FFFFFF"/>
          <w:lang w:val="pl-PL"/>
        </w:rPr>
      </w:pPr>
      <w:r w:rsidRPr="00733091">
        <w:rPr>
          <w:lang w:val="pl-PL"/>
        </w:rPr>
        <w:t xml:space="preserve">Powiązania funkcjonalne </w:t>
      </w:r>
      <w:r w:rsidRPr="00733091">
        <w:rPr>
          <w:shd w:val="clear" w:color="auto" w:fill="FFFFFF"/>
          <w:lang w:val="pl-PL"/>
        </w:rPr>
        <w:t xml:space="preserve">to więzi </w:t>
      </w:r>
      <w:r w:rsidRPr="00733091">
        <w:rPr>
          <w:lang w:val="pl-PL"/>
        </w:rPr>
        <w:t>społeczne i gospodarcze uwarunkowane cechami środowiska antropogenicznego, ściśle</w:t>
      </w:r>
      <w:r w:rsidRPr="00733091">
        <w:rPr>
          <w:shd w:val="clear" w:color="auto" w:fill="FFFFFF"/>
          <w:lang w:val="pl-PL"/>
        </w:rPr>
        <w:t xml:space="preserve"> związane z przepływem osób, towarów </w:t>
      </w:r>
      <w:r w:rsidR="00D467C8">
        <w:rPr>
          <w:shd w:val="clear" w:color="auto" w:fill="FFFFFF"/>
          <w:lang w:val="pl-PL"/>
        </w:rPr>
        <w:br/>
      </w:r>
      <w:r w:rsidRPr="00733091">
        <w:rPr>
          <w:shd w:val="clear" w:color="auto" w:fill="FFFFFF"/>
          <w:lang w:val="pl-PL"/>
        </w:rPr>
        <w:t>i usług</w:t>
      </w:r>
      <w:r w:rsidRPr="00733091">
        <w:rPr>
          <w:color w:val="222222"/>
          <w:shd w:val="clear" w:color="auto" w:fill="FFFFFF"/>
          <w:lang w:val="pl-PL"/>
        </w:rPr>
        <w:t xml:space="preserve">. </w:t>
      </w:r>
      <w:r w:rsidRPr="00733091">
        <w:rPr>
          <w:shd w:val="clear" w:color="auto" w:fill="FFFFFF"/>
          <w:lang w:val="pl-PL"/>
        </w:rPr>
        <w:t>Powiązania funkcjonalne tworzą się niezależnie od granic administracyjnych JST, a ich występowanie przesądza o istnieniu oraz charakterze obszaru funkcjonalnego.</w:t>
      </w:r>
      <w:r w:rsidRPr="00733091">
        <w:rPr>
          <w:color w:val="FF0000"/>
          <w:shd w:val="clear" w:color="auto" w:fill="FFFFFF"/>
          <w:lang w:val="pl-PL"/>
        </w:rPr>
        <w:t xml:space="preserve"> </w:t>
      </w:r>
      <w:r w:rsidRPr="00733091">
        <w:rPr>
          <w:shd w:val="clear" w:color="auto" w:fill="FFFFFF"/>
          <w:lang w:val="pl-PL"/>
        </w:rPr>
        <w:t xml:space="preserve">Spójność granic obszarów funkcjonalnych i granic Partnerstwa powoduje, że działania planowane na terenie Partnerstwa mają znacznie większą </w:t>
      </w:r>
      <w:r w:rsidRPr="00733091">
        <w:rPr>
          <w:shd w:val="clear" w:color="auto" w:fill="FFFFFF"/>
          <w:lang w:val="pl-PL"/>
        </w:rPr>
        <w:lastRenderedPageBreak/>
        <w:t>szansę przełożyć się na aktywizację lokalnych endogennych potencjałów rozwoju</w:t>
      </w:r>
      <w:r w:rsidR="006E6ABC">
        <w:rPr>
          <w:shd w:val="clear" w:color="auto" w:fill="FFFFFF"/>
          <w:lang w:val="pl-PL"/>
        </w:rPr>
        <w:t>,</w:t>
      </w:r>
      <w:r w:rsidRPr="00733091">
        <w:rPr>
          <w:shd w:val="clear" w:color="auto" w:fill="FFFFFF"/>
          <w:lang w:val="pl-PL"/>
        </w:rPr>
        <w:t xml:space="preserve"> </w:t>
      </w:r>
      <w:r w:rsidR="00E65D31">
        <w:rPr>
          <w:shd w:val="clear" w:color="auto" w:fill="FFFFFF"/>
          <w:lang w:val="pl-PL"/>
        </w:rPr>
        <w:br/>
      </w:r>
      <w:r w:rsidRPr="00733091">
        <w:rPr>
          <w:shd w:val="clear" w:color="auto" w:fill="FFFFFF"/>
          <w:lang w:val="pl-PL"/>
        </w:rPr>
        <w:t>a tym samym mogą być silnym impulsem rozwojowym</w:t>
      </w:r>
    </w:p>
    <w:p w14:paraId="67C7EE85" w14:textId="7D01DD9C" w:rsidR="00297B22" w:rsidRDefault="00120B4A" w:rsidP="00733091">
      <w:pPr>
        <w:pStyle w:val="Nagwek3"/>
        <w:spacing w:after="240"/>
        <w:rPr>
          <w:lang w:val="pl-PL"/>
        </w:rPr>
      </w:pPr>
      <w:bookmarkStart w:id="14" w:name="_Toc69725430"/>
      <w:r w:rsidRPr="00120B4A">
        <w:rPr>
          <w:lang w:val="pl-PL"/>
        </w:rPr>
        <w:t>Identyfikowanie powiązań funkcjonalnych na obszarze Partnerstwa</w:t>
      </w:r>
      <w:bookmarkEnd w:id="14"/>
    </w:p>
    <w:p w14:paraId="2276B2E2" w14:textId="77777777" w:rsidR="00042D08" w:rsidRPr="00733091" w:rsidRDefault="00042D08" w:rsidP="00733091">
      <w:pPr>
        <w:rPr>
          <w:color w:val="4472C4" w:themeColor="accent1"/>
          <w:shd w:val="clear" w:color="auto" w:fill="FFFFFF"/>
          <w:lang w:val="pl-PL"/>
        </w:rPr>
      </w:pPr>
      <w:r w:rsidRPr="00733091">
        <w:rPr>
          <w:shd w:val="clear" w:color="auto" w:fill="FFFFFF"/>
          <w:lang w:val="pl-PL"/>
        </w:rPr>
        <w:t>Wewnętrzne i zewnętrzne powiązania funkcjonalne w Partnerstwie Południowe Mazury określono na podstawie analizy przepływów związanych z podejmowaniem zatrudnienia przez mieszkańców Południowych Mazur oraz importu/eksportu</w:t>
      </w:r>
      <w:r>
        <w:rPr>
          <w:rStyle w:val="Odwoanieprzypisudolnego"/>
          <w:rFonts w:cstheme="minorHAnsi"/>
          <w:color w:val="001133"/>
          <w:shd w:val="clear" w:color="auto" w:fill="FFFFFF"/>
        </w:rPr>
        <w:footnoteReference w:id="20"/>
      </w:r>
      <w:r w:rsidRPr="00733091">
        <w:rPr>
          <w:shd w:val="clear" w:color="auto" w:fill="FFFFFF"/>
          <w:lang w:val="pl-PL"/>
        </w:rPr>
        <w:t xml:space="preserve"> usług publicznych i prywatnych</w:t>
      </w:r>
      <w:r>
        <w:rPr>
          <w:rStyle w:val="Odwoanieprzypisudolnego"/>
          <w:rFonts w:cstheme="minorHAnsi"/>
          <w:color w:val="001133"/>
          <w:shd w:val="clear" w:color="auto" w:fill="FFFFFF"/>
        </w:rPr>
        <w:footnoteReference w:id="21"/>
      </w:r>
      <w:r w:rsidRPr="00733091">
        <w:rPr>
          <w:shd w:val="clear" w:color="auto" w:fill="FFFFFF"/>
          <w:lang w:val="pl-PL"/>
        </w:rPr>
        <w:t xml:space="preserve">. Określenie miejsca, </w:t>
      </w:r>
      <w:r w:rsidRPr="00733091">
        <w:rPr>
          <w:shd w:val="clear" w:color="auto" w:fill="FFFFFF"/>
          <w:lang w:val="pl-PL"/>
        </w:rPr>
        <w:br/>
        <w:t>w którym mieszkańcy korzystają z usług lub podejmują zatrudnienie i porównanie ich z miejscem zamieszkania pozwoliło także na określenie granic obszaru funkcjonalnego oraz wyodrębnienie jego centrów</w:t>
      </w:r>
      <w:r w:rsidRPr="00733091">
        <w:rPr>
          <w:color w:val="4472C4" w:themeColor="accent1"/>
          <w:shd w:val="clear" w:color="auto" w:fill="FFFFFF"/>
          <w:lang w:val="pl-PL"/>
        </w:rPr>
        <w:t>.</w:t>
      </w:r>
    </w:p>
    <w:p w14:paraId="7C164E56" w14:textId="4B7C025B" w:rsidR="00297B22" w:rsidRPr="00091BAE" w:rsidRDefault="00120B4A" w:rsidP="00733091">
      <w:pPr>
        <w:pStyle w:val="Nagwek4"/>
        <w:spacing w:before="120" w:after="240"/>
      </w:pPr>
      <w:r w:rsidRPr="00120B4A">
        <w:rPr>
          <w:rStyle w:val="Nagwek4Znak"/>
          <w:b/>
          <w:iCs/>
        </w:rPr>
        <w:t>Identyfikowanie powiązań funkcjonalnych na podstawie przepływów</w:t>
      </w:r>
      <w:r w:rsidRPr="00120B4A">
        <w:t xml:space="preserve"> </w:t>
      </w:r>
      <w:r w:rsidRPr="00120B4A">
        <w:rPr>
          <w:rStyle w:val="Nagwek4Znak"/>
          <w:b/>
          <w:iCs/>
        </w:rPr>
        <w:t>związanych z korzystaniem z usług</w:t>
      </w:r>
      <w:r w:rsidR="00D467C8" w:rsidRPr="00D467C8">
        <w:rPr>
          <w:rStyle w:val="Nagwek4Znak"/>
          <w:b/>
          <w:iCs/>
        </w:rPr>
        <w:t xml:space="preserve"> </w:t>
      </w:r>
      <w:r w:rsidR="00D467C8">
        <w:rPr>
          <w:rStyle w:val="Nagwek4Znak"/>
          <w:b/>
          <w:iCs/>
        </w:rPr>
        <w:t xml:space="preserve">przez </w:t>
      </w:r>
      <w:r w:rsidR="00D467C8" w:rsidRPr="00120B4A">
        <w:rPr>
          <w:rStyle w:val="Nagwek4Znak"/>
          <w:b/>
          <w:iCs/>
        </w:rPr>
        <w:t>mieszkańców</w:t>
      </w:r>
    </w:p>
    <w:p w14:paraId="74C92D3F" w14:textId="05F29115" w:rsidR="00042D08" w:rsidRPr="00733091" w:rsidRDefault="00042D08" w:rsidP="00733091">
      <w:pPr>
        <w:rPr>
          <w:rFonts w:cstheme="minorHAnsi"/>
          <w:color w:val="001133"/>
          <w:shd w:val="clear" w:color="auto" w:fill="FFFFFF"/>
          <w:lang w:val="pl-PL"/>
        </w:rPr>
      </w:pPr>
      <w:r w:rsidRPr="00733091">
        <w:rPr>
          <w:rFonts w:cstheme="minorHAnsi"/>
          <w:color w:val="001133"/>
          <w:shd w:val="clear" w:color="auto" w:fill="FFFFFF"/>
          <w:lang w:val="pl-PL"/>
        </w:rPr>
        <w:t xml:space="preserve">Biorąc pod uwagę dostępność i przepływy mieszkańców usługi publiczne i prywatne świadczone na obszarze Południowych Mazur dzielą się na 3 kategorie </w:t>
      </w:r>
      <w:r w:rsidRPr="00733091">
        <w:rPr>
          <w:rFonts w:cstheme="minorHAnsi"/>
          <w:shd w:val="clear" w:color="auto" w:fill="FFFFFF"/>
          <w:lang w:val="pl-PL"/>
        </w:rPr>
        <w:t>usług (rysunek poniżej):</w:t>
      </w:r>
    </w:p>
    <w:p w14:paraId="64D9C451" w14:textId="77777777" w:rsidR="00042D08" w:rsidRPr="00733091" w:rsidRDefault="00042D08" w:rsidP="00B063F0">
      <w:pPr>
        <w:pStyle w:val="Akapitzlist"/>
        <w:numPr>
          <w:ilvl w:val="0"/>
          <w:numId w:val="8"/>
        </w:numPr>
        <w:ind w:left="1276" w:hanging="426"/>
        <w:rPr>
          <w:rFonts w:cstheme="minorHAnsi"/>
          <w:shd w:val="clear" w:color="auto" w:fill="FFFFFF"/>
          <w:lang w:val="pl-PL"/>
        </w:rPr>
      </w:pPr>
      <w:r w:rsidRPr="00733091">
        <w:rPr>
          <w:rFonts w:cstheme="minorHAnsi"/>
          <w:shd w:val="clear" w:color="auto" w:fill="FFFFFF"/>
          <w:lang w:val="pl-PL"/>
        </w:rPr>
        <w:t>usługi, z których mieszkańcy Południowych Mazur korzystają gównie na obszarze Partnerstwa (usługi zbilansowane wewnętrznie i zewnętrznie),</w:t>
      </w:r>
    </w:p>
    <w:p w14:paraId="114D5023" w14:textId="77777777" w:rsidR="00042D08" w:rsidRPr="00733091" w:rsidRDefault="00042D08" w:rsidP="00B063F0">
      <w:pPr>
        <w:pStyle w:val="Akapitzlist"/>
        <w:numPr>
          <w:ilvl w:val="0"/>
          <w:numId w:val="8"/>
        </w:numPr>
        <w:ind w:left="1276" w:hanging="426"/>
        <w:rPr>
          <w:rFonts w:cstheme="minorHAnsi"/>
          <w:shd w:val="clear" w:color="auto" w:fill="FFFFFF"/>
          <w:lang w:val="pl-PL"/>
        </w:rPr>
      </w:pPr>
      <w:r w:rsidRPr="00733091">
        <w:rPr>
          <w:rFonts w:cstheme="minorHAnsi"/>
          <w:shd w:val="clear" w:color="auto" w:fill="FFFFFF"/>
          <w:lang w:val="pl-PL"/>
        </w:rPr>
        <w:t>usługi, z których mieszkańcy Południowych Mazur korzystają zarówno na obszarze, jak i poza obszarem Partnerstwa (</w:t>
      </w:r>
      <w:r w:rsidRPr="00733091">
        <w:rPr>
          <w:rFonts w:eastAsia="Times New Roman" w:cstheme="minorHAnsi"/>
          <w:lang w:val="pl-PL" w:eastAsia="pl-PL"/>
        </w:rPr>
        <w:t>usługi zbilansowane z importem lub dużym importem spoza Partnerstwa),</w:t>
      </w:r>
    </w:p>
    <w:p w14:paraId="5E081A17" w14:textId="77777777" w:rsidR="00042D08" w:rsidRPr="00733091" w:rsidRDefault="00042D08" w:rsidP="00B063F0">
      <w:pPr>
        <w:pStyle w:val="Akapitzlist"/>
        <w:numPr>
          <w:ilvl w:val="0"/>
          <w:numId w:val="8"/>
        </w:numPr>
        <w:ind w:left="1276" w:hanging="426"/>
        <w:rPr>
          <w:rFonts w:cstheme="minorHAnsi"/>
          <w:shd w:val="clear" w:color="auto" w:fill="FFFFFF"/>
          <w:lang w:val="pl-PL"/>
        </w:rPr>
      </w:pPr>
      <w:r w:rsidRPr="00733091">
        <w:rPr>
          <w:rFonts w:cstheme="minorHAnsi"/>
          <w:shd w:val="clear" w:color="auto" w:fill="FFFFFF"/>
          <w:lang w:val="pl-PL"/>
        </w:rPr>
        <w:t>usługi, z których mieszkańcy Południowych Mazur korzystają głównie poza obszarem Partnerstwa (</w:t>
      </w:r>
      <w:r w:rsidRPr="00733091">
        <w:rPr>
          <w:rFonts w:eastAsia="Times New Roman" w:cstheme="minorHAnsi"/>
          <w:lang w:val="pl-PL" w:eastAsia="pl-PL"/>
        </w:rPr>
        <w:t>usługi importowane spoza Partnerstwa).</w:t>
      </w:r>
    </w:p>
    <w:p w14:paraId="77DDDA37" w14:textId="086B24B4" w:rsidR="00042D08" w:rsidRPr="00733091" w:rsidRDefault="00042D08" w:rsidP="002E24A9">
      <w:pPr>
        <w:pStyle w:val="Legenda"/>
        <w:rPr>
          <w:lang w:val="pl-PL"/>
        </w:rPr>
      </w:pPr>
      <w:bookmarkStart w:id="15" w:name="_Toc67904482"/>
      <w:bookmarkStart w:id="16" w:name="_Toc67909155"/>
      <w:bookmarkStart w:id="17" w:name="_Toc68113511"/>
      <w:r w:rsidRPr="00733091">
        <w:rPr>
          <w:lang w:val="pl-PL"/>
        </w:rPr>
        <w:lastRenderedPageBreak/>
        <w:t xml:space="preserve">Rysunek </w:t>
      </w:r>
      <w:r w:rsidR="00733091">
        <w:fldChar w:fldCharType="begin"/>
      </w:r>
      <w:r w:rsidR="00733091" w:rsidRPr="00733091">
        <w:rPr>
          <w:lang w:val="pl-PL"/>
        </w:rPr>
        <w:instrText xml:space="preserve"> SEQ Rysunek \* ARABIC </w:instrText>
      </w:r>
      <w:r w:rsidR="00733091">
        <w:fldChar w:fldCharType="separate"/>
      </w:r>
      <w:r w:rsidR="00B14787">
        <w:rPr>
          <w:noProof/>
          <w:lang w:val="pl-PL"/>
        </w:rPr>
        <w:t>3</w:t>
      </w:r>
      <w:r w:rsidR="00733091">
        <w:rPr>
          <w:noProof/>
        </w:rPr>
        <w:fldChar w:fldCharType="end"/>
      </w:r>
      <w:r w:rsidRPr="00733091">
        <w:rPr>
          <w:lang w:val="pl-PL"/>
        </w:rPr>
        <w:t>: Usługi w Partnerstwie według dostępności i miejsca korzystania</w:t>
      </w:r>
      <w:bookmarkEnd w:id="15"/>
      <w:bookmarkEnd w:id="16"/>
      <w:bookmarkEnd w:id="17"/>
    </w:p>
    <w:p w14:paraId="3D617EA1" w14:textId="1AE18669" w:rsidR="006E6ABC" w:rsidRPr="002F493F" w:rsidRDefault="00042D08" w:rsidP="002F493F">
      <w:pPr>
        <w:pStyle w:val="Akapitzlist"/>
        <w:numPr>
          <w:ilvl w:val="0"/>
          <w:numId w:val="0"/>
        </w:numPr>
        <w:rPr>
          <w:rStyle w:val="Nagwek4Znak"/>
          <w:rFonts w:asciiTheme="minorHAnsi" w:eastAsia="Times New Roman" w:hAnsiTheme="minorHAnsi" w:cstheme="minorHAnsi"/>
          <w:b w:val="0"/>
          <w:bCs w:val="0"/>
          <w:iCs w:val="0"/>
          <w:color w:val="44546A" w:themeColor="text2"/>
          <w:sz w:val="18"/>
          <w:szCs w:val="18"/>
          <w:lang w:val="pl-PL" w:eastAsia="pl-PL"/>
        </w:rPr>
      </w:pPr>
      <w:r>
        <w:rPr>
          <w:rFonts w:cstheme="minorHAnsi"/>
          <w:color w:val="001133"/>
          <w:shd w:val="clear" w:color="auto" w:fill="FFFFFF"/>
        </w:rPr>
        <w:drawing>
          <wp:inline distT="0" distB="0" distL="0" distR="0" wp14:anchorId="721D5785" wp14:editId="73AC4326">
            <wp:extent cx="4065270" cy="2571365"/>
            <wp:effectExtent l="19050" t="19050" r="11430" b="19685"/>
            <wp:docPr id="55" name="Obraz 55" descr="schemat klasyfikujący usługi według miejsca gdzie są świadczone. Kolorem szarym zaznaczone są usługi świadczone poza obszarem partnerstwa (usługi importowane), kolorem pomarańczowym – usługi świadczone na obszarze partnerstwa (usługi zbilansowane wewnętrznie i zewnętrznie, kolorem szaro-pomarańczowym- usługi świadczone na obszarze partnerstwa i poza obszarem partnerstwa (usługi zbilansowane z importem lub dużym importem spoza Partnerst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Obraz 55" descr="schemat klasyfikujący usługi według miejsca gdzie są świadczone. Kolorem szarym zaznaczone są usługi świadczone poza obszarem partnerstwa (usługi importowane), kolorem pomarańczowym – usługi świadczone na obszarze partnerstwa (usługi zbilansowane wewnętrznie i zewnętrznie, kolorem szaro-pomarańczowym- usługi świadczone na obszarze partnerstwa i poza obszarem partnerstwa (usługi zbilansowane z importem lub dużym importem spoza Partnerstwa"/>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125013" cy="2609154"/>
                    </a:xfrm>
                    <a:prstGeom prst="rect">
                      <a:avLst/>
                    </a:prstGeom>
                    <a:noFill/>
                    <a:ln>
                      <a:solidFill>
                        <a:schemeClr val="tx2"/>
                      </a:solidFill>
                    </a:ln>
                  </pic:spPr>
                </pic:pic>
              </a:graphicData>
            </a:graphic>
          </wp:inline>
        </w:drawing>
      </w:r>
      <w:r w:rsidRPr="00733091">
        <w:rPr>
          <w:rFonts w:cstheme="minorHAnsi"/>
          <w:color w:val="44546A" w:themeColor="text2"/>
          <w:sz w:val="18"/>
          <w:szCs w:val="18"/>
          <w:shd w:val="clear" w:color="auto" w:fill="FFFFFF"/>
          <w:lang w:val="pl-PL"/>
        </w:rPr>
        <w:br/>
      </w:r>
      <w:r w:rsidRPr="00733091">
        <w:rPr>
          <w:rStyle w:val="podpiselementuZnak"/>
          <w:lang w:val="pl-PL"/>
        </w:rPr>
        <w:t>Źródło: opracowanie własne na podstawie na podstawie badania członków Partnerstwa</w:t>
      </w:r>
    </w:p>
    <w:p w14:paraId="76B2C289" w14:textId="2BBE44C8" w:rsidR="008360FF" w:rsidRPr="00745CDB" w:rsidRDefault="00120B4A" w:rsidP="00733091">
      <w:pPr>
        <w:pStyle w:val="Nagwek5"/>
        <w:spacing w:before="120" w:after="240"/>
        <w:rPr>
          <w:rFonts w:asciiTheme="minorHAnsi" w:hAnsiTheme="minorHAnsi" w:cstheme="minorHAnsi"/>
          <w:lang w:val="pl-PL"/>
        </w:rPr>
      </w:pPr>
      <w:r w:rsidRPr="00745CDB">
        <w:rPr>
          <w:rStyle w:val="Nagwek4Znak"/>
          <w:rFonts w:asciiTheme="minorHAnsi" w:hAnsiTheme="minorHAnsi" w:cstheme="minorHAnsi"/>
          <w:iCs w:val="0"/>
          <w:noProof w:val="0"/>
          <w:lang w:val="pl-PL"/>
        </w:rPr>
        <w:t>Usługi zbilansowane wewnętrznie i zewnętrznie</w:t>
      </w:r>
    </w:p>
    <w:p w14:paraId="7B24EE98" w14:textId="2BE6E5F5" w:rsidR="00042D08" w:rsidRPr="0029554C" w:rsidRDefault="00042D08" w:rsidP="0029554C">
      <w:pPr>
        <w:rPr>
          <w:color w:val="2F5496" w:themeColor="accent1" w:themeShade="BF"/>
          <w:lang w:val="pl-PL"/>
        </w:rPr>
      </w:pPr>
      <w:r w:rsidRPr="00733091">
        <w:rPr>
          <w:rFonts w:eastAsia="Times New Roman"/>
          <w:lang w:val="pl-PL" w:eastAsia="pl-PL"/>
        </w:rPr>
        <w:t>Usługi zbilansowane wewnętrznie i zewnętrznie to usługi</w:t>
      </w:r>
      <w:r w:rsidRPr="00733091">
        <w:rPr>
          <w:rFonts w:eastAsia="Times New Roman"/>
          <w:b/>
          <w:bCs/>
          <w:lang w:val="pl-PL" w:eastAsia="pl-PL"/>
        </w:rPr>
        <w:t xml:space="preserve"> powszechnie dostępne na obszarze Partnerstwa.</w:t>
      </w:r>
      <w:r w:rsidRPr="00733091">
        <w:rPr>
          <w:rFonts w:eastAsia="Times New Roman"/>
          <w:lang w:val="pl-PL" w:eastAsia="pl-PL"/>
        </w:rPr>
        <w:t xml:space="preserve"> Zbilansowanie usług </w:t>
      </w:r>
      <w:r w:rsidRPr="00733091">
        <w:rPr>
          <w:shd w:val="clear" w:color="auto" w:fill="FFFFFF"/>
          <w:lang w:val="pl-PL"/>
        </w:rPr>
        <w:t>w kontekście zewnętrznym oznacza, że liczba osób z obszaru Partnerstwa, która korzysta z danej usługi poza obszarem Partnerstwa jest porównywalna do liczby osób spoza obszaru Partnerstwa, która korzysta z danej usługi na obszarze Partnerstwa. Kontekst wewnętrzny uwzględnia ww. opisane zależności, ale w odniesieniu do JST położonych w obszarze Partnerstwa.</w:t>
      </w:r>
    </w:p>
    <w:p w14:paraId="52E24942" w14:textId="167AE34A" w:rsidR="00042D08" w:rsidRPr="00733091" w:rsidRDefault="00042D08" w:rsidP="00733091">
      <w:pPr>
        <w:contextualSpacing/>
        <w:rPr>
          <w:rFonts w:eastAsia="Times New Roman" w:cstheme="minorHAnsi"/>
          <w:b/>
          <w:bCs/>
          <w:lang w:val="pl-PL" w:eastAsia="pl-PL"/>
        </w:rPr>
      </w:pPr>
      <w:r w:rsidRPr="00733091">
        <w:rPr>
          <w:rFonts w:cstheme="minorHAnsi"/>
          <w:color w:val="001133"/>
          <w:shd w:val="clear" w:color="auto" w:fill="FFFFFF"/>
          <w:lang w:val="pl-PL"/>
        </w:rPr>
        <w:t xml:space="preserve">Udział zbilansowanych usług w usługach ogółem świadczy o wysokich </w:t>
      </w:r>
      <w:r w:rsidRPr="00733091">
        <w:rPr>
          <w:rFonts w:cstheme="minorHAnsi"/>
          <w:b/>
          <w:bCs/>
          <w:color w:val="001133"/>
          <w:shd w:val="clear" w:color="auto" w:fill="FFFFFF"/>
          <w:lang w:val="pl-PL"/>
        </w:rPr>
        <w:t>możliwościach zaspokajania potrzeb mieszkańców Partnerstwa</w:t>
      </w:r>
      <w:r w:rsidRPr="00733091">
        <w:rPr>
          <w:rFonts w:cstheme="minorHAnsi"/>
          <w:color w:val="001133"/>
          <w:shd w:val="clear" w:color="auto" w:fill="FFFFFF"/>
          <w:lang w:val="pl-PL"/>
        </w:rPr>
        <w:t xml:space="preserve">, a ich występowanie – co do zasady - o istnieniu powiązań funkcjonalnych, głównie </w:t>
      </w:r>
      <w:r w:rsidRPr="00733091">
        <w:rPr>
          <w:rFonts w:eastAsia="Times New Roman" w:cstheme="minorHAnsi"/>
          <w:b/>
          <w:bCs/>
          <w:lang w:val="pl-PL" w:eastAsia="pl-PL"/>
        </w:rPr>
        <w:t>między JST wchodzącymi w skład Partnerstwa.</w:t>
      </w:r>
    </w:p>
    <w:p w14:paraId="036E3D64" w14:textId="77777777" w:rsidR="00042D08" w:rsidRPr="00733091" w:rsidRDefault="00042D08" w:rsidP="00733091">
      <w:pPr>
        <w:contextualSpacing/>
        <w:rPr>
          <w:rFonts w:eastAsia="Times New Roman" w:cstheme="minorHAnsi"/>
          <w:b/>
          <w:bCs/>
          <w:lang w:val="pl-PL" w:eastAsia="pl-PL"/>
        </w:rPr>
      </w:pPr>
    </w:p>
    <w:p w14:paraId="4E21558C" w14:textId="7E129961" w:rsidR="00042D08" w:rsidRPr="00733091" w:rsidRDefault="00042D08" w:rsidP="00733091">
      <w:pPr>
        <w:rPr>
          <w:rFonts w:cstheme="minorHAnsi"/>
          <w:b/>
          <w:bCs/>
          <w:color w:val="001133"/>
          <w:shd w:val="clear" w:color="auto" w:fill="FFFFFF"/>
          <w:lang w:val="pl-PL"/>
        </w:rPr>
      </w:pPr>
      <w:r w:rsidRPr="00733091">
        <w:rPr>
          <w:rFonts w:cstheme="minorHAnsi"/>
          <w:color w:val="001133"/>
          <w:shd w:val="clear" w:color="auto" w:fill="FFFFFF"/>
          <w:lang w:val="pl-PL"/>
        </w:rPr>
        <w:t xml:space="preserve">Wśród usług zbilansowanych wewnętrznie i zewnętrznie na terenie Południowych Mazur </w:t>
      </w:r>
      <w:r w:rsidR="00C377D8">
        <w:rPr>
          <w:rFonts w:cstheme="minorHAnsi"/>
          <w:color w:val="001133"/>
          <w:shd w:val="clear" w:color="auto" w:fill="FFFFFF"/>
          <w:lang w:val="pl-PL"/>
        </w:rPr>
        <w:t xml:space="preserve">wyróżnia </w:t>
      </w:r>
      <w:r w:rsidRPr="00733091">
        <w:rPr>
          <w:rFonts w:cstheme="minorHAnsi"/>
          <w:color w:val="001133"/>
          <w:shd w:val="clear" w:color="auto" w:fill="FFFFFF"/>
          <w:lang w:val="pl-PL"/>
        </w:rPr>
        <w:t>się:</w:t>
      </w:r>
    </w:p>
    <w:p w14:paraId="6FDBBD43" w14:textId="77777777" w:rsidR="00042D08" w:rsidRPr="00733091" w:rsidRDefault="00042D08" w:rsidP="00B063F0">
      <w:pPr>
        <w:pStyle w:val="Akapitzlist"/>
        <w:numPr>
          <w:ilvl w:val="0"/>
          <w:numId w:val="9"/>
        </w:numPr>
        <w:ind w:left="1276" w:hanging="426"/>
        <w:rPr>
          <w:rFonts w:cstheme="minorHAnsi"/>
          <w:color w:val="001133"/>
          <w:shd w:val="clear" w:color="auto" w:fill="FFFFFF"/>
          <w:lang w:val="pl-PL"/>
        </w:rPr>
      </w:pPr>
      <w:r w:rsidRPr="00733091">
        <w:rPr>
          <w:rFonts w:cstheme="minorHAnsi"/>
          <w:color w:val="001133"/>
          <w:shd w:val="clear" w:color="auto" w:fill="FFFFFF"/>
          <w:lang w:val="pl-PL"/>
        </w:rPr>
        <w:t>usługi opieki nad małymi dziećmi świadczone przez żłobki i przedszkola,</w:t>
      </w:r>
    </w:p>
    <w:p w14:paraId="5BF8B8A3" w14:textId="77777777" w:rsidR="00042D08" w:rsidRPr="00733091" w:rsidRDefault="00042D08" w:rsidP="00B063F0">
      <w:pPr>
        <w:pStyle w:val="Akapitzlist"/>
        <w:numPr>
          <w:ilvl w:val="0"/>
          <w:numId w:val="9"/>
        </w:numPr>
        <w:ind w:left="1276" w:hanging="426"/>
        <w:rPr>
          <w:rFonts w:cstheme="minorHAnsi"/>
          <w:color w:val="001133"/>
          <w:shd w:val="clear" w:color="auto" w:fill="FFFFFF"/>
          <w:lang w:val="pl-PL"/>
        </w:rPr>
      </w:pPr>
      <w:r w:rsidRPr="00733091">
        <w:rPr>
          <w:rFonts w:cstheme="minorHAnsi"/>
          <w:color w:val="001133"/>
          <w:shd w:val="clear" w:color="auto" w:fill="FFFFFF"/>
          <w:lang w:val="pl-PL"/>
        </w:rPr>
        <w:t xml:space="preserve">usługi edukacyjne świadczone przez szkoły podstawowe, szkoły zawodowe i branżowe technika, szkoły ogólnokształcące, szkoły specjalne, szkoły policealne, lokalne ośrodki wiedzy i edukacji, </w:t>
      </w:r>
      <w:r w:rsidRPr="00733091">
        <w:rPr>
          <w:rFonts w:eastAsia="Times New Roman" w:cstheme="minorHAnsi"/>
          <w:lang w:val="pl-PL" w:eastAsia="pl-PL"/>
        </w:rPr>
        <w:t>placówki oferujące usługi edukacyjne pozaszkolne (kursy, szkolenia, koła zainteresowań),</w:t>
      </w:r>
    </w:p>
    <w:p w14:paraId="6FD02472" w14:textId="77777777" w:rsidR="00042D08" w:rsidRPr="00733091" w:rsidRDefault="00042D08" w:rsidP="00B063F0">
      <w:pPr>
        <w:pStyle w:val="Akapitzlist"/>
        <w:numPr>
          <w:ilvl w:val="0"/>
          <w:numId w:val="9"/>
        </w:numPr>
        <w:ind w:left="1276" w:hanging="426"/>
        <w:rPr>
          <w:rFonts w:cstheme="minorHAnsi"/>
          <w:color w:val="001133"/>
          <w:shd w:val="clear" w:color="auto" w:fill="FFFFFF"/>
          <w:lang w:val="pl-PL"/>
        </w:rPr>
      </w:pPr>
      <w:r w:rsidRPr="00733091">
        <w:rPr>
          <w:rFonts w:cstheme="minorHAnsi"/>
          <w:color w:val="001133"/>
          <w:shd w:val="clear" w:color="auto" w:fill="FFFFFF"/>
          <w:lang w:val="pl-PL"/>
        </w:rPr>
        <w:t>usługi w zakresie podstawowej opieki zdrowotnej,</w:t>
      </w:r>
    </w:p>
    <w:p w14:paraId="1F132473" w14:textId="77777777" w:rsidR="00042D08" w:rsidRPr="00733091" w:rsidRDefault="00042D08" w:rsidP="00B063F0">
      <w:pPr>
        <w:pStyle w:val="Akapitzlist"/>
        <w:numPr>
          <w:ilvl w:val="0"/>
          <w:numId w:val="9"/>
        </w:numPr>
        <w:ind w:left="1276" w:hanging="426"/>
        <w:rPr>
          <w:rFonts w:cstheme="minorHAnsi"/>
          <w:color w:val="001133"/>
          <w:shd w:val="clear" w:color="auto" w:fill="FFFFFF"/>
          <w:lang w:val="pl-PL"/>
        </w:rPr>
      </w:pPr>
      <w:r w:rsidRPr="00733091">
        <w:rPr>
          <w:rFonts w:cstheme="minorHAnsi"/>
          <w:color w:val="001133"/>
          <w:shd w:val="clear" w:color="auto" w:fill="FFFFFF"/>
          <w:lang w:val="pl-PL"/>
        </w:rPr>
        <w:t xml:space="preserve">usługi w zakresie pomocy społecznej (świadczone przez </w:t>
      </w:r>
      <w:r w:rsidRPr="00733091">
        <w:rPr>
          <w:rFonts w:eastAsia="Times New Roman" w:cstheme="minorHAnsi"/>
          <w:lang w:val="pl-PL" w:eastAsia="pl-PL"/>
        </w:rPr>
        <w:t xml:space="preserve">dzienne domy pobytu dla osób starszych, całodobowe domy opieki dla osób starszych i </w:t>
      </w:r>
      <w:r w:rsidRPr="00733091">
        <w:rPr>
          <w:rFonts w:eastAsia="Times New Roman" w:cstheme="minorHAnsi"/>
          <w:lang w:val="pl-PL" w:eastAsia="pl-PL"/>
        </w:rPr>
        <w:lastRenderedPageBreak/>
        <w:t xml:space="preserve">niepełnosprawnych, placówki opiekuńcze dla dzieci i młodzieży, placówki świadczące usługi rehabilitacyjno-opiekuńcze dla osób starszych </w:t>
      </w:r>
      <w:r w:rsidRPr="00733091">
        <w:rPr>
          <w:rFonts w:eastAsia="Times New Roman" w:cstheme="minorHAnsi"/>
          <w:lang w:val="pl-PL" w:eastAsia="pl-PL"/>
        </w:rPr>
        <w:br/>
        <w:t>i niepełnosprawnych, placówki opiekuńcze dla dzieci i młodzieży</w:t>
      </w:r>
    </w:p>
    <w:p w14:paraId="3C6A0D25" w14:textId="77777777" w:rsidR="00042D08" w:rsidRPr="00733091" w:rsidRDefault="00042D08" w:rsidP="00B063F0">
      <w:pPr>
        <w:pStyle w:val="Akapitzlist"/>
        <w:numPr>
          <w:ilvl w:val="0"/>
          <w:numId w:val="9"/>
        </w:numPr>
        <w:ind w:left="1276" w:hanging="426"/>
        <w:rPr>
          <w:rFonts w:cstheme="minorHAnsi"/>
          <w:color w:val="001133"/>
          <w:shd w:val="clear" w:color="auto" w:fill="FFFFFF"/>
          <w:lang w:val="pl-PL"/>
        </w:rPr>
      </w:pPr>
      <w:r w:rsidRPr="00733091">
        <w:rPr>
          <w:rFonts w:cstheme="minorHAnsi"/>
          <w:color w:val="001133"/>
          <w:shd w:val="clear" w:color="auto" w:fill="FFFFFF"/>
          <w:lang w:val="pl-PL"/>
        </w:rPr>
        <w:t>usługi sportowo-rekreacyjne (</w:t>
      </w:r>
      <w:r w:rsidRPr="00733091">
        <w:rPr>
          <w:rFonts w:eastAsia="Times New Roman" w:cstheme="minorHAnsi"/>
          <w:lang w:val="pl-PL" w:eastAsia="pl-PL"/>
        </w:rPr>
        <w:t>powszechnie dostępne miejsca do uprawiania sportu i rekreacji indywidualnej (boiska, place zabaw, siłownie zewnętrzne), imprezy i wydarzenia sportowe),</w:t>
      </w:r>
    </w:p>
    <w:p w14:paraId="4B871537" w14:textId="2A9308DD" w:rsidR="00042D08" w:rsidRPr="00733091" w:rsidRDefault="00042D08" w:rsidP="00B063F0">
      <w:pPr>
        <w:pStyle w:val="Akapitzlist"/>
        <w:numPr>
          <w:ilvl w:val="0"/>
          <w:numId w:val="9"/>
        </w:numPr>
        <w:ind w:left="1276" w:hanging="426"/>
        <w:rPr>
          <w:rFonts w:cstheme="minorHAnsi"/>
          <w:color w:val="001133"/>
          <w:shd w:val="clear" w:color="auto" w:fill="FFFFFF"/>
          <w:lang w:val="pl-PL"/>
        </w:rPr>
      </w:pPr>
      <w:r w:rsidRPr="00733091">
        <w:rPr>
          <w:rFonts w:cstheme="minorHAnsi"/>
          <w:color w:val="001133"/>
          <w:shd w:val="clear" w:color="auto" w:fill="FFFFFF"/>
          <w:lang w:val="pl-PL"/>
        </w:rPr>
        <w:t>podstawowe usługi handlowe (w tym targowiska)</w:t>
      </w:r>
      <w:r w:rsidR="00C377D8">
        <w:rPr>
          <w:rFonts w:cstheme="minorHAnsi"/>
          <w:color w:val="001133"/>
          <w:shd w:val="clear" w:color="auto" w:fill="FFFFFF"/>
          <w:lang w:val="pl-PL"/>
        </w:rPr>
        <w:t>,</w:t>
      </w:r>
    </w:p>
    <w:p w14:paraId="2AB0F22B" w14:textId="7F58A495" w:rsidR="00042D08" w:rsidRPr="006E6ABC" w:rsidRDefault="00042D08" w:rsidP="00B063F0">
      <w:pPr>
        <w:pStyle w:val="Akapitzlist"/>
        <w:numPr>
          <w:ilvl w:val="0"/>
          <w:numId w:val="9"/>
        </w:numPr>
        <w:ind w:left="1276" w:hanging="426"/>
        <w:rPr>
          <w:rFonts w:cstheme="minorHAnsi"/>
          <w:color w:val="001133"/>
          <w:shd w:val="clear" w:color="auto" w:fill="FFFFFF"/>
        </w:rPr>
      </w:pPr>
      <w:r w:rsidRPr="0029203E">
        <w:rPr>
          <w:rFonts w:cstheme="minorHAnsi"/>
          <w:color w:val="001133"/>
          <w:shd w:val="clear" w:color="auto" w:fill="FFFFFF"/>
        </w:rPr>
        <w:t>pozostałe usługi rynkowe.</w:t>
      </w:r>
      <w:r w:rsidR="006E6ABC">
        <w:rPr>
          <w:rFonts w:cstheme="minorHAnsi"/>
          <w:color w:val="001133"/>
          <w:shd w:val="clear" w:color="auto" w:fill="FFFFFF"/>
        </w:rPr>
        <w:br/>
      </w:r>
    </w:p>
    <w:p w14:paraId="61473875" w14:textId="76860D5D" w:rsidR="00042D08" w:rsidRDefault="0029554C" w:rsidP="00733091">
      <w:pPr>
        <w:rPr>
          <w:rFonts w:cstheme="minorHAnsi"/>
          <w:color w:val="001133"/>
          <w:shd w:val="clear" w:color="auto" w:fill="FFFFFF"/>
        </w:rPr>
      </w:pPr>
      <w:r w:rsidRPr="0029203E">
        <w:rPr>
          <w:noProof/>
        </w:rPr>
        <mc:AlternateContent>
          <mc:Choice Requires="wps">
            <w:drawing>
              <wp:anchor distT="0" distB="0" distL="114300" distR="114300" simplePos="0" relativeHeight="251658247" behindDoc="0" locked="0" layoutInCell="1" allowOverlap="1" wp14:anchorId="180068E7" wp14:editId="7A2F8C62">
                <wp:simplePos x="0" y="0"/>
                <wp:positionH relativeFrom="margin">
                  <wp:posOffset>478790</wp:posOffset>
                </wp:positionH>
                <wp:positionV relativeFrom="paragraph">
                  <wp:posOffset>-1270</wp:posOffset>
                </wp:positionV>
                <wp:extent cx="5279390" cy="4739640"/>
                <wp:effectExtent l="0" t="0" r="16510" b="22860"/>
                <wp:wrapNone/>
                <wp:docPr id="4" name="Pole tekstowe 4"/>
                <wp:cNvGraphicFramePr/>
                <a:graphic xmlns:a="http://schemas.openxmlformats.org/drawingml/2006/main">
                  <a:graphicData uri="http://schemas.microsoft.com/office/word/2010/wordprocessingShape">
                    <wps:wsp>
                      <wps:cNvSpPr txBox="1"/>
                      <wps:spPr>
                        <a:xfrm>
                          <a:off x="0" y="0"/>
                          <a:ext cx="5279390" cy="4739640"/>
                        </a:xfrm>
                        <a:prstGeom prst="rect">
                          <a:avLst/>
                        </a:prstGeom>
                        <a:solidFill>
                          <a:schemeClr val="accent5">
                            <a:lumMod val="20000"/>
                            <a:lumOff val="80000"/>
                          </a:schemeClr>
                        </a:solidFill>
                        <a:ln w="6350">
                          <a:solidFill>
                            <a:schemeClr val="accent1"/>
                          </a:solidFill>
                        </a:ln>
                      </wps:spPr>
                      <wps:txbx>
                        <w:txbxContent>
                          <w:p w14:paraId="3B615548" w14:textId="0CC87507" w:rsidR="00B14787" w:rsidRPr="00733091" w:rsidRDefault="00B14787" w:rsidP="00EE414D">
                            <w:pPr>
                              <w:pStyle w:val="Akapitzlist"/>
                              <w:ind w:left="0"/>
                              <w:rPr>
                                <w:rFonts w:cstheme="minorHAnsi"/>
                                <w:szCs w:val="24"/>
                                <w:lang w:val="pl-PL"/>
                              </w:rPr>
                            </w:pPr>
                            <w:r w:rsidRPr="00733091">
                              <w:rPr>
                                <w:rFonts w:cstheme="minorHAnsi"/>
                                <w:b/>
                                <w:bCs/>
                                <w:szCs w:val="24"/>
                                <w:lang w:val="pl-PL"/>
                              </w:rPr>
                              <w:t>Mieszkańcy Partnerstwa</w:t>
                            </w:r>
                            <w:r w:rsidRPr="00733091">
                              <w:rPr>
                                <w:rFonts w:cstheme="minorHAnsi"/>
                                <w:szCs w:val="24"/>
                                <w:lang w:val="pl-PL"/>
                              </w:rPr>
                              <w:t xml:space="preserve"> twierdzą, </w:t>
                            </w:r>
                            <w:r w:rsidRPr="00C377D8">
                              <w:rPr>
                                <w:rFonts w:cstheme="minorHAnsi"/>
                                <w:b/>
                                <w:bCs/>
                                <w:szCs w:val="24"/>
                                <w:lang w:val="pl-PL"/>
                              </w:rPr>
                              <w:t>że w gminach z obszaru Partnerstwa</w:t>
                            </w:r>
                            <w:r>
                              <w:rPr>
                                <w:rFonts w:cstheme="minorHAnsi"/>
                                <w:szCs w:val="24"/>
                                <w:lang w:val="pl-PL"/>
                              </w:rPr>
                              <w:t xml:space="preserve"> najczęściej </w:t>
                            </w:r>
                            <w:r w:rsidRPr="00733091">
                              <w:rPr>
                                <w:rFonts w:cstheme="minorHAnsi"/>
                                <w:szCs w:val="24"/>
                                <w:lang w:val="pl-PL"/>
                              </w:rPr>
                              <w:t>realizują potrzeby:</w:t>
                            </w:r>
                          </w:p>
                          <w:p w14:paraId="2011811A" w14:textId="77777777" w:rsidR="00B14787" w:rsidRPr="00733091" w:rsidRDefault="00B14787" w:rsidP="00B063F0">
                            <w:pPr>
                              <w:pStyle w:val="Akapitzlist"/>
                              <w:numPr>
                                <w:ilvl w:val="0"/>
                                <w:numId w:val="10"/>
                              </w:numPr>
                              <w:spacing w:before="0" w:after="160" w:line="259" w:lineRule="auto"/>
                              <w:ind w:left="284" w:hanging="284"/>
                              <w:rPr>
                                <w:rFonts w:cstheme="minorHAnsi"/>
                                <w:szCs w:val="24"/>
                                <w:lang w:val="pl-PL"/>
                              </w:rPr>
                            </w:pPr>
                            <w:r w:rsidRPr="00733091">
                              <w:rPr>
                                <w:rFonts w:eastAsia="Times New Roman" w:cstheme="minorHAnsi"/>
                                <w:szCs w:val="24"/>
                                <w:lang w:val="pl-PL" w:eastAsia="pl-PL"/>
                              </w:rPr>
                              <w:t>związane z edukacją podstawową dzieci i opieką nad dzieckiem (przedszkole, żłobek) (95,16% korzystających z usług),</w:t>
                            </w:r>
                          </w:p>
                          <w:p w14:paraId="5A928308" w14:textId="77777777" w:rsidR="00B14787" w:rsidRPr="00733091" w:rsidRDefault="00B14787" w:rsidP="00B063F0">
                            <w:pPr>
                              <w:pStyle w:val="Akapitzlist"/>
                              <w:numPr>
                                <w:ilvl w:val="0"/>
                                <w:numId w:val="10"/>
                              </w:numPr>
                              <w:spacing w:before="0" w:after="160" w:line="259" w:lineRule="auto"/>
                              <w:ind w:left="284" w:hanging="284"/>
                              <w:rPr>
                                <w:rFonts w:cstheme="minorHAnsi"/>
                                <w:szCs w:val="24"/>
                                <w:lang w:val="pl-PL"/>
                              </w:rPr>
                            </w:pPr>
                            <w:r w:rsidRPr="00733091">
                              <w:rPr>
                                <w:rFonts w:cstheme="minorHAnsi"/>
                                <w:szCs w:val="24"/>
                                <w:lang w:val="pl-PL"/>
                              </w:rPr>
                              <w:t xml:space="preserve">związane z ochroną zdrowia w ramach podstawowej opieki zdrowotną – (87,83% </w:t>
                            </w:r>
                            <w:r w:rsidRPr="00733091">
                              <w:rPr>
                                <w:rFonts w:eastAsia="Times New Roman" w:cstheme="minorHAnsi"/>
                                <w:szCs w:val="24"/>
                                <w:lang w:val="pl-PL" w:eastAsia="pl-PL"/>
                              </w:rPr>
                              <w:t>korzystających z usług),</w:t>
                            </w:r>
                          </w:p>
                          <w:p w14:paraId="41B9B9C6" w14:textId="06AEF719" w:rsidR="00B14787" w:rsidRPr="00733091" w:rsidRDefault="00B14787" w:rsidP="00B063F0">
                            <w:pPr>
                              <w:pStyle w:val="Akapitzlist"/>
                              <w:numPr>
                                <w:ilvl w:val="0"/>
                                <w:numId w:val="10"/>
                              </w:numPr>
                              <w:spacing w:before="0" w:after="160" w:line="259" w:lineRule="auto"/>
                              <w:ind w:left="284" w:hanging="284"/>
                              <w:rPr>
                                <w:rFonts w:cstheme="minorHAnsi"/>
                                <w:szCs w:val="24"/>
                                <w:lang w:val="pl-PL"/>
                              </w:rPr>
                            </w:pPr>
                            <w:r w:rsidRPr="00733091">
                              <w:rPr>
                                <w:rFonts w:cstheme="minorHAnsi"/>
                                <w:szCs w:val="24"/>
                                <w:lang w:val="pl-PL"/>
                              </w:rPr>
                              <w:t xml:space="preserve">spędzaniem czasu wolnego </w:t>
                            </w:r>
                            <w:r w:rsidRPr="00733091">
                              <w:rPr>
                                <w:rFonts w:eastAsia="Times New Roman" w:cstheme="minorHAnsi"/>
                                <w:szCs w:val="24"/>
                                <w:lang w:val="pl-PL" w:eastAsia="pl-PL"/>
                              </w:rPr>
                              <w:t xml:space="preserve">- uprawianiem sportu, rekreacją, fitness, udział </w:t>
                            </w:r>
                            <w:r>
                              <w:rPr>
                                <w:rFonts w:eastAsia="Times New Roman" w:cstheme="minorHAnsi"/>
                                <w:szCs w:val="24"/>
                                <w:lang w:val="pl-PL" w:eastAsia="pl-PL"/>
                              </w:rPr>
                              <w:br/>
                            </w:r>
                            <w:r w:rsidRPr="00733091">
                              <w:rPr>
                                <w:rFonts w:eastAsia="Times New Roman" w:cstheme="minorHAnsi"/>
                                <w:szCs w:val="24"/>
                                <w:lang w:val="pl-PL" w:eastAsia="pl-PL"/>
                              </w:rPr>
                              <w:t>w zespołach i klubach/sekcjach sportowych – (74,75% korzystających z usług),</w:t>
                            </w:r>
                          </w:p>
                          <w:p w14:paraId="0D18C20A" w14:textId="77777777" w:rsidR="00B14787" w:rsidRPr="00733091" w:rsidRDefault="00B14787" w:rsidP="00B063F0">
                            <w:pPr>
                              <w:pStyle w:val="Akapitzlist"/>
                              <w:numPr>
                                <w:ilvl w:val="0"/>
                                <w:numId w:val="10"/>
                              </w:numPr>
                              <w:spacing w:before="0" w:after="160" w:line="259" w:lineRule="auto"/>
                              <w:ind w:left="284" w:hanging="284"/>
                              <w:rPr>
                                <w:rFonts w:cstheme="minorHAnsi"/>
                                <w:szCs w:val="24"/>
                                <w:lang w:val="pl-PL"/>
                              </w:rPr>
                            </w:pPr>
                            <w:r w:rsidRPr="00733091">
                              <w:rPr>
                                <w:rFonts w:eastAsia="Times New Roman" w:cstheme="minorHAnsi"/>
                                <w:szCs w:val="24"/>
                                <w:lang w:val="pl-PL" w:eastAsia="pl-PL"/>
                              </w:rPr>
                              <w:t>związane z zapewnieniem rehabilitacji i opieki nad osobami starszymi lub niepełnosprawnymi – (78,26% korzystających z usług),</w:t>
                            </w:r>
                          </w:p>
                          <w:p w14:paraId="09D8BCB3" w14:textId="77777777" w:rsidR="00B14787" w:rsidRPr="00733091" w:rsidRDefault="00B14787" w:rsidP="00B063F0">
                            <w:pPr>
                              <w:pStyle w:val="Akapitzlist"/>
                              <w:numPr>
                                <w:ilvl w:val="0"/>
                                <w:numId w:val="10"/>
                              </w:numPr>
                              <w:spacing w:before="0" w:after="160" w:line="259" w:lineRule="auto"/>
                              <w:ind w:left="284" w:hanging="284"/>
                              <w:rPr>
                                <w:rFonts w:cstheme="minorHAnsi"/>
                                <w:szCs w:val="24"/>
                                <w:lang w:val="pl-PL"/>
                              </w:rPr>
                            </w:pPr>
                            <w:r w:rsidRPr="00733091">
                              <w:rPr>
                                <w:rFonts w:cstheme="minorHAnsi"/>
                                <w:szCs w:val="24"/>
                                <w:lang w:val="pl-PL"/>
                              </w:rPr>
                              <w:t xml:space="preserve">bytowe (zakupy podstawowe – 96,45% </w:t>
                            </w:r>
                            <w:r w:rsidRPr="00733091">
                              <w:rPr>
                                <w:rFonts w:eastAsia="Times New Roman" w:cstheme="minorHAnsi"/>
                                <w:szCs w:val="24"/>
                                <w:lang w:val="pl-PL" w:eastAsia="pl-PL"/>
                              </w:rPr>
                              <w:t>korzystających z usług</w:t>
                            </w:r>
                            <w:r w:rsidRPr="00733091">
                              <w:rPr>
                                <w:rFonts w:cstheme="minorHAnsi"/>
                                <w:szCs w:val="24"/>
                                <w:lang w:val="pl-PL"/>
                              </w:rPr>
                              <w:t xml:space="preserve">, </w:t>
                            </w:r>
                            <w:r w:rsidRPr="00733091">
                              <w:rPr>
                                <w:rFonts w:eastAsia="Times New Roman" w:cstheme="minorHAnsi"/>
                                <w:szCs w:val="24"/>
                                <w:lang w:val="pl-PL" w:eastAsia="pl-PL"/>
                              </w:rPr>
                              <w:t xml:space="preserve">zakupy artykułów przemysłowych, odzieży, AGD – 68,05% korzystających z usług, </w:t>
                            </w:r>
                            <w:r w:rsidRPr="00733091">
                              <w:rPr>
                                <w:rFonts w:cstheme="minorHAnsi"/>
                                <w:szCs w:val="24"/>
                                <w:lang w:val="pl-PL"/>
                              </w:rPr>
                              <w:t>zakupy na targowiskach – 91,19%</w:t>
                            </w:r>
                            <w:r w:rsidRPr="00733091">
                              <w:rPr>
                                <w:rFonts w:eastAsia="Times New Roman" w:cstheme="minorHAnsi"/>
                                <w:szCs w:val="24"/>
                                <w:lang w:val="pl-PL" w:eastAsia="pl-PL"/>
                              </w:rPr>
                              <w:t xml:space="preserve"> korzystających z usług</w:t>
                            </w:r>
                            <w:r w:rsidRPr="00733091">
                              <w:rPr>
                                <w:rFonts w:cstheme="minorHAnsi"/>
                                <w:szCs w:val="24"/>
                                <w:lang w:val="pl-PL"/>
                              </w:rPr>
                              <w:t>)</w:t>
                            </w:r>
                          </w:p>
                          <w:p w14:paraId="44ED7D40" w14:textId="77777777" w:rsidR="00B14787" w:rsidRPr="00733091" w:rsidRDefault="00B14787" w:rsidP="00B063F0">
                            <w:pPr>
                              <w:pStyle w:val="Akapitzlist"/>
                              <w:numPr>
                                <w:ilvl w:val="0"/>
                                <w:numId w:val="10"/>
                              </w:numPr>
                              <w:spacing w:before="0" w:after="160" w:line="259" w:lineRule="auto"/>
                              <w:ind w:left="284" w:hanging="284"/>
                              <w:rPr>
                                <w:rFonts w:cstheme="minorHAnsi"/>
                                <w:szCs w:val="24"/>
                                <w:lang w:val="pl-PL"/>
                              </w:rPr>
                            </w:pPr>
                            <w:r w:rsidRPr="00733091">
                              <w:rPr>
                                <w:rFonts w:cstheme="minorHAnsi"/>
                                <w:szCs w:val="24"/>
                                <w:lang w:val="pl-PL"/>
                              </w:rPr>
                              <w:t xml:space="preserve">inne (usługi bankowe i finansowe – 77,38% </w:t>
                            </w:r>
                            <w:r w:rsidRPr="00733091">
                              <w:rPr>
                                <w:rFonts w:eastAsia="Times New Roman" w:cstheme="minorHAnsi"/>
                                <w:szCs w:val="24"/>
                                <w:lang w:val="pl-PL" w:eastAsia="pl-PL"/>
                              </w:rPr>
                              <w:t>korzystających z usług</w:t>
                            </w:r>
                            <w:r w:rsidRPr="00733091">
                              <w:rPr>
                                <w:rFonts w:cstheme="minorHAnsi"/>
                                <w:szCs w:val="24"/>
                                <w:lang w:val="pl-PL"/>
                              </w:rPr>
                              <w:t xml:space="preserve">, budowlane – 88,59% </w:t>
                            </w:r>
                            <w:r w:rsidRPr="00733091">
                              <w:rPr>
                                <w:rFonts w:eastAsia="Times New Roman" w:cstheme="minorHAnsi"/>
                                <w:szCs w:val="24"/>
                                <w:lang w:val="pl-PL" w:eastAsia="pl-PL"/>
                              </w:rPr>
                              <w:t>korzystających z usług</w:t>
                            </w:r>
                            <w:r w:rsidRPr="00733091">
                              <w:rPr>
                                <w:rFonts w:cstheme="minorHAnsi"/>
                                <w:szCs w:val="24"/>
                                <w:lang w:val="pl-PL"/>
                              </w:rPr>
                              <w:t xml:space="preserve">, usługi doradztwa prawnego -80,10% </w:t>
                            </w:r>
                            <w:r w:rsidRPr="00733091">
                              <w:rPr>
                                <w:rFonts w:eastAsia="Times New Roman" w:cstheme="minorHAnsi"/>
                                <w:szCs w:val="24"/>
                                <w:lang w:val="pl-PL" w:eastAsia="pl-PL"/>
                              </w:rPr>
                              <w:t>korzystających z usług</w:t>
                            </w:r>
                            <w:r w:rsidRPr="00733091">
                              <w:rPr>
                                <w:rFonts w:cstheme="minorHAnsi"/>
                                <w:szCs w:val="24"/>
                                <w:lang w:val="pl-PL"/>
                              </w:rPr>
                              <w:t xml:space="preserve">, usługi typu </w:t>
                            </w:r>
                            <w:r w:rsidRPr="00733091">
                              <w:rPr>
                                <w:rFonts w:cstheme="minorHAnsi"/>
                                <w:i/>
                                <w:iCs/>
                                <w:szCs w:val="24"/>
                                <w:lang w:val="pl-PL"/>
                              </w:rPr>
                              <w:t>beauty</w:t>
                            </w:r>
                            <w:r w:rsidRPr="00733091">
                              <w:rPr>
                                <w:rFonts w:cstheme="minorHAnsi"/>
                                <w:szCs w:val="24"/>
                                <w:lang w:val="pl-PL"/>
                              </w:rPr>
                              <w:t xml:space="preserve"> – 85,93% </w:t>
                            </w:r>
                            <w:r w:rsidRPr="00733091">
                              <w:rPr>
                                <w:rFonts w:eastAsia="Times New Roman" w:cstheme="minorHAnsi"/>
                                <w:szCs w:val="24"/>
                                <w:lang w:val="pl-PL" w:eastAsia="pl-PL"/>
                              </w:rPr>
                              <w:t>korzystających z usług),</w:t>
                            </w:r>
                          </w:p>
                          <w:p w14:paraId="7ABBA752" w14:textId="341030BD" w:rsidR="00B14787" w:rsidRPr="00733091" w:rsidRDefault="00B14787" w:rsidP="00EE414D">
                            <w:pPr>
                              <w:ind w:left="0"/>
                              <w:rPr>
                                <w:rFonts w:cstheme="minorHAnsi"/>
                                <w:i/>
                                <w:iCs/>
                                <w:szCs w:val="24"/>
                                <w:lang w:val="pl-PL"/>
                              </w:rPr>
                            </w:pPr>
                            <w:r w:rsidRPr="00C377D8">
                              <w:rPr>
                                <w:rFonts w:cstheme="minorHAnsi"/>
                                <w:szCs w:val="24"/>
                                <w:lang w:val="pl-PL"/>
                              </w:rPr>
                              <w:t xml:space="preserve">Z badań mieszkańców wynika, że </w:t>
                            </w:r>
                            <w:r w:rsidRPr="00733091">
                              <w:rPr>
                                <w:rFonts w:cstheme="minorHAnsi"/>
                                <w:b/>
                                <w:bCs/>
                                <w:szCs w:val="24"/>
                                <w:lang w:val="pl-PL"/>
                              </w:rPr>
                              <w:t>75,23%</w:t>
                            </w:r>
                            <w:r w:rsidRPr="00733091">
                              <w:rPr>
                                <w:rFonts w:cstheme="minorHAnsi"/>
                                <w:szCs w:val="24"/>
                                <w:lang w:val="pl-PL"/>
                              </w:rPr>
                              <w:t xml:space="preserve"> osób korzystających z oferty edukacyjnej szkół ponadpodstawowych korzysta z tych usług na obszarze Partnerstwa. Potwierdzają to </w:t>
                            </w:r>
                            <w:r w:rsidRPr="00733091">
                              <w:rPr>
                                <w:rFonts w:cstheme="minorHAnsi"/>
                                <w:b/>
                                <w:bCs/>
                                <w:szCs w:val="24"/>
                                <w:lang w:val="pl-PL"/>
                              </w:rPr>
                              <w:t>badania</w:t>
                            </w:r>
                            <w:r w:rsidRPr="00733091">
                              <w:rPr>
                                <w:rFonts w:cstheme="minorHAnsi"/>
                                <w:szCs w:val="24"/>
                                <w:lang w:val="pl-PL"/>
                              </w:rPr>
                              <w:t xml:space="preserve"> </w:t>
                            </w:r>
                            <w:r w:rsidRPr="00733091">
                              <w:rPr>
                                <w:rFonts w:cstheme="minorHAnsi"/>
                                <w:b/>
                                <w:bCs/>
                                <w:szCs w:val="24"/>
                                <w:lang w:val="pl-PL"/>
                              </w:rPr>
                              <w:t>młodzieży</w:t>
                            </w:r>
                            <w:r w:rsidRPr="00733091">
                              <w:rPr>
                                <w:rFonts w:cstheme="minorHAnsi"/>
                                <w:szCs w:val="24"/>
                                <w:lang w:val="pl-PL"/>
                              </w:rPr>
                              <w:t xml:space="preserve">, </w:t>
                            </w:r>
                            <w:r>
                              <w:rPr>
                                <w:rFonts w:cstheme="minorHAnsi"/>
                                <w:szCs w:val="24"/>
                                <w:lang w:val="pl-PL"/>
                              </w:rPr>
                              <w:t xml:space="preserve">według których </w:t>
                            </w:r>
                            <w:r w:rsidRPr="00733091">
                              <w:rPr>
                                <w:rFonts w:cstheme="minorHAnsi"/>
                                <w:szCs w:val="24"/>
                                <w:lang w:val="pl-PL"/>
                              </w:rPr>
                              <w:t xml:space="preserve">aż 82% osób kształcących się w ostatnich klasach szkół ponadpodstawowych w roku szkolnym 2021/2022 (279 osób) to </w:t>
                            </w:r>
                            <w:r>
                              <w:rPr>
                                <w:rFonts w:cstheme="minorHAnsi"/>
                                <w:szCs w:val="24"/>
                                <w:lang w:val="pl-PL"/>
                              </w:rPr>
                              <w:t xml:space="preserve">osoby </w:t>
                            </w:r>
                            <w:r w:rsidRPr="00733091">
                              <w:rPr>
                                <w:rFonts w:cstheme="minorHAnsi"/>
                                <w:szCs w:val="24"/>
                                <w:lang w:val="pl-PL"/>
                              </w:rPr>
                              <w:t>mieszkając</w:t>
                            </w:r>
                            <w:r>
                              <w:rPr>
                                <w:rFonts w:cstheme="minorHAnsi"/>
                                <w:szCs w:val="24"/>
                                <w:lang w:val="pl-PL"/>
                              </w:rPr>
                              <w:t>e</w:t>
                            </w:r>
                            <w:r w:rsidRPr="00733091">
                              <w:rPr>
                                <w:rFonts w:cstheme="minorHAnsi"/>
                                <w:szCs w:val="24"/>
                                <w:lang w:val="pl-PL"/>
                              </w:rPr>
                              <w:t xml:space="preserve"> na stałe na obszarze Partnerstwa. </w:t>
                            </w:r>
                          </w:p>
                          <w:p w14:paraId="0C0EE350" w14:textId="77777777" w:rsidR="00B14787" w:rsidRPr="00733091" w:rsidRDefault="00B14787" w:rsidP="00042D08">
                            <w:pPr>
                              <w:jc w:val="both"/>
                              <w:rPr>
                                <w:rFonts w:cstheme="minorHAnsi"/>
                                <w:color w:val="FF0000"/>
                                <w:sz w:val="20"/>
                                <w:szCs w:val="20"/>
                                <w:lang w:val="pl-P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0068E7" id="Pole tekstowe 4" o:spid="_x0000_s1027" type="#_x0000_t202" style="position:absolute;left:0;text-align:left;margin-left:37.7pt;margin-top:-.1pt;width:415.7pt;height:373.2pt;z-index:25165824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" fillcolor="#deeaf6 [664]" strokecolor="#4472c4 [3204]" strokeweight=".5pt">
                <v:textbox>
                  <w:txbxContent>
                    <w:p w14:paraId="3B615548" w14:textId="0CC87507" w:rsidR="00B14787" w:rsidRPr="00733091" w:rsidRDefault="00B14787" w:rsidP="00EE414D">
                      <w:pPr>
                        <w:pStyle w:val="Akapitzlist"/>
                        <w:ind w:left="0"/>
                        <w:rPr>
                          <w:rFonts w:cstheme="minorHAnsi"/>
                          <w:szCs w:val="24"/>
                          <w:lang w:val="pl-PL"/>
                        </w:rPr>
                      </w:pPr>
                      <w:r w:rsidRPr="00733091">
                        <w:rPr>
                          <w:rFonts w:cstheme="minorHAnsi"/>
                          <w:b/>
                          <w:bCs/>
                          <w:szCs w:val="24"/>
                          <w:lang w:val="pl-PL"/>
                        </w:rPr>
                        <w:t>Mieszkańcy Partnerstwa</w:t>
                      </w:r>
                      <w:r w:rsidRPr="00733091">
                        <w:rPr>
                          <w:rFonts w:cstheme="minorHAnsi"/>
                          <w:szCs w:val="24"/>
                          <w:lang w:val="pl-PL"/>
                        </w:rPr>
                        <w:t xml:space="preserve"> twierdzą, </w:t>
                      </w:r>
                      <w:r w:rsidRPr="00C377D8">
                        <w:rPr>
                          <w:rFonts w:cstheme="minorHAnsi"/>
                          <w:b/>
                          <w:bCs/>
                          <w:szCs w:val="24"/>
                          <w:lang w:val="pl-PL"/>
                        </w:rPr>
                        <w:t>że w gminach z obszaru Partnerstwa</w:t>
                      </w:r>
                      <w:r>
                        <w:rPr>
                          <w:rFonts w:cstheme="minorHAnsi"/>
                          <w:szCs w:val="24"/>
                          <w:lang w:val="pl-PL"/>
                        </w:rPr>
                        <w:t xml:space="preserve"> najczęściej </w:t>
                      </w:r>
                      <w:r w:rsidRPr="00733091">
                        <w:rPr>
                          <w:rFonts w:cstheme="minorHAnsi"/>
                          <w:szCs w:val="24"/>
                          <w:lang w:val="pl-PL"/>
                        </w:rPr>
                        <w:t>realizują potrzeby:</w:t>
                      </w:r>
                    </w:p>
                    <w:p w14:paraId="2011811A" w14:textId="77777777" w:rsidR="00B14787" w:rsidRPr="00733091" w:rsidRDefault="00B14787" w:rsidP="00B063F0">
                      <w:pPr>
                        <w:pStyle w:val="Akapitzlist"/>
                        <w:numPr>
                          <w:ilvl w:val="0"/>
                          <w:numId w:val="10"/>
                        </w:numPr>
                        <w:spacing w:before="0" w:after="160" w:line="259" w:lineRule="auto"/>
                        <w:ind w:left="284" w:hanging="284"/>
                        <w:rPr>
                          <w:rFonts w:cstheme="minorHAnsi"/>
                          <w:szCs w:val="24"/>
                          <w:lang w:val="pl-PL"/>
                        </w:rPr>
                      </w:pPr>
                      <w:r w:rsidRPr="00733091">
                        <w:rPr>
                          <w:rFonts w:eastAsia="Times New Roman" w:cstheme="minorHAnsi"/>
                          <w:szCs w:val="24"/>
                          <w:lang w:val="pl-PL" w:eastAsia="pl-PL"/>
                        </w:rPr>
                        <w:t>związane z edukacją podstawową dzieci i opieką nad dzieckiem (przedszkole, żłobek) (95,16% korzystających z usług),</w:t>
                      </w:r>
                    </w:p>
                    <w:p w14:paraId="5A928308" w14:textId="77777777" w:rsidR="00B14787" w:rsidRPr="00733091" w:rsidRDefault="00B14787" w:rsidP="00B063F0">
                      <w:pPr>
                        <w:pStyle w:val="Akapitzlist"/>
                        <w:numPr>
                          <w:ilvl w:val="0"/>
                          <w:numId w:val="10"/>
                        </w:numPr>
                        <w:spacing w:before="0" w:after="160" w:line="259" w:lineRule="auto"/>
                        <w:ind w:left="284" w:hanging="284"/>
                        <w:rPr>
                          <w:rFonts w:cstheme="minorHAnsi"/>
                          <w:szCs w:val="24"/>
                          <w:lang w:val="pl-PL"/>
                        </w:rPr>
                      </w:pPr>
                      <w:r w:rsidRPr="00733091">
                        <w:rPr>
                          <w:rFonts w:cstheme="minorHAnsi"/>
                          <w:szCs w:val="24"/>
                          <w:lang w:val="pl-PL"/>
                        </w:rPr>
                        <w:t xml:space="preserve">związane z ochroną zdrowia w ramach podstawowej opieki zdrowotną – (87,83% </w:t>
                      </w:r>
                      <w:r w:rsidRPr="00733091">
                        <w:rPr>
                          <w:rFonts w:eastAsia="Times New Roman" w:cstheme="minorHAnsi"/>
                          <w:szCs w:val="24"/>
                          <w:lang w:val="pl-PL" w:eastAsia="pl-PL"/>
                        </w:rPr>
                        <w:t>korzystających z usług),</w:t>
                      </w:r>
                    </w:p>
                    <w:p w14:paraId="41B9B9C6" w14:textId="06AEF719" w:rsidR="00B14787" w:rsidRPr="00733091" w:rsidRDefault="00B14787" w:rsidP="00B063F0">
                      <w:pPr>
                        <w:pStyle w:val="Akapitzlist"/>
                        <w:numPr>
                          <w:ilvl w:val="0"/>
                          <w:numId w:val="10"/>
                        </w:numPr>
                        <w:spacing w:before="0" w:after="160" w:line="259" w:lineRule="auto"/>
                        <w:ind w:left="284" w:hanging="284"/>
                        <w:rPr>
                          <w:rFonts w:cstheme="minorHAnsi"/>
                          <w:szCs w:val="24"/>
                          <w:lang w:val="pl-PL"/>
                        </w:rPr>
                      </w:pPr>
                      <w:r w:rsidRPr="00733091">
                        <w:rPr>
                          <w:rFonts w:cstheme="minorHAnsi"/>
                          <w:szCs w:val="24"/>
                          <w:lang w:val="pl-PL"/>
                        </w:rPr>
                        <w:t xml:space="preserve">spędzaniem czasu wolnego </w:t>
                      </w:r>
                      <w:r w:rsidRPr="00733091">
                        <w:rPr>
                          <w:rFonts w:eastAsia="Times New Roman" w:cstheme="minorHAnsi"/>
                          <w:szCs w:val="24"/>
                          <w:lang w:val="pl-PL" w:eastAsia="pl-PL"/>
                        </w:rPr>
                        <w:t xml:space="preserve">- uprawianiem sportu, rekreacją, fitness, udział </w:t>
                      </w:r>
                      <w:r>
                        <w:rPr>
                          <w:rFonts w:eastAsia="Times New Roman" w:cstheme="minorHAnsi"/>
                          <w:szCs w:val="24"/>
                          <w:lang w:val="pl-PL" w:eastAsia="pl-PL"/>
                        </w:rPr>
                        <w:br/>
                      </w:r>
                      <w:r w:rsidRPr="00733091">
                        <w:rPr>
                          <w:rFonts w:eastAsia="Times New Roman" w:cstheme="minorHAnsi"/>
                          <w:szCs w:val="24"/>
                          <w:lang w:val="pl-PL" w:eastAsia="pl-PL"/>
                        </w:rPr>
                        <w:t>w zespołach i klubach/sekcjach sportowych – (74,75% korzystających z usług),</w:t>
                      </w:r>
                    </w:p>
                    <w:p w14:paraId="0D18C20A" w14:textId="77777777" w:rsidR="00B14787" w:rsidRPr="00733091" w:rsidRDefault="00B14787" w:rsidP="00B063F0">
                      <w:pPr>
                        <w:pStyle w:val="Akapitzlist"/>
                        <w:numPr>
                          <w:ilvl w:val="0"/>
                          <w:numId w:val="10"/>
                        </w:numPr>
                        <w:spacing w:before="0" w:after="160" w:line="259" w:lineRule="auto"/>
                        <w:ind w:left="284" w:hanging="284"/>
                        <w:rPr>
                          <w:rFonts w:cstheme="minorHAnsi"/>
                          <w:szCs w:val="24"/>
                          <w:lang w:val="pl-PL"/>
                        </w:rPr>
                      </w:pPr>
                      <w:r w:rsidRPr="00733091">
                        <w:rPr>
                          <w:rFonts w:eastAsia="Times New Roman" w:cstheme="minorHAnsi"/>
                          <w:szCs w:val="24"/>
                          <w:lang w:val="pl-PL" w:eastAsia="pl-PL"/>
                        </w:rPr>
                        <w:t>związane z zapewnieniem rehabilitacji i opieki nad osobami starszymi lub niepełnosprawnymi – (78,26% korzystających z usług),</w:t>
                      </w:r>
                    </w:p>
                    <w:p w14:paraId="09D8BCB3" w14:textId="77777777" w:rsidR="00B14787" w:rsidRPr="00733091" w:rsidRDefault="00B14787" w:rsidP="00B063F0">
                      <w:pPr>
                        <w:pStyle w:val="Akapitzlist"/>
                        <w:numPr>
                          <w:ilvl w:val="0"/>
                          <w:numId w:val="10"/>
                        </w:numPr>
                        <w:spacing w:before="0" w:after="160" w:line="259" w:lineRule="auto"/>
                        <w:ind w:left="284" w:hanging="284"/>
                        <w:rPr>
                          <w:rFonts w:cstheme="minorHAnsi"/>
                          <w:szCs w:val="24"/>
                          <w:lang w:val="pl-PL"/>
                        </w:rPr>
                      </w:pPr>
                      <w:r w:rsidRPr="00733091">
                        <w:rPr>
                          <w:rFonts w:cstheme="minorHAnsi"/>
                          <w:szCs w:val="24"/>
                          <w:lang w:val="pl-PL"/>
                        </w:rPr>
                        <w:t xml:space="preserve">bytowe (zakupy podstawowe – 96,45% </w:t>
                      </w:r>
                      <w:r w:rsidRPr="00733091">
                        <w:rPr>
                          <w:rFonts w:eastAsia="Times New Roman" w:cstheme="minorHAnsi"/>
                          <w:szCs w:val="24"/>
                          <w:lang w:val="pl-PL" w:eastAsia="pl-PL"/>
                        </w:rPr>
                        <w:t>korzystających z usług</w:t>
                      </w:r>
                      <w:r w:rsidRPr="00733091">
                        <w:rPr>
                          <w:rFonts w:cstheme="minorHAnsi"/>
                          <w:szCs w:val="24"/>
                          <w:lang w:val="pl-PL"/>
                        </w:rPr>
                        <w:t xml:space="preserve">, </w:t>
                      </w:r>
                      <w:r w:rsidRPr="00733091">
                        <w:rPr>
                          <w:rFonts w:eastAsia="Times New Roman" w:cstheme="minorHAnsi"/>
                          <w:szCs w:val="24"/>
                          <w:lang w:val="pl-PL" w:eastAsia="pl-PL"/>
                        </w:rPr>
                        <w:t xml:space="preserve">zakupy artykułów przemysłowych, odzieży, AGD – 68,05% korzystających z usług, </w:t>
                      </w:r>
                      <w:r w:rsidRPr="00733091">
                        <w:rPr>
                          <w:rFonts w:cstheme="minorHAnsi"/>
                          <w:szCs w:val="24"/>
                          <w:lang w:val="pl-PL"/>
                        </w:rPr>
                        <w:t>zakupy na targowiskach – 91,19%</w:t>
                      </w:r>
                      <w:r w:rsidRPr="00733091">
                        <w:rPr>
                          <w:rFonts w:eastAsia="Times New Roman" w:cstheme="minorHAnsi"/>
                          <w:szCs w:val="24"/>
                          <w:lang w:val="pl-PL" w:eastAsia="pl-PL"/>
                        </w:rPr>
                        <w:t xml:space="preserve"> korzystających z usług</w:t>
                      </w:r>
                      <w:r w:rsidRPr="00733091">
                        <w:rPr>
                          <w:rFonts w:cstheme="minorHAnsi"/>
                          <w:szCs w:val="24"/>
                          <w:lang w:val="pl-PL"/>
                        </w:rPr>
                        <w:t>)</w:t>
                      </w:r>
                    </w:p>
                    <w:p w14:paraId="44ED7D40" w14:textId="77777777" w:rsidR="00B14787" w:rsidRPr="00733091" w:rsidRDefault="00B14787" w:rsidP="00B063F0">
                      <w:pPr>
                        <w:pStyle w:val="Akapitzlist"/>
                        <w:numPr>
                          <w:ilvl w:val="0"/>
                          <w:numId w:val="10"/>
                        </w:numPr>
                        <w:spacing w:before="0" w:after="160" w:line="259" w:lineRule="auto"/>
                        <w:ind w:left="284" w:hanging="284"/>
                        <w:rPr>
                          <w:rFonts w:cstheme="minorHAnsi"/>
                          <w:szCs w:val="24"/>
                          <w:lang w:val="pl-PL"/>
                        </w:rPr>
                      </w:pPr>
                      <w:r w:rsidRPr="00733091">
                        <w:rPr>
                          <w:rFonts w:cstheme="minorHAnsi"/>
                          <w:szCs w:val="24"/>
                          <w:lang w:val="pl-PL"/>
                        </w:rPr>
                        <w:t xml:space="preserve">inne (usługi bankowe i finansowe – 77,38% </w:t>
                      </w:r>
                      <w:r w:rsidRPr="00733091">
                        <w:rPr>
                          <w:rFonts w:eastAsia="Times New Roman" w:cstheme="minorHAnsi"/>
                          <w:szCs w:val="24"/>
                          <w:lang w:val="pl-PL" w:eastAsia="pl-PL"/>
                        </w:rPr>
                        <w:t>korzystających z usług</w:t>
                      </w:r>
                      <w:r w:rsidRPr="00733091">
                        <w:rPr>
                          <w:rFonts w:cstheme="minorHAnsi"/>
                          <w:szCs w:val="24"/>
                          <w:lang w:val="pl-PL"/>
                        </w:rPr>
                        <w:t xml:space="preserve">, budowlane – 88,59% </w:t>
                      </w:r>
                      <w:r w:rsidRPr="00733091">
                        <w:rPr>
                          <w:rFonts w:eastAsia="Times New Roman" w:cstheme="minorHAnsi"/>
                          <w:szCs w:val="24"/>
                          <w:lang w:val="pl-PL" w:eastAsia="pl-PL"/>
                        </w:rPr>
                        <w:t>korzystających z usług</w:t>
                      </w:r>
                      <w:r w:rsidRPr="00733091">
                        <w:rPr>
                          <w:rFonts w:cstheme="minorHAnsi"/>
                          <w:szCs w:val="24"/>
                          <w:lang w:val="pl-PL"/>
                        </w:rPr>
                        <w:t xml:space="preserve">, usługi doradztwa prawnego -80,10% </w:t>
                      </w:r>
                      <w:r w:rsidRPr="00733091">
                        <w:rPr>
                          <w:rFonts w:eastAsia="Times New Roman" w:cstheme="minorHAnsi"/>
                          <w:szCs w:val="24"/>
                          <w:lang w:val="pl-PL" w:eastAsia="pl-PL"/>
                        </w:rPr>
                        <w:t>korzystających z usług</w:t>
                      </w:r>
                      <w:r w:rsidRPr="00733091">
                        <w:rPr>
                          <w:rFonts w:cstheme="minorHAnsi"/>
                          <w:szCs w:val="24"/>
                          <w:lang w:val="pl-PL"/>
                        </w:rPr>
                        <w:t xml:space="preserve">, usługi typu </w:t>
                      </w:r>
                      <w:r w:rsidRPr="00733091">
                        <w:rPr>
                          <w:rFonts w:cstheme="minorHAnsi"/>
                          <w:i/>
                          <w:iCs/>
                          <w:szCs w:val="24"/>
                          <w:lang w:val="pl-PL"/>
                        </w:rPr>
                        <w:t>beauty</w:t>
                      </w:r>
                      <w:r w:rsidRPr="00733091">
                        <w:rPr>
                          <w:rFonts w:cstheme="minorHAnsi"/>
                          <w:szCs w:val="24"/>
                          <w:lang w:val="pl-PL"/>
                        </w:rPr>
                        <w:t xml:space="preserve"> – 85,93% </w:t>
                      </w:r>
                      <w:r w:rsidRPr="00733091">
                        <w:rPr>
                          <w:rFonts w:eastAsia="Times New Roman" w:cstheme="minorHAnsi"/>
                          <w:szCs w:val="24"/>
                          <w:lang w:val="pl-PL" w:eastAsia="pl-PL"/>
                        </w:rPr>
                        <w:t>korzystających z usług),</w:t>
                      </w:r>
                    </w:p>
                    <w:p w14:paraId="7ABBA752" w14:textId="341030BD" w:rsidR="00B14787" w:rsidRPr="00733091" w:rsidRDefault="00B14787" w:rsidP="00EE414D">
                      <w:pPr>
                        <w:ind w:left="0"/>
                        <w:rPr>
                          <w:rFonts w:cstheme="minorHAnsi"/>
                          <w:i/>
                          <w:iCs/>
                          <w:szCs w:val="24"/>
                          <w:lang w:val="pl-PL"/>
                        </w:rPr>
                      </w:pPr>
                      <w:r w:rsidRPr="00C377D8">
                        <w:rPr>
                          <w:rFonts w:cstheme="minorHAnsi"/>
                          <w:szCs w:val="24"/>
                          <w:lang w:val="pl-PL"/>
                        </w:rPr>
                        <w:t xml:space="preserve">Z badań mieszkańców wynika, że </w:t>
                      </w:r>
                      <w:r w:rsidRPr="00733091">
                        <w:rPr>
                          <w:rFonts w:cstheme="minorHAnsi"/>
                          <w:b/>
                          <w:bCs/>
                          <w:szCs w:val="24"/>
                          <w:lang w:val="pl-PL"/>
                        </w:rPr>
                        <w:t>75,23%</w:t>
                      </w:r>
                      <w:r w:rsidRPr="00733091">
                        <w:rPr>
                          <w:rFonts w:cstheme="minorHAnsi"/>
                          <w:szCs w:val="24"/>
                          <w:lang w:val="pl-PL"/>
                        </w:rPr>
                        <w:t xml:space="preserve"> osób korzystających z oferty edukacyjnej szkół ponadpodstawowych korzysta z tych usług na obszarze Partnerstwa. Potwierdzają to </w:t>
                      </w:r>
                      <w:r w:rsidRPr="00733091">
                        <w:rPr>
                          <w:rFonts w:cstheme="minorHAnsi"/>
                          <w:b/>
                          <w:bCs/>
                          <w:szCs w:val="24"/>
                          <w:lang w:val="pl-PL"/>
                        </w:rPr>
                        <w:t>badania</w:t>
                      </w:r>
                      <w:r w:rsidRPr="00733091">
                        <w:rPr>
                          <w:rFonts w:cstheme="minorHAnsi"/>
                          <w:szCs w:val="24"/>
                          <w:lang w:val="pl-PL"/>
                        </w:rPr>
                        <w:t xml:space="preserve"> </w:t>
                      </w:r>
                      <w:r w:rsidRPr="00733091">
                        <w:rPr>
                          <w:rFonts w:cstheme="minorHAnsi"/>
                          <w:b/>
                          <w:bCs/>
                          <w:szCs w:val="24"/>
                          <w:lang w:val="pl-PL"/>
                        </w:rPr>
                        <w:t>młodzieży</w:t>
                      </w:r>
                      <w:r w:rsidRPr="00733091">
                        <w:rPr>
                          <w:rFonts w:cstheme="minorHAnsi"/>
                          <w:szCs w:val="24"/>
                          <w:lang w:val="pl-PL"/>
                        </w:rPr>
                        <w:t xml:space="preserve">, </w:t>
                      </w:r>
                      <w:r>
                        <w:rPr>
                          <w:rFonts w:cstheme="minorHAnsi"/>
                          <w:szCs w:val="24"/>
                          <w:lang w:val="pl-PL"/>
                        </w:rPr>
                        <w:t xml:space="preserve">według których </w:t>
                      </w:r>
                      <w:r w:rsidRPr="00733091">
                        <w:rPr>
                          <w:rFonts w:cstheme="minorHAnsi"/>
                          <w:szCs w:val="24"/>
                          <w:lang w:val="pl-PL"/>
                        </w:rPr>
                        <w:t xml:space="preserve">aż 82% osób kształcących się w ostatnich klasach szkół ponadpodstawowych w roku szkolnym 2021/2022 (279 osób) to </w:t>
                      </w:r>
                      <w:r>
                        <w:rPr>
                          <w:rFonts w:cstheme="minorHAnsi"/>
                          <w:szCs w:val="24"/>
                          <w:lang w:val="pl-PL"/>
                        </w:rPr>
                        <w:t xml:space="preserve">osoby </w:t>
                      </w:r>
                      <w:r w:rsidRPr="00733091">
                        <w:rPr>
                          <w:rFonts w:cstheme="minorHAnsi"/>
                          <w:szCs w:val="24"/>
                          <w:lang w:val="pl-PL"/>
                        </w:rPr>
                        <w:t>mieszkając</w:t>
                      </w:r>
                      <w:r>
                        <w:rPr>
                          <w:rFonts w:cstheme="minorHAnsi"/>
                          <w:szCs w:val="24"/>
                          <w:lang w:val="pl-PL"/>
                        </w:rPr>
                        <w:t>e</w:t>
                      </w:r>
                      <w:r w:rsidRPr="00733091">
                        <w:rPr>
                          <w:rFonts w:cstheme="minorHAnsi"/>
                          <w:szCs w:val="24"/>
                          <w:lang w:val="pl-PL"/>
                        </w:rPr>
                        <w:t xml:space="preserve"> na stałe na obszarze Partnerstwa. </w:t>
                      </w:r>
                    </w:p>
                    <w:p w14:paraId="0C0EE350" w14:textId="77777777" w:rsidR="00B14787" w:rsidRPr="00733091" w:rsidRDefault="00B14787" w:rsidP="00042D08">
                      <w:pPr>
                        <w:jc w:val="both"/>
                        <w:rPr>
                          <w:rFonts w:cstheme="minorHAnsi"/>
                          <w:color w:val="FF0000"/>
                          <w:sz w:val="20"/>
                          <w:szCs w:val="20"/>
                          <w:lang w:val="pl-PL"/>
                        </w:rPr>
                      </w:pPr>
                    </w:p>
                  </w:txbxContent>
                </v:textbox>
                <w10:wrap anchorx="margin"/>
              </v:shape>
            </w:pict>
          </mc:Fallback>
        </mc:AlternateContent>
      </w:r>
    </w:p>
    <w:p w14:paraId="044DBC5F" w14:textId="3731A09F" w:rsidR="00042D08" w:rsidRDefault="00042D08" w:rsidP="00733091">
      <w:pPr>
        <w:rPr>
          <w:rFonts w:cstheme="minorHAnsi"/>
          <w:color w:val="001133"/>
          <w:shd w:val="clear" w:color="auto" w:fill="FFFFFF"/>
        </w:rPr>
      </w:pPr>
      <w:r>
        <w:rPr>
          <w:rFonts w:cstheme="minorHAnsi"/>
          <w:noProof/>
          <w:color w:val="001133"/>
          <w:shd w:val="clear" w:color="auto" w:fill="FFFFFF"/>
        </w:rPr>
        <w:drawing>
          <wp:inline distT="0" distB="0" distL="0" distR="0" wp14:anchorId="412C49AE" wp14:editId="5B136563">
            <wp:extent cx="365760" cy="365760"/>
            <wp:effectExtent l="0" t="0" r="0" b="0"/>
            <wp:docPr id="32" name="Grafika 32" descr="Lista kontrolna (od prawej do lew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a 14" descr="Lista kontrolna (od prawej do lewej)"/>
                    <pic:cNvPicPr/>
                  </pic:nvPicPr>
                  <pic:blipFill>
                    <a:blip r:embed="rId35" cstate="print">
                      <a:extLst>
                        <a:ext uri="{28A0092B-C50C-407E-A947-70E740481C1C}">
                          <a14:useLocalDpi xmlns:a14="http://schemas.microsoft.com/office/drawing/2010/main" val="0"/>
                        </a:ext>
                        <a:ext uri="{96DAC541-7B7A-43D3-8B79-37D633B846F1}">
                          <asvg:svgBlip xmlns:asvg="http://schemas.microsoft.com/office/drawing/2016/SVG/main" r:embed="rId36"/>
                        </a:ext>
                      </a:extLst>
                    </a:blip>
                    <a:stretch>
                      <a:fillRect/>
                    </a:stretch>
                  </pic:blipFill>
                  <pic:spPr>
                    <a:xfrm>
                      <a:off x="0" y="0"/>
                      <a:ext cx="365760" cy="365760"/>
                    </a:xfrm>
                    <a:prstGeom prst="rect">
                      <a:avLst/>
                    </a:prstGeom>
                  </pic:spPr>
                </pic:pic>
              </a:graphicData>
            </a:graphic>
          </wp:inline>
        </w:drawing>
      </w:r>
    </w:p>
    <w:p w14:paraId="35403026" w14:textId="77777777" w:rsidR="00042D08" w:rsidRDefault="00042D08" w:rsidP="00733091">
      <w:pPr>
        <w:rPr>
          <w:rFonts w:cstheme="minorHAnsi"/>
          <w:color w:val="001133"/>
          <w:shd w:val="clear" w:color="auto" w:fill="FFFFFF"/>
        </w:rPr>
      </w:pPr>
    </w:p>
    <w:p w14:paraId="7A83FF03" w14:textId="77777777" w:rsidR="00042D08" w:rsidRDefault="00042D08" w:rsidP="00733091">
      <w:pPr>
        <w:rPr>
          <w:rFonts w:cstheme="minorHAnsi"/>
          <w:color w:val="001133"/>
          <w:shd w:val="clear" w:color="auto" w:fill="FFFFFF"/>
        </w:rPr>
      </w:pPr>
    </w:p>
    <w:p w14:paraId="34DB14CB" w14:textId="13E88F63" w:rsidR="00042D08" w:rsidRDefault="00042D08" w:rsidP="00733091">
      <w:pPr>
        <w:rPr>
          <w:rFonts w:cstheme="minorHAnsi"/>
          <w:color w:val="001133"/>
          <w:shd w:val="clear" w:color="auto" w:fill="FFFFFF"/>
        </w:rPr>
      </w:pPr>
    </w:p>
    <w:p w14:paraId="5BD197B7" w14:textId="12B61DA7" w:rsidR="00733091" w:rsidRDefault="00733091" w:rsidP="00733091">
      <w:pPr>
        <w:rPr>
          <w:rFonts w:cstheme="minorHAnsi"/>
          <w:color w:val="001133"/>
          <w:shd w:val="clear" w:color="auto" w:fill="FFFFFF"/>
        </w:rPr>
      </w:pPr>
    </w:p>
    <w:p w14:paraId="6F9C3ECC" w14:textId="5821FB9D" w:rsidR="00733091" w:rsidRDefault="00733091" w:rsidP="00733091">
      <w:pPr>
        <w:rPr>
          <w:rFonts w:cstheme="minorHAnsi"/>
          <w:color w:val="001133"/>
          <w:shd w:val="clear" w:color="auto" w:fill="FFFFFF"/>
        </w:rPr>
      </w:pPr>
    </w:p>
    <w:p w14:paraId="2ABE9845" w14:textId="6CE4478F" w:rsidR="00733091" w:rsidRDefault="00733091" w:rsidP="00733091">
      <w:pPr>
        <w:rPr>
          <w:rFonts w:cstheme="minorHAnsi"/>
          <w:color w:val="001133"/>
          <w:shd w:val="clear" w:color="auto" w:fill="FFFFFF"/>
        </w:rPr>
      </w:pPr>
    </w:p>
    <w:p w14:paraId="0C9A3782" w14:textId="77777777" w:rsidR="00733091" w:rsidRDefault="00733091" w:rsidP="00733091">
      <w:pPr>
        <w:rPr>
          <w:rFonts w:cstheme="minorHAnsi"/>
          <w:color w:val="001133"/>
          <w:shd w:val="clear" w:color="auto" w:fill="FFFFFF"/>
        </w:rPr>
      </w:pPr>
    </w:p>
    <w:p w14:paraId="53B98F94" w14:textId="387A03E2" w:rsidR="00042D08" w:rsidRDefault="00042D08" w:rsidP="00733091">
      <w:pPr>
        <w:rPr>
          <w:rFonts w:cstheme="minorHAnsi"/>
          <w:color w:val="001133"/>
          <w:shd w:val="clear" w:color="auto" w:fill="FFFFFF"/>
        </w:rPr>
      </w:pPr>
    </w:p>
    <w:p w14:paraId="3BF3D2D6" w14:textId="13EC3E80" w:rsidR="0029554C" w:rsidRDefault="0029554C" w:rsidP="00733091">
      <w:pPr>
        <w:rPr>
          <w:rFonts w:cstheme="minorHAnsi"/>
          <w:color w:val="001133"/>
          <w:shd w:val="clear" w:color="auto" w:fill="FFFFFF"/>
        </w:rPr>
      </w:pPr>
    </w:p>
    <w:p w14:paraId="69267769" w14:textId="03BFD8DB" w:rsidR="0029554C" w:rsidRDefault="0029554C" w:rsidP="00733091">
      <w:pPr>
        <w:rPr>
          <w:rFonts w:cstheme="minorHAnsi"/>
          <w:color w:val="001133"/>
          <w:shd w:val="clear" w:color="auto" w:fill="FFFFFF"/>
        </w:rPr>
      </w:pPr>
    </w:p>
    <w:p w14:paraId="3D308441" w14:textId="77777777" w:rsidR="00BA1554" w:rsidRDefault="00BA1554" w:rsidP="00E65D31">
      <w:pPr>
        <w:pStyle w:val="Nagwek5"/>
        <w:spacing w:before="120" w:after="240"/>
        <w:ind w:left="0"/>
        <w:rPr>
          <w:rStyle w:val="Nagwek4Znak"/>
          <w:rFonts w:asciiTheme="majorHAnsi" w:hAnsiTheme="majorHAnsi"/>
          <w:iCs w:val="0"/>
          <w:noProof w:val="0"/>
          <w:lang w:val="pl-PL"/>
        </w:rPr>
      </w:pPr>
    </w:p>
    <w:p w14:paraId="63C416C7" w14:textId="094E8C21" w:rsidR="00120B4A" w:rsidRPr="00E65D31" w:rsidRDefault="00120B4A" w:rsidP="00733091">
      <w:pPr>
        <w:pStyle w:val="Nagwek5"/>
        <w:spacing w:before="120" w:after="240"/>
        <w:rPr>
          <w:rStyle w:val="Nagwek4Znak"/>
          <w:rFonts w:asciiTheme="minorHAnsi" w:hAnsiTheme="minorHAnsi" w:cstheme="minorHAnsi"/>
          <w:iCs w:val="0"/>
          <w:noProof w:val="0"/>
          <w:lang w:val="pl-PL"/>
        </w:rPr>
      </w:pPr>
      <w:r w:rsidRPr="00E65D31">
        <w:rPr>
          <w:rStyle w:val="Nagwek4Znak"/>
          <w:rFonts w:asciiTheme="minorHAnsi" w:hAnsiTheme="minorHAnsi" w:cstheme="minorHAnsi"/>
          <w:iCs w:val="0"/>
          <w:noProof w:val="0"/>
          <w:lang w:val="pl-PL"/>
        </w:rPr>
        <w:t>Usługi zbilansowane z importem lub dużym importem spoza Partnerstwa</w:t>
      </w:r>
    </w:p>
    <w:p w14:paraId="2F1A8E0F" w14:textId="28304C24" w:rsidR="00042D08" w:rsidRPr="00733091" w:rsidRDefault="00042D08" w:rsidP="00733091">
      <w:pPr>
        <w:rPr>
          <w:rFonts w:eastAsia="Times New Roman" w:cstheme="minorHAnsi"/>
          <w:lang w:val="pl-PL" w:eastAsia="pl-PL"/>
        </w:rPr>
      </w:pPr>
      <w:r w:rsidRPr="00733091">
        <w:rPr>
          <w:rFonts w:eastAsia="Times New Roman" w:cstheme="minorHAnsi"/>
          <w:lang w:val="pl-PL" w:eastAsia="pl-PL"/>
        </w:rPr>
        <w:t>Do grupy tych usług należą usługi, które są</w:t>
      </w:r>
      <w:r w:rsidRPr="00733091">
        <w:rPr>
          <w:rFonts w:eastAsia="Times New Roman" w:cstheme="minorHAnsi"/>
          <w:b/>
          <w:bCs/>
          <w:lang w:val="pl-PL" w:eastAsia="pl-PL"/>
        </w:rPr>
        <w:t xml:space="preserve"> dostępne na obszarze Partnerstwa</w:t>
      </w:r>
      <w:r w:rsidRPr="00733091">
        <w:rPr>
          <w:rFonts w:eastAsia="Times New Roman" w:cstheme="minorHAnsi"/>
          <w:lang w:val="pl-PL" w:eastAsia="pl-PL"/>
        </w:rPr>
        <w:t xml:space="preserve">. Mimo to mieszkańcy obszaru Partnerstwa korzystają z nich także w ośrodkach położonych poza obszarem Partnerstwa </w:t>
      </w:r>
      <w:r w:rsidRPr="00733091">
        <w:rPr>
          <w:rFonts w:eastAsia="Times New Roman" w:cstheme="minorHAnsi"/>
          <w:lang w:val="pl-PL" w:eastAsia="pl-PL"/>
        </w:rPr>
        <w:br/>
        <w:t>(w mniejszym lub większym stopniu). Mieszkańcy spoza obszaru Partnerstwa korzystają z usług na obszarze Partnerstwa w mniejszym stopniu niż mieszkańcy Partnerstwa w ośrodkach położonych poza obszarem Partnerstwa</w:t>
      </w:r>
      <w:r w:rsidRPr="00733091">
        <w:rPr>
          <w:rFonts w:eastAsia="Times New Roman" w:cstheme="minorHAnsi"/>
          <w:b/>
          <w:bCs/>
          <w:lang w:val="pl-PL" w:eastAsia="pl-PL"/>
        </w:rPr>
        <w:t>.</w:t>
      </w:r>
    </w:p>
    <w:p w14:paraId="3395371A" w14:textId="7CCCF3C0" w:rsidR="00042D08" w:rsidRPr="0029554C" w:rsidRDefault="00042D08" w:rsidP="0029554C">
      <w:pPr>
        <w:rPr>
          <w:rFonts w:eastAsia="Times New Roman" w:cstheme="minorHAnsi"/>
          <w:b/>
          <w:bCs/>
          <w:lang w:val="pl-PL" w:eastAsia="pl-PL"/>
        </w:rPr>
      </w:pPr>
      <w:r w:rsidRPr="00733091">
        <w:rPr>
          <w:rFonts w:eastAsia="Times New Roman" w:cstheme="minorHAnsi"/>
          <w:lang w:val="pl-PL" w:eastAsia="pl-PL"/>
        </w:rPr>
        <w:lastRenderedPageBreak/>
        <w:t xml:space="preserve">Występowanie tego typu usług na terenie Partnerstwa oznacza, że wytworzyły się </w:t>
      </w:r>
      <w:r w:rsidRPr="00733091">
        <w:rPr>
          <w:rFonts w:eastAsia="Times New Roman" w:cstheme="minorHAnsi"/>
          <w:b/>
          <w:bCs/>
          <w:lang w:val="pl-PL" w:eastAsia="pl-PL"/>
        </w:rPr>
        <w:t xml:space="preserve">powiązania funkcjonalne obszaru Partnerstwa z ośrodkami spoza obszaru Partnerstwa, </w:t>
      </w:r>
      <w:r w:rsidRPr="00733091">
        <w:rPr>
          <w:rFonts w:eastAsia="Times New Roman" w:cstheme="minorHAnsi"/>
          <w:lang w:val="pl-PL" w:eastAsia="pl-PL"/>
        </w:rPr>
        <w:t>a także</w:t>
      </w:r>
      <w:r w:rsidRPr="00733091">
        <w:rPr>
          <w:rFonts w:eastAsia="Times New Roman" w:cstheme="minorHAnsi"/>
          <w:b/>
          <w:bCs/>
          <w:lang w:val="pl-PL" w:eastAsia="pl-PL"/>
        </w:rPr>
        <w:t xml:space="preserve"> </w:t>
      </w:r>
      <w:r w:rsidRPr="00733091">
        <w:rPr>
          <w:rFonts w:eastAsia="Times New Roman" w:cstheme="minorHAnsi"/>
          <w:lang w:val="pl-PL" w:eastAsia="pl-PL"/>
        </w:rPr>
        <w:t xml:space="preserve">powiazania </w:t>
      </w:r>
      <w:r w:rsidRPr="00733091">
        <w:rPr>
          <w:rFonts w:eastAsia="Times New Roman" w:cstheme="minorHAnsi"/>
          <w:b/>
          <w:bCs/>
          <w:lang w:val="pl-PL" w:eastAsia="pl-PL"/>
        </w:rPr>
        <w:t>pomiędzy określonymi grupami JST wewnątrz Partnerstwa.</w:t>
      </w:r>
    </w:p>
    <w:p w14:paraId="01709DB6" w14:textId="585EED89" w:rsidR="00A37D95" w:rsidRPr="00733091" w:rsidRDefault="00042D08" w:rsidP="00733091">
      <w:pPr>
        <w:rPr>
          <w:rFonts w:eastAsia="Times New Roman" w:cstheme="minorHAnsi"/>
          <w:lang w:val="pl-PL" w:eastAsia="pl-PL"/>
        </w:rPr>
      </w:pPr>
      <w:r w:rsidRPr="00733091">
        <w:rPr>
          <w:rFonts w:eastAsia="Times New Roman" w:cstheme="minorHAnsi"/>
          <w:lang w:val="pl-PL" w:eastAsia="pl-PL"/>
        </w:rPr>
        <w:t>Do usług zbilansowanych z importem lub dużym importem spoza Partnerstwa należą:</w:t>
      </w:r>
    </w:p>
    <w:p w14:paraId="1E89BCDC" w14:textId="7C17A441" w:rsidR="00042D08" w:rsidRPr="00745CDB" w:rsidRDefault="00042D08" w:rsidP="00B063F0">
      <w:pPr>
        <w:pStyle w:val="Akapitzlist"/>
        <w:numPr>
          <w:ilvl w:val="0"/>
          <w:numId w:val="11"/>
        </w:numPr>
        <w:ind w:left="1276" w:hanging="426"/>
        <w:rPr>
          <w:rFonts w:ascii="Arial" w:eastAsia="Times New Roman" w:hAnsi="Arial" w:cs="Arial"/>
          <w:sz w:val="18"/>
          <w:szCs w:val="18"/>
          <w:lang w:val="pl-PL" w:eastAsia="pl-PL"/>
        </w:rPr>
      </w:pPr>
      <w:r w:rsidRPr="00733091">
        <w:rPr>
          <w:rFonts w:eastAsia="Times New Roman" w:cstheme="minorHAnsi"/>
          <w:lang w:val="pl-PL" w:eastAsia="pl-PL"/>
        </w:rPr>
        <w:t>usługi w zakresie specjalistycznej opieki zdrowotnej (w tym usługi szpitalne),</w:t>
      </w:r>
    </w:p>
    <w:p w14:paraId="251EFE98" w14:textId="41A3BDFD" w:rsidR="00042D08" w:rsidRPr="00745CDB" w:rsidRDefault="00042D08" w:rsidP="00B063F0">
      <w:pPr>
        <w:pStyle w:val="Akapitzlist"/>
        <w:numPr>
          <w:ilvl w:val="0"/>
          <w:numId w:val="11"/>
        </w:numPr>
        <w:ind w:left="1276" w:hanging="426"/>
        <w:rPr>
          <w:rFonts w:ascii="Arial" w:eastAsia="Times New Roman" w:hAnsi="Arial" w:cs="Arial"/>
          <w:sz w:val="18"/>
          <w:szCs w:val="18"/>
          <w:lang w:val="pl-PL" w:eastAsia="pl-PL"/>
        </w:rPr>
      </w:pPr>
      <w:r w:rsidRPr="00745CDB">
        <w:rPr>
          <w:rFonts w:eastAsia="Times New Roman" w:cstheme="minorHAnsi"/>
          <w:lang w:val="pl-PL" w:eastAsia="pl-PL"/>
        </w:rPr>
        <w:t>usługi kulturalno-rozrywkowe (wydarzenia z zakresu pop-kultury stałe, cykliczne i masowe, wystawy, koncerty muzyki klasycznej, itp.),</w:t>
      </w:r>
    </w:p>
    <w:p w14:paraId="3119C950" w14:textId="77777777" w:rsidR="00042D08" w:rsidRPr="00745CDB" w:rsidRDefault="00042D08" w:rsidP="00B063F0">
      <w:pPr>
        <w:pStyle w:val="Akapitzlist"/>
        <w:numPr>
          <w:ilvl w:val="0"/>
          <w:numId w:val="11"/>
        </w:numPr>
        <w:ind w:left="1276" w:hanging="426"/>
        <w:rPr>
          <w:rFonts w:ascii="Arial" w:eastAsia="Times New Roman" w:hAnsi="Arial" w:cs="Arial"/>
          <w:sz w:val="18"/>
          <w:szCs w:val="18"/>
          <w:lang w:val="pl-PL" w:eastAsia="pl-PL"/>
        </w:rPr>
      </w:pPr>
      <w:r w:rsidRPr="00745CDB">
        <w:rPr>
          <w:rFonts w:eastAsia="Times New Roman" w:cstheme="minorHAnsi"/>
          <w:lang w:val="pl-PL" w:eastAsia="pl-PL"/>
        </w:rPr>
        <w:t>usługi handlowe (inne niż podstawowe).</w:t>
      </w:r>
    </w:p>
    <w:p w14:paraId="454CCF77" w14:textId="77777777" w:rsidR="00042D08" w:rsidRPr="00733091" w:rsidRDefault="00042D08" w:rsidP="00733091">
      <w:pPr>
        <w:rPr>
          <w:rFonts w:eastAsia="Times New Roman" w:cstheme="minorHAnsi"/>
          <w:b/>
          <w:bCs/>
          <w:lang w:val="pl-PL" w:eastAsia="pl-PL"/>
        </w:rPr>
      </w:pPr>
      <w:r w:rsidRPr="00733091">
        <w:rPr>
          <w:rFonts w:eastAsia="Times New Roman" w:cstheme="minorHAnsi"/>
          <w:b/>
          <w:bCs/>
          <w:lang w:val="pl-PL" w:eastAsia="pl-PL"/>
        </w:rPr>
        <w:t>Usługi w zakresie specjalistycznej opieki zdrowotnej (w tym usługi szpitalne)</w:t>
      </w:r>
    </w:p>
    <w:p w14:paraId="6CA22008" w14:textId="0AC46D8E" w:rsidR="00042D08" w:rsidRPr="00733091" w:rsidRDefault="00042D08" w:rsidP="0029554C">
      <w:pPr>
        <w:rPr>
          <w:rFonts w:eastAsia="Times New Roman" w:cstheme="minorHAnsi"/>
          <w:lang w:val="pl-PL" w:eastAsia="pl-PL"/>
        </w:rPr>
      </w:pPr>
      <w:r w:rsidRPr="00733091">
        <w:rPr>
          <w:rFonts w:eastAsia="Times New Roman" w:cstheme="minorHAnsi"/>
          <w:lang w:val="pl-PL" w:eastAsia="pl-PL"/>
        </w:rPr>
        <w:t xml:space="preserve">Znaczna część mieszkańców obszaru Partnerstwa korzysta ze specjalistycznej opieki zdrowotnej w placówkach położonych w </w:t>
      </w:r>
      <w:r w:rsidRPr="00733091">
        <w:rPr>
          <w:rFonts w:eastAsia="Times New Roman" w:cstheme="minorHAnsi"/>
          <w:b/>
          <w:bCs/>
          <w:lang w:val="pl-PL" w:eastAsia="pl-PL"/>
        </w:rPr>
        <w:t>Nidzicy, Szczytnie, Działdowie i Piszu</w:t>
      </w:r>
      <w:r w:rsidRPr="00733091">
        <w:rPr>
          <w:rFonts w:eastAsia="Times New Roman" w:cstheme="minorHAnsi"/>
          <w:lang w:val="pl-PL" w:eastAsia="pl-PL"/>
        </w:rPr>
        <w:t xml:space="preserve">, tj. usług szpitali powiatowych oferujących ambulatoryjną oraz zamkniętą opiekę zdrowotną. Mieszkańcy Południowych Mazur korzystają także ze specjalistycznej lub wysokospecjalistycznej opieki zdrowotnej w ośrodkach zlokalizowanych poza obszarem Partnerstwa, głównie z </w:t>
      </w:r>
      <w:r w:rsidRPr="00733091">
        <w:rPr>
          <w:rFonts w:eastAsia="Times New Roman" w:cstheme="minorHAnsi"/>
          <w:b/>
          <w:bCs/>
          <w:lang w:val="pl-PL" w:eastAsia="pl-PL"/>
        </w:rPr>
        <w:t>Olsztynie</w:t>
      </w:r>
      <w:r w:rsidR="00A0313D">
        <w:rPr>
          <w:rFonts w:eastAsia="Times New Roman" w:cstheme="minorHAnsi"/>
          <w:b/>
          <w:bCs/>
          <w:lang w:val="pl-PL" w:eastAsia="pl-PL"/>
        </w:rPr>
        <w:t xml:space="preserve">, </w:t>
      </w:r>
      <w:r w:rsidRPr="00733091">
        <w:rPr>
          <w:rFonts w:eastAsia="Times New Roman" w:cstheme="minorHAnsi"/>
          <w:b/>
          <w:bCs/>
          <w:lang w:val="pl-PL" w:eastAsia="pl-PL"/>
        </w:rPr>
        <w:t>Ełku</w:t>
      </w:r>
      <w:r w:rsidRPr="00733091">
        <w:rPr>
          <w:rFonts w:eastAsia="Times New Roman" w:cstheme="minorHAnsi"/>
          <w:lang w:val="pl-PL" w:eastAsia="pl-PL"/>
        </w:rPr>
        <w:t xml:space="preserve"> </w:t>
      </w:r>
      <w:r w:rsidR="00A0313D" w:rsidRPr="00A0313D">
        <w:rPr>
          <w:rFonts w:eastAsia="Times New Roman" w:cstheme="minorHAnsi"/>
          <w:b/>
          <w:bCs/>
          <w:lang w:val="pl-PL" w:eastAsia="pl-PL"/>
        </w:rPr>
        <w:t>i Biskupcu</w:t>
      </w:r>
      <w:r w:rsidR="00A0313D">
        <w:rPr>
          <w:rFonts w:eastAsia="Times New Roman" w:cstheme="minorHAnsi"/>
          <w:lang w:val="pl-PL" w:eastAsia="pl-PL"/>
        </w:rPr>
        <w:t xml:space="preserve"> </w:t>
      </w:r>
      <w:r w:rsidRPr="00733091">
        <w:rPr>
          <w:rFonts w:eastAsia="Times New Roman" w:cstheme="minorHAnsi"/>
          <w:lang w:val="pl-PL" w:eastAsia="pl-PL"/>
        </w:rPr>
        <w:t xml:space="preserve">(w szczególności </w:t>
      </w:r>
      <w:r w:rsidR="00174DE0">
        <w:rPr>
          <w:rFonts w:eastAsia="Times New Roman" w:cstheme="minorHAnsi"/>
          <w:lang w:val="pl-PL" w:eastAsia="pl-PL"/>
        </w:rPr>
        <w:br/>
      </w:r>
      <w:r w:rsidRPr="00733091">
        <w:rPr>
          <w:rFonts w:eastAsia="Times New Roman" w:cstheme="minorHAnsi"/>
          <w:lang w:val="pl-PL" w:eastAsia="pl-PL"/>
        </w:rPr>
        <w:t xml:space="preserve">z opieki oferowanej przez Wojewódzki Szpital Specjalistyczny w Olsztynie, Uniwersytecki Szpital w Olsztynie, Poliklinikę MSWiA w Olsztynie, Szpital Dziecięcy w Olsztynie, 1 Wojskowy Szpital Kliniczny z Politechniką SPZOZ w Lublinie - Filia </w:t>
      </w:r>
      <w:r w:rsidR="00174DE0">
        <w:rPr>
          <w:rFonts w:eastAsia="Times New Roman" w:cstheme="minorHAnsi"/>
          <w:lang w:val="pl-PL" w:eastAsia="pl-PL"/>
        </w:rPr>
        <w:br/>
      </w:r>
      <w:r w:rsidRPr="00733091">
        <w:rPr>
          <w:rFonts w:eastAsia="Times New Roman" w:cstheme="minorHAnsi"/>
          <w:lang w:val="pl-PL" w:eastAsia="pl-PL"/>
        </w:rPr>
        <w:t>w Ełku).</w:t>
      </w:r>
    </w:p>
    <w:p w14:paraId="22B3CB65" w14:textId="4393F0E1" w:rsidR="00042D08" w:rsidRPr="00733091" w:rsidRDefault="00BD71A8" w:rsidP="002E24A9">
      <w:pPr>
        <w:pStyle w:val="Legenda"/>
        <w:rPr>
          <w:rFonts w:eastAsia="Times New Roman" w:cstheme="minorHAnsi"/>
          <w:sz w:val="22"/>
          <w:szCs w:val="22"/>
          <w:lang w:val="pl-PL" w:eastAsia="pl-PL"/>
        </w:rPr>
      </w:pPr>
      <w:bookmarkStart w:id="18" w:name="_Toc69723159"/>
      <w:r w:rsidRPr="00733091">
        <w:rPr>
          <w:lang w:val="pl-PL"/>
        </w:rPr>
        <w:t xml:space="preserve">Wykres </w:t>
      </w:r>
      <w:r w:rsidR="00733091">
        <w:fldChar w:fldCharType="begin"/>
      </w:r>
      <w:r w:rsidR="00733091" w:rsidRPr="00733091">
        <w:rPr>
          <w:lang w:val="pl-PL"/>
        </w:rPr>
        <w:instrText xml:space="preserve"> SEQ Wykres \* ARABIC </w:instrText>
      </w:r>
      <w:r w:rsidR="00733091">
        <w:fldChar w:fldCharType="separate"/>
      </w:r>
      <w:r w:rsidR="00B14787">
        <w:rPr>
          <w:noProof/>
          <w:lang w:val="pl-PL"/>
        </w:rPr>
        <w:t>1</w:t>
      </w:r>
      <w:r w:rsidR="00733091">
        <w:rPr>
          <w:noProof/>
        </w:rPr>
        <w:fldChar w:fldCharType="end"/>
      </w:r>
      <w:r w:rsidRPr="00733091">
        <w:rPr>
          <w:lang w:val="pl-PL"/>
        </w:rPr>
        <w:t xml:space="preserve">: </w:t>
      </w:r>
      <w:r w:rsidR="00042D08" w:rsidRPr="00733091">
        <w:rPr>
          <w:lang w:val="pl-PL"/>
        </w:rPr>
        <w:t>Bilans usług – specjalistyczna opieka zdrowotna</w:t>
      </w:r>
      <w:bookmarkEnd w:id="18"/>
    </w:p>
    <w:p w14:paraId="04C20A91" w14:textId="507CBB1F" w:rsidR="00042D08" w:rsidRPr="006E6ABC" w:rsidRDefault="00042D08" w:rsidP="006E6ABC">
      <w:pPr>
        <w:pStyle w:val="podpiselementu"/>
        <w:spacing w:after="240"/>
        <w:ind w:right="-2"/>
        <w:rPr>
          <w:rFonts w:ascii="Arial" w:eastAsia="Times New Roman" w:hAnsi="Arial" w:cs="Arial"/>
          <w:sz w:val="18"/>
          <w:szCs w:val="18"/>
          <w:lang w:val="pl-PL" w:eastAsia="pl-PL"/>
        </w:rPr>
      </w:pPr>
      <w:r>
        <w:rPr>
          <w:noProof/>
        </w:rPr>
        <w:drawing>
          <wp:inline distT="0" distB="0" distL="0" distR="0" wp14:anchorId="038A0AEC" wp14:editId="47E770CE">
            <wp:extent cx="5775960" cy="2598420"/>
            <wp:effectExtent l="0" t="0" r="15240" b="11430"/>
            <wp:docPr id="46" name="Wykres 46" descr="wykres radialny dotyczący bilansu usług specjalistycznej opieki zdrowotnej z zaznaczonym kolorem niebieskim exportem usługi, a czerwonym – importem usługi]">
              <a:extLst xmlns:a="http://schemas.openxmlformats.org/drawingml/2006/main">
                <a:ext uri="{FF2B5EF4-FFF2-40B4-BE49-F238E27FC236}">
                  <a16:creationId xmlns:a16="http://schemas.microsoft.com/office/drawing/2014/main" id="{0708C72B-818E-4C84-841F-E41A96A522C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r w:rsidRPr="00733091">
        <w:rPr>
          <w:lang w:val="pl-PL" w:eastAsia="pl-PL"/>
        </w:rPr>
        <w:t>Źródło: opracowanie ZMP na podstawie badania członków Partnerstwa</w:t>
      </w:r>
    </w:p>
    <w:p w14:paraId="231C1613" w14:textId="474A736E" w:rsidR="00042D08" w:rsidRDefault="00042D08" w:rsidP="00733091">
      <w:pPr>
        <w:contextualSpacing/>
        <w:rPr>
          <w:rFonts w:eastAsia="Times New Roman" w:cstheme="minorHAnsi"/>
          <w:b/>
          <w:bCs/>
          <w:lang w:val="pl-PL" w:eastAsia="pl-PL"/>
        </w:rPr>
      </w:pPr>
      <w:r w:rsidRPr="00733091">
        <w:rPr>
          <w:rFonts w:eastAsia="Times New Roman" w:cstheme="minorHAnsi"/>
          <w:b/>
          <w:bCs/>
          <w:lang w:val="pl-PL" w:eastAsia="pl-PL"/>
        </w:rPr>
        <w:lastRenderedPageBreak/>
        <w:t xml:space="preserve">Usługi kulturalno-rozrywkowe: wydarzenia z zakresu pop-kultury (stałe, cykliczne </w:t>
      </w:r>
      <w:r w:rsidR="00174DE0">
        <w:rPr>
          <w:rFonts w:eastAsia="Times New Roman" w:cstheme="minorHAnsi"/>
          <w:b/>
          <w:bCs/>
          <w:lang w:val="pl-PL" w:eastAsia="pl-PL"/>
        </w:rPr>
        <w:br/>
      </w:r>
      <w:r w:rsidRPr="00733091">
        <w:rPr>
          <w:rFonts w:eastAsia="Times New Roman" w:cstheme="minorHAnsi"/>
          <w:b/>
          <w:bCs/>
          <w:lang w:val="pl-PL" w:eastAsia="pl-PL"/>
        </w:rPr>
        <w:t>i masowe),</w:t>
      </w:r>
      <w:r w:rsidRPr="00733091">
        <w:rPr>
          <w:rFonts w:eastAsia="Times New Roman" w:cstheme="minorHAnsi"/>
          <w:lang w:val="pl-PL" w:eastAsia="pl-PL"/>
        </w:rPr>
        <w:t xml:space="preserve"> </w:t>
      </w:r>
      <w:r w:rsidRPr="00733091">
        <w:rPr>
          <w:rFonts w:eastAsia="Times New Roman" w:cstheme="minorHAnsi"/>
          <w:b/>
          <w:bCs/>
          <w:lang w:val="pl-PL" w:eastAsia="pl-PL"/>
        </w:rPr>
        <w:t>wystawy, koncerty muzyki klasycznej, itp.</w:t>
      </w:r>
    </w:p>
    <w:p w14:paraId="008D97A2" w14:textId="77777777" w:rsidR="00E65D31" w:rsidRPr="00733091" w:rsidRDefault="00E65D31" w:rsidP="00733091">
      <w:pPr>
        <w:contextualSpacing/>
        <w:rPr>
          <w:rFonts w:eastAsia="Times New Roman" w:cstheme="minorHAnsi"/>
          <w:b/>
          <w:bCs/>
          <w:lang w:val="pl-PL" w:eastAsia="pl-PL"/>
        </w:rPr>
      </w:pPr>
    </w:p>
    <w:p w14:paraId="769DB3DB" w14:textId="4DBDFE0B" w:rsidR="00042D08" w:rsidRPr="005B63BD" w:rsidRDefault="00042D08" w:rsidP="0029554C">
      <w:pPr>
        <w:contextualSpacing/>
        <w:rPr>
          <w:rFonts w:cstheme="minorHAnsi"/>
          <w:lang w:val="pl-PL"/>
        </w:rPr>
      </w:pPr>
      <w:r w:rsidRPr="00733091">
        <w:rPr>
          <w:rFonts w:eastAsia="Times New Roman" w:cstheme="minorHAnsi"/>
          <w:lang w:val="pl-PL" w:eastAsia="pl-PL"/>
        </w:rPr>
        <w:t xml:space="preserve">Mieszkańcy obszaru Partnerstwa biorą udział w wydarzeniach z zakresu pop kultury i kultury wyższej (muzyka poważna, wystawy) w ośrodkach, w których są one organizowane, zarówno na obszarze Partnerstwa jak i poza nim.  Mieszkańcy korzystają z oferty kulturalno-rozrywkowej miast: </w:t>
      </w:r>
      <w:r w:rsidRPr="00733091">
        <w:rPr>
          <w:rFonts w:eastAsia="Times New Roman" w:cstheme="minorHAnsi"/>
          <w:b/>
          <w:bCs/>
          <w:lang w:val="pl-PL" w:eastAsia="pl-PL"/>
        </w:rPr>
        <w:t xml:space="preserve">Działdowo i Szczytno </w:t>
      </w:r>
      <w:r w:rsidRPr="00733091">
        <w:rPr>
          <w:rFonts w:eastAsia="Times New Roman" w:cstheme="minorHAnsi"/>
          <w:lang w:val="pl-PL" w:eastAsia="pl-PL"/>
        </w:rPr>
        <w:t xml:space="preserve">(wystawy, koncerty muzyki poważnej, koncerty muzyki pop), a także z oferty ośrodków położonych w regionie: </w:t>
      </w:r>
      <w:r w:rsidRPr="00733091">
        <w:rPr>
          <w:rFonts w:eastAsia="Times New Roman" w:cstheme="minorHAnsi"/>
          <w:b/>
          <w:bCs/>
          <w:lang w:val="pl-PL" w:eastAsia="pl-PL"/>
        </w:rPr>
        <w:t>Ostródy (</w:t>
      </w:r>
      <w:r w:rsidRPr="00733091">
        <w:rPr>
          <w:rFonts w:eastAsia="Times New Roman" w:cstheme="minorHAnsi"/>
          <w:lang w:val="pl-PL" w:eastAsia="pl-PL"/>
        </w:rPr>
        <w:t xml:space="preserve">muzyka taneczna, reegae), </w:t>
      </w:r>
      <w:r w:rsidRPr="00733091">
        <w:rPr>
          <w:rFonts w:eastAsia="Times New Roman" w:cstheme="minorHAnsi"/>
          <w:b/>
          <w:bCs/>
          <w:lang w:val="pl-PL" w:eastAsia="pl-PL"/>
        </w:rPr>
        <w:t>Iławy</w:t>
      </w:r>
      <w:r w:rsidRPr="00733091">
        <w:rPr>
          <w:rFonts w:eastAsia="Times New Roman" w:cstheme="minorHAnsi"/>
          <w:lang w:val="pl-PL" w:eastAsia="pl-PL"/>
        </w:rPr>
        <w:t xml:space="preserve"> (jazz), </w:t>
      </w:r>
      <w:r w:rsidRPr="00733091">
        <w:rPr>
          <w:rFonts w:eastAsia="Times New Roman" w:cstheme="minorHAnsi"/>
          <w:b/>
          <w:bCs/>
          <w:lang w:val="pl-PL" w:eastAsia="pl-PL"/>
        </w:rPr>
        <w:t>Węgorzewa</w:t>
      </w:r>
      <w:r w:rsidRPr="00733091">
        <w:rPr>
          <w:rFonts w:eastAsia="Times New Roman" w:cstheme="minorHAnsi"/>
          <w:lang w:val="pl-PL" w:eastAsia="pl-PL"/>
        </w:rPr>
        <w:t xml:space="preserve"> (hip-hop), </w:t>
      </w:r>
      <w:r w:rsidRPr="00733091">
        <w:rPr>
          <w:rFonts w:eastAsia="Times New Roman" w:cstheme="minorHAnsi"/>
          <w:b/>
          <w:bCs/>
          <w:lang w:val="pl-PL" w:eastAsia="pl-PL"/>
        </w:rPr>
        <w:t xml:space="preserve">Giżycka </w:t>
      </w:r>
      <w:r w:rsidRPr="00733091">
        <w:rPr>
          <w:rFonts w:eastAsia="Times New Roman" w:cstheme="minorHAnsi"/>
          <w:lang w:val="pl-PL" w:eastAsia="pl-PL"/>
        </w:rPr>
        <w:t xml:space="preserve">(szanty), </w:t>
      </w:r>
      <w:r w:rsidRPr="00733091">
        <w:rPr>
          <w:rFonts w:eastAsia="Times New Roman" w:cstheme="minorHAnsi"/>
          <w:b/>
          <w:bCs/>
          <w:lang w:val="pl-PL" w:eastAsia="pl-PL"/>
        </w:rPr>
        <w:t>Olsztyna</w:t>
      </w:r>
      <w:r w:rsidRPr="00733091">
        <w:rPr>
          <w:rFonts w:eastAsia="Times New Roman" w:cstheme="minorHAnsi"/>
          <w:lang w:val="pl-PL" w:eastAsia="pl-PL"/>
        </w:rPr>
        <w:t xml:space="preserve"> (</w:t>
      </w:r>
      <w:r w:rsidRPr="00733091">
        <w:rPr>
          <w:rFonts w:cstheme="minorHAnsi"/>
          <w:lang w:val="pl-PL"/>
        </w:rPr>
        <w:t xml:space="preserve">oferta klubów muzycznych) lub poza nim, tj. </w:t>
      </w:r>
      <w:r w:rsidRPr="005B63BD">
        <w:rPr>
          <w:rFonts w:eastAsia="Times New Roman" w:cstheme="minorHAnsi"/>
          <w:lang w:val="pl-PL" w:eastAsia="pl-PL"/>
        </w:rPr>
        <w:t>Warszawy i Gdańska.</w:t>
      </w:r>
    </w:p>
    <w:p w14:paraId="1B09C462" w14:textId="1841D754" w:rsidR="00042D08" w:rsidRPr="00733091" w:rsidRDefault="00B703D2" w:rsidP="002E24A9">
      <w:pPr>
        <w:pStyle w:val="Legenda"/>
        <w:rPr>
          <w:lang w:val="pl-PL"/>
        </w:rPr>
      </w:pPr>
      <w:bookmarkStart w:id="19" w:name="_Toc69723160"/>
      <w:r w:rsidRPr="00733091">
        <w:rPr>
          <w:lang w:val="pl-PL"/>
        </w:rPr>
        <w:t xml:space="preserve">Wykres </w:t>
      </w:r>
      <w:r w:rsidR="00733091">
        <w:fldChar w:fldCharType="begin"/>
      </w:r>
      <w:r w:rsidR="00733091" w:rsidRPr="00733091">
        <w:rPr>
          <w:lang w:val="pl-PL"/>
        </w:rPr>
        <w:instrText xml:space="preserve"> SEQ Wykres \* ARABIC </w:instrText>
      </w:r>
      <w:r w:rsidR="00733091">
        <w:fldChar w:fldCharType="separate"/>
      </w:r>
      <w:r w:rsidR="00B14787">
        <w:rPr>
          <w:noProof/>
          <w:lang w:val="pl-PL"/>
        </w:rPr>
        <w:t>2</w:t>
      </w:r>
      <w:r w:rsidR="00733091">
        <w:rPr>
          <w:noProof/>
        </w:rPr>
        <w:fldChar w:fldCharType="end"/>
      </w:r>
      <w:r w:rsidRPr="00733091">
        <w:rPr>
          <w:lang w:val="pl-PL"/>
        </w:rPr>
        <w:t xml:space="preserve">: </w:t>
      </w:r>
      <w:r w:rsidR="00042D08" w:rsidRPr="00733091">
        <w:rPr>
          <w:lang w:val="pl-PL"/>
        </w:rPr>
        <w:t xml:space="preserve">Bilans usług – </w:t>
      </w:r>
      <w:r w:rsidR="00042D08" w:rsidRPr="00733091">
        <w:rPr>
          <w:rFonts w:eastAsia="Times New Roman" w:cstheme="minorHAnsi"/>
          <w:lang w:val="pl-PL" w:eastAsia="pl-PL"/>
        </w:rPr>
        <w:t>usługi kulturalno-rozrywkowe</w:t>
      </w:r>
      <w:bookmarkEnd w:id="19"/>
      <w:r w:rsidR="00042D08" w:rsidRPr="00733091">
        <w:rPr>
          <w:lang w:val="pl-PL"/>
        </w:rPr>
        <w:br/>
      </w:r>
    </w:p>
    <w:p w14:paraId="63DC36BB" w14:textId="45EF26D0" w:rsidR="00042D08" w:rsidRPr="0029554C" w:rsidRDefault="00042D08" w:rsidP="0029554C">
      <w:pPr>
        <w:ind w:left="0"/>
        <w:rPr>
          <w:rFonts w:ascii="Calibri Light" w:hAnsi="Calibri Light"/>
          <w:noProof/>
          <w:lang w:val="pl-PL"/>
        </w:rPr>
      </w:pPr>
      <w:r>
        <w:rPr>
          <w:noProof/>
        </w:rPr>
        <w:drawing>
          <wp:inline distT="0" distB="0" distL="0" distR="0" wp14:anchorId="46088273" wp14:editId="58FC327C">
            <wp:extent cx="5737860" cy="2476500"/>
            <wp:effectExtent l="0" t="0" r="15240" b="0"/>
            <wp:docPr id="49" name="Wykres 49" descr="wykres radialny dotyczący bilansu usług kuturaalno-rozrywkowych z zaznaczonym kolorem niebieskim exportem usługi, a czerwonym – importem usługi">
              <a:extLst xmlns:a="http://schemas.openxmlformats.org/drawingml/2006/main">
                <a:ext uri="{FF2B5EF4-FFF2-40B4-BE49-F238E27FC236}">
                  <a16:creationId xmlns:a16="http://schemas.microsoft.com/office/drawing/2014/main" id="{4D8923B3-267F-412C-A4C1-1B1D749AAEF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r w:rsidRPr="00733091">
        <w:rPr>
          <w:lang w:val="pl-PL"/>
        </w:rPr>
        <w:br/>
      </w:r>
      <w:r w:rsidRPr="00733091">
        <w:rPr>
          <w:rStyle w:val="podpiselementuZnak"/>
          <w:lang w:val="pl-PL"/>
        </w:rPr>
        <w:t>Źródło: opracowanie ZMP na podstawie badania członków Partnerstwa</w:t>
      </w:r>
    </w:p>
    <w:p w14:paraId="122C965A" w14:textId="77777777" w:rsidR="00042D08" w:rsidRPr="00733091" w:rsidRDefault="00042D08" w:rsidP="00733091">
      <w:pPr>
        <w:contextualSpacing/>
        <w:rPr>
          <w:b/>
          <w:bCs/>
          <w:lang w:val="pl-PL" w:eastAsia="pl-PL"/>
        </w:rPr>
      </w:pPr>
      <w:r w:rsidRPr="00733091">
        <w:rPr>
          <w:b/>
          <w:bCs/>
          <w:lang w:val="pl-PL" w:eastAsia="pl-PL"/>
        </w:rPr>
        <w:t>Usługi handlowe (inne niż podstawowe)</w:t>
      </w:r>
    </w:p>
    <w:p w14:paraId="72902778" w14:textId="78F7B745" w:rsidR="00042D08" w:rsidRPr="00A53827" w:rsidRDefault="00042D08" w:rsidP="00A53827">
      <w:pPr>
        <w:contextualSpacing/>
        <w:rPr>
          <w:b/>
          <w:bCs/>
          <w:lang w:val="pl-PL" w:eastAsia="pl-PL"/>
        </w:rPr>
      </w:pPr>
      <w:r w:rsidRPr="00733091">
        <w:rPr>
          <w:lang w:val="pl-PL" w:eastAsia="pl-PL"/>
        </w:rPr>
        <w:t xml:space="preserve">Mieszkańcy obszaru Partnerstwa korzystają usług handlowych (innych </w:t>
      </w:r>
      <w:r w:rsidR="00C377D8">
        <w:rPr>
          <w:lang w:val="pl-PL" w:eastAsia="pl-PL"/>
        </w:rPr>
        <w:t xml:space="preserve">niż </w:t>
      </w:r>
      <w:r w:rsidRPr="00733091">
        <w:rPr>
          <w:lang w:val="pl-PL" w:eastAsia="pl-PL"/>
        </w:rPr>
        <w:t>podstawow</w:t>
      </w:r>
      <w:r w:rsidR="00C377D8">
        <w:rPr>
          <w:lang w:val="pl-PL" w:eastAsia="pl-PL"/>
        </w:rPr>
        <w:t>e</w:t>
      </w:r>
      <w:r w:rsidRPr="00733091">
        <w:rPr>
          <w:lang w:val="pl-PL" w:eastAsia="pl-PL"/>
        </w:rPr>
        <w:t>) w miastach obszaru Partnerstwa (</w:t>
      </w:r>
      <w:r w:rsidRPr="00733091">
        <w:rPr>
          <w:b/>
          <w:bCs/>
          <w:lang w:val="pl-PL" w:eastAsia="pl-PL"/>
        </w:rPr>
        <w:t>Szczytno, Działdowo, Pisz</w:t>
      </w:r>
      <w:r w:rsidRPr="00733091">
        <w:rPr>
          <w:lang w:val="pl-PL" w:eastAsia="pl-PL"/>
        </w:rPr>
        <w:t xml:space="preserve">) oraz większych ośrodkach miejskich poza Partnerstwem, w których zlokalizowane są centa handlowe (przede wszystkim w </w:t>
      </w:r>
      <w:r w:rsidRPr="00733091">
        <w:rPr>
          <w:b/>
          <w:bCs/>
          <w:lang w:val="pl-PL" w:eastAsia="pl-PL"/>
        </w:rPr>
        <w:t>Olsztynie, Ełku</w:t>
      </w:r>
      <w:r w:rsidRPr="00733091">
        <w:rPr>
          <w:lang w:val="pl-PL" w:eastAsia="pl-PL"/>
        </w:rPr>
        <w:t xml:space="preserve"> czy </w:t>
      </w:r>
      <w:r w:rsidRPr="00733091">
        <w:rPr>
          <w:b/>
          <w:bCs/>
          <w:lang w:val="pl-PL" w:eastAsia="pl-PL"/>
        </w:rPr>
        <w:t>Ostródzie</w:t>
      </w:r>
      <w:r w:rsidRPr="00733091">
        <w:rPr>
          <w:lang w:val="pl-PL" w:eastAsia="pl-PL"/>
        </w:rPr>
        <w:t>).</w:t>
      </w:r>
    </w:p>
    <w:p w14:paraId="1F4722FA" w14:textId="1C8C332A" w:rsidR="00042D08" w:rsidRPr="00733091" w:rsidRDefault="00B703D2" w:rsidP="002E24A9">
      <w:pPr>
        <w:pStyle w:val="Legenda"/>
        <w:rPr>
          <w:rFonts w:eastAsia="Times New Roman" w:cstheme="minorHAnsi"/>
          <w:lang w:val="pl-PL" w:eastAsia="pl-PL"/>
        </w:rPr>
      </w:pPr>
      <w:bookmarkStart w:id="20" w:name="_Toc69723161"/>
      <w:r w:rsidRPr="00733091">
        <w:rPr>
          <w:lang w:val="pl-PL"/>
        </w:rPr>
        <w:lastRenderedPageBreak/>
        <w:t xml:space="preserve">Wykres </w:t>
      </w:r>
      <w:r w:rsidR="00733091">
        <w:fldChar w:fldCharType="begin"/>
      </w:r>
      <w:r w:rsidR="00733091" w:rsidRPr="00733091">
        <w:rPr>
          <w:lang w:val="pl-PL"/>
        </w:rPr>
        <w:instrText xml:space="preserve"> SEQ Wykres \* ARABIC </w:instrText>
      </w:r>
      <w:r w:rsidR="00733091">
        <w:fldChar w:fldCharType="separate"/>
      </w:r>
      <w:r w:rsidR="00B14787">
        <w:rPr>
          <w:noProof/>
          <w:lang w:val="pl-PL"/>
        </w:rPr>
        <w:t>3</w:t>
      </w:r>
      <w:r w:rsidR="00733091">
        <w:rPr>
          <w:noProof/>
        </w:rPr>
        <w:fldChar w:fldCharType="end"/>
      </w:r>
      <w:r w:rsidRPr="00733091">
        <w:rPr>
          <w:lang w:val="pl-PL"/>
        </w:rPr>
        <w:t xml:space="preserve">: </w:t>
      </w:r>
      <w:r w:rsidR="00042D08" w:rsidRPr="00733091">
        <w:rPr>
          <w:lang w:val="pl-PL"/>
        </w:rPr>
        <w:t>Bilans usług – usługi handlowe (inne niż podstawowe)</w:t>
      </w:r>
      <w:bookmarkEnd w:id="20"/>
    </w:p>
    <w:p w14:paraId="5F96AD11" w14:textId="3A3150D1" w:rsidR="0029554C" w:rsidRPr="00733091" w:rsidRDefault="00042D08" w:rsidP="00733091">
      <w:pPr>
        <w:ind w:left="0"/>
        <w:rPr>
          <w:rStyle w:val="podpiselementuZnak"/>
          <w:lang w:val="pl-PL"/>
        </w:rPr>
      </w:pPr>
      <w:r>
        <w:rPr>
          <w:noProof/>
        </w:rPr>
        <w:drawing>
          <wp:inline distT="0" distB="0" distL="0" distR="0" wp14:anchorId="31AF715A" wp14:editId="7E9131CB">
            <wp:extent cx="5753100" cy="2689860"/>
            <wp:effectExtent l="0" t="0" r="0" b="15240"/>
            <wp:docPr id="64" name="Wykres 64" descr="[tekst alternatywny: wykres radialny dotyczący bilansu usług handlowych (innych niż podstawowe) z zaznaczonym kolorem niebieskim exportem usługi, a czerwonym – importem usługi]">
              <a:extLst xmlns:a="http://schemas.openxmlformats.org/drawingml/2006/main">
                <a:ext uri="{FF2B5EF4-FFF2-40B4-BE49-F238E27FC236}">
                  <a16:creationId xmlns:a16="http://schemas.microsoft.com/office/drawing/2014/main" id="{5D811CE3-7DC2-4F31-A467-082C27E88B6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r w:rsidRPr="00733091">
        <w:rPr>
          <w:rFonts w:eastAsia="Times New Roman" w:cstheme="minorHAnsi"/>
          <w:lang w:val="pl-PL" w:eastAsia="pl-PL"/>
        </w:rPr>
        <w:br/>
      </w:r>
      <w:r w:rsidRPr="00733091">
        <w:rPr>
          <w:rStyle w:val="podpiselementuZnak"/>
          <w:lang w:val="pl-PL"/>
        </w:rPr>
        <w:t>Źródło: opracowanie ZMP na podstawie badania członków Partnerstw</w:t>
      </w:r>
      <w:r w:rsidR="0029554C">
        <w:rPr>
          <w:rStyle w:val="podpiselementuZnak"/>
          <w:lang w:val="pl-PL"/>
        </w:rPr>
        <w:t>a</w:t>
      </w:r>
    </w:p>
    <w:p w14:paraId="6AD0633E" w14:textId="77777777" w:rsidR="00042D08" w:rsidRPr="00733091" w:rsidRDefault="00042D08" w:rsidP="00733091">
      <w:pPr>
        <w:rPr>
          <w:rFonts w:eastAsia="Times New Roman" w:cstheme="minorHAnsi"/>
          <w:lang w:val="pl-PL" w:eastAsia="pl-PL"/>
        </w:rPr>
      </w:pPr>
      <w:r w:rsidRPr="0029203E">
        <w:rPr>
          <w:noProof/>
        </w:rPr>
        <mc:AlternateContent>
          <mc:Choice Requires="wps">
            <w:drawing>
              <wp:anchor distT="0" distB="0" distL="114300" distR="114300" simplePos="0" relativeHeight="251658248" behindDoc="0" locked="0" layoutInCell="1" allowOverlap="1" wp14:anchorId="338C7CFD" wp14:editId="2A7FFB7B">
                <wp:simplePos x="0" y="0"/>
                <wp:positionH relativeFrom="margin">
                  <wp:align>left</wp:align>
                </wp:positionH>
                <wp:positionV relativeFrom="paragraph">
                  <wp:posOffset>97155</wp:posOffset>
                </wp:positionV>
                <wp:extent cx="5763895" cy="2687541"/>
                <wp:effectExtent l="0" t="0" r="27305" b="17780"/>
                <wp:wrapNone/>
                <wp:docPr id="33" name="Pole tekstowe 33"/>
                <wp:cNvGraphicFramePr/>
                <a:graphic xmlns:a="http://schemas.openxmlformats.org/drawingml/2006/main">
                  <a:graphicData uri="http://schemas.microsoft.com/office/word/2010/wordprocessingShape">
                    <wps:wsp>
                      <wps:cNvSpPr txBox="1"/>
                      <wps:spPr>
                        <a:xfrm>
                          <a:off x="0" y="0"/>
                          <a:ext cx="5763895" cy="2687541"/>
                        </a:xfrm>
                        <a:prstGeom prst="rect">
                          <a:avLst/>
                        </a:prstGeom>
                        <a:solidFill>
                          <a:schemeClr val="accent1">
                            <a:lumMod val="20000"/>
                            <a:lumOff val="80000"/>
                          </a:schemeClr>
                        </a:solidFill>
                        <a:ln w="6350">
                          <a:solidFill>
                            <a:schemeClr val="accent1"/>
                          </a:solidFill>
                        </a:ln>
                      </wps:spPr>
                      <wps:txbx>
                        <w:txbxContent>
                          <w:p w14:paraId="5817D904" w14:textId="7E4CBAB0" w:rsidR="00B14787" w:rsidRPr="0029554C" w:rsidRDefault="00B14787" w:rsidP="00A70EA5">
                            <w:pPr>
                              <w:ind w:left="142"/>
                              <w:rPr>
                                <w:rFonts w:cstheme="minorHAnsi"/>
                                <w:szCs w:val="24"/>
                                <w:lang w:val="pl-PL"/>
                              </w:rPr>
                            </w:pPr>
                            <w:r w:rsidRPr="0029554C">
                              <w:rPr>
                                <w:rFonts w:cstheme="minorHAnsi"/>
                                <w:szCs w:val="24"/>
                                <w:lang w:val="pl-PL"/>
                              </w:rPr>
                              <w:t>Mieszkańcy obszaru Partnerstwa</w:t>
                            </w:r>
                            <w:r>
                              <w:rPr>
                                <w:rFonts w:cstheme="minorHAnsi"/>
                                <w:szCs w:val="24"/>
                                <w:lang w:val="pl-PL"/>
                              </w:rPr>
                              <w:t xml:space="preserve"> oraz lokalni liderzy</w:t>
                            </w:r>
                            <w:r w:rsidRPr="0029554C">
                              <w:rPr>
                                <w:rFonts w:cstheme="minorHAnsi"/>
                                <w:szCs w:val="24"/>
                                <w:lang w:val="pl-PL"/>
                              </w:rPr>
                              <w:t xml:space="preserve"> twierdzą, że realizują swoje potrzeby związane z:</w:t>
                            </w:r>
                          </w:p>
                          <w:p w14:paraId="25ED4B71" w14:textId="356DA078" w:rsidR="00B14787" w:rsidRPr="0029554C" w:rsidRDefault="00B14787" w:rsidP="00B063F0">
                            <w:pPr>
                              <w:pStyle w:val="Akapitzlist"/>
                              <w:numPr>
                                <w:ilvl w:val="0"/>
                                <w:numId w:val="12"/>
                              </w:numPr>
                              <w:spacing w:before="0" w:after="160" w:line="259" w:lineRule="auto"/>
                              <w:ind w:left="284" w:hanging="142"/>
                              <w:rPr>
                                <w:rFonts w:cstheme="minorHAnsi"/>
                                <w:szCs w:val="24"/>
                                <w:lang w:val="pl-PL"/>
                              </w:rPr>
                            </w:pPr>
                            <w:r>
                              <w:rPr>
                                <w:rFonts w:cstheme="minorHAnsi"/>
                                <w:szCs w:val="24"/>
                                <w:lang w:val="pl-PL"/>
                              </w:rPr>
                              <w:t>skorzystaniem ze</w:t>
                            </w:r>
                            <w:r w:rsidRPr="0029554C">
                              <w:rPr>
                                <w:rFonts w:cstheme="minorHAnsi"/>
                                <w:szCs w:val="24"/>
                                <w:lang w:val="pl-PL"/>
                              </w:rPr>
                              <w:t xml:space="preserve"> specjalistycznej opieki zdrowotnej (w tym </w:t>
                            </w:r>
                            <w:r>
                              <w:rPr>
                                <w:rFonts w:cstheme="minorHAnsi"/>
                                <w:szCs w:val="24"/>
                                <w:lang w:val="pl-PL"/>
                              </w:rPr>
                              <w:t xml:space="preserve">z oferty </w:t>
                            </w:r>
                            <w:r w:rsidRPr="0029554C">
                              <w:rPr>
                                <w:rFonts w:cstheme="minorHAnsi"/>
                                <w:szCs w:val="24"/>
                                <w:lang w:val="pl-PL"/>
                              </w:rPr>
                              <w:t>szpitali) w ośrodkach położonych na obszarze Partnerstwa (41,61% korzystających z usług) oraz poza tym obszarem (</w:t>
                            </w:r>
                            <w:r w:rsidRPr="0029554C">
                              <w:rPr>
                                <w:rFonts w:cstheme="minorHAnsi"/>
                                <w:b/>
                                <w:bCs/>
                                <w:szCs w:val="24"/>
                                <w:lang w:val="pl-PL"/>
                              </w:rPr>
                              <w:t xml:space="preserve">58,39% </w:t>
                            </w:r>
                            <w:r w:rsidRPr="0029554C">
                              <w:rPr>
                                <w:rFonts w:cstheme="minorHAnsi"/>
                                <w:szCs w:val="24"/>
                                <w:lang w:val="pl-PL"/>
                              </w:rPr>
                              <w:t>korzystających z usług</w:t>
                            </w:r>
                            <w:r w:rsidRPr="0029554C">
                              <w:rPr>
                                <w:rFonts w:cstheme="minorHAnsi"/>
                                <w:b/>
                                <w:bCs/>
                                <w:szCs w:val="24"/>
                                <w:lang w:val="pl-PL"/>
                              </w:rPr>
                              <w:t>),</w:t>
                            </w:r>
                          </w:p>
                          <w:p w14:paraId="1B73F17D" w14:textId="760DDADC" w:rsidR="00B14787" w:rsidRPr="0029554C" w:rsidRDefault="00B14787" w:rsidP="00B063F0">
                            <w:pPr>
                              <w:pStyle w:val="Akapitzlist"/>
                              <w:numPr>
                                <w:ilvl w:val="0"/>
                                <w:numId w:val="12"/>
                              </w:numPr>
                              <w:spacing w:before="0" w:after="160" w:line="259" w:lineRule="auto"/>
                              <w:ind w:left="284" w:hanging="142"/>
                              <w:rPr>
                                <w:rFonts w:cstheme="minorHAnsi"/>
                                <w:szCs w:val="24"/>
                                <w:lang w:val="pl-PL"/>
                              </w:rPr>
                            </w:pPr>
                            <w:r w:rsidRPr="0029554C">
                              <w:rPr>
                                <w:rFonts w:cstheme="minorHAnsi"/>
                                <w:szCs w:val="24"/>
                                <w:lang w:val="pl-PL"/>
                              </w:rPr>
                              <w:t xml:space="preserve">spędzaniem czasu wolnego </w:t>
                            </w:r>
                            <w:r w:rsidRPr="0029554C">
                              <w:rPr>
                                <w:rFonts w:eastAsia="Times New Roman" w:cstheme="minorHAnsi"/>
                                <w:szCs w:val="24"/>
                                <w:lang w:val="pl-PL" w:eastAsia="pl-PL"/>
                              </w:rPr>
                              <w:t>– udziałem w imprezach kultury popularnej i rozrywki</w:t>
                            </w:r>
                            <w:r w:rsidRPr="0029554C">
                              <w:rPr>
                                <w:rFonts w:ascii="Times New Roman" w:eastAsia="Times New Roman" w:hAnsi="Times New Roman" w:cs="Times New Roman"/>
                                <w:szCs w:val="24"/>
                                <w:lang w:val="pl-PL" w:eastAsia="pl-PL"/>
                              </w:rPr>
                              <w:t xml:space="preserve"> </w:t>
                            </w:r>
                            <w:r>
                              <w:rPr>
                                <w:rFonts w:ascii="Times New Roman" w:eastAsia="Times New Roman" w:hAnsi="Times New Roman" w:cs="Times New Roman"/>
                                <w:szCs w:val="24"/>
                                <w:lang w:val="pl-PL" w:eastAsia="pl-PL"/>
                              </w:rPr>
                              <w:br/>
                            </w:r>
                            <w:r w:rsidRPr="0029554C">
                              <w:rPr>
                                <w:rFonts w:cstheme="minorHAnsi"/>
                                <w:szCs w:val="24"/>
                                <w:lang w:val="pl-PL"/>
                              </w:rPr>
                              <w:t>w ośrodkach położonych na obszarze Partnerstwa (</w:t>
                            </w:r>
                            <w:r w:rsidRPr="0029554C">
                              <w:rPr>
                                <w:rFonts w:cstheme="minorHAnsi"/>
                                <w:b/>
                                <w:bCs/>
                                <w:szCs w:val="24"/>
                                <w:lang w:val="pl-PL"/>
                              </w:rPr>
                              <w:t xml:space="preserve">63,71% </w:t>
                            </w:r>
                            <w:r w:rsidRPr="0029554C">
                              <w:rPr>
                                <w:rFonts w:cstheme="minorHAnsi"/>
                                <w:szCs w:val="24"/>
                                <w:lang w:val="pl-PL"/>
                              </w:rPr>
                              <w:t>korzystających z usług</w:t>
                            </w:r>
                            <w:r w:rsidRPr="0029554C">
                              <w:rPr>
                                <w:rFonts w:cstheme="minorHAnsi"/>
                                <w:b/>
                                <w:bCs/>
                                <w:szCs w:val="24"/>
                                <w:lang w:val="pl-PL"/>
                              </w:rPr>
                              <w:t>)</w:t>
                            </w:r>
                            <w:r w:rsidRPr="0029554C">
                              <w:rPr>
                                <w:rFonts w:cstheme="minorHAnsi"/>
                                <w:szCs w:val="24"/>
                                <w:lang w:val="pl-PL"/>
                              </w:rPr>
                              <w:t xml:space="preserve"> oraz poza tym obszarem (36,29% korzystających z usług)</w:t>
                            </w:r>
                          </w:p>
                          <w:p w14:paraId="4A040E2B" w14:textId="1624EDE0" w:rsidR="00B14787" w:rsidRPr="0029554C" w:rsidRDefault="00B14787" w:rsidP="00B063F0">
                            <w:pPr>
                              <w:pStyle w:val="Akapitzlist"/>
                              <w:numPr>
                                <w:ilvl w:val="0"/>
                                <w:numId w:val="12"/>
                              </w:numPr>
                              <w:spacing w:before="0" w:after="160" w:line="259" w:lineRule="auto"/>
                              <w:ind w:left="284" w:hanging="142"/>
                              <w:rPr>
                                <w:rFonts w:cstheme="minorHAnsi"/>
                                <w:szCs w:val="24"/>
                                <w:lang w:val="pl-PL"/>
                              </w:rPr>
                            </w:pPr>
                            <w:r>
                              <w:rPr>
                                <w:rFonts w:cstheme="minorHAnsi"/>
                                <w:szCs w:val="24"/>
                                <w:lang w:val="pl-PL"/>
                              </w:rPr>
                              <w:t xml:space="preserve">skorzystaniem z oferty handlowej </w:t>
                            </w:r>
                            <w:r w:rsidRPr="0029554C">
                              <w:rPr>
                                <w:rFonts w:cstheme="minorHAnsi"/>
                                <w:szCs w:val="24"/>
                                <w:lang w:val="pl-PL"/>
                              </w:rPr>
                              <w:t xml:space="preserve"> (zakupy w sieciach handlowych, większych sklepach, hurtowniach) w ośrodkach położonych na obszarze Partnerstwa (</w:t>
                            </w:r>
                            <w:r w:rsidRPr="0029554C">
                              <w:rPr>
                                <w:rFonts w:cstheme="minorHAnsi"/>
                                <w:b/>
                                <w:bCs/>
                                <w:szCs w:val="24"/>
                                <w:lang w:val="pl-PL"/>
                              </w:rPr>
                              <w:t>62,07</w:t>
                            </w:r>
                            <w:r w:rsidRPr="0029554C">
                              <w:rPr>
                                <w:rFonts w:cstheme="minorHAnsi"/>
                                <w:szCs w:val="24"/>
                                <w:lang w:val="pl-PL"/>
                              </w:rPr>
                              <w:t>% korzystających z usług) oraz poza tym obszarem (37,93% korzystających z usług).</w:t>
                            </w:r>
                          </w:p>
                          <w:p w14:paraId="18A06595" w14:textId="77777777" w:rsidR="00B14787" w:rsidRPr="00733091" w:rsidRDefault="00B14787" w:rsidP="00042D08">
                            <w:pPr>
                              <w:jc w:val="both"/>
                              <w:rPr>
                                <w:rFonts w:cstheme="minorHAnsi"/>
                                <w:sz w:val="20"/>
                                <w:szCs w:val="20"/>
                                <w:lang w:val="pl-PL"/>
                              </w:rPr>
                            </w:pPr>
                          </w:p>
                          <w:p w14:paraId="5C65D66D" w14:textId="77777777" w:rsidR="00B14787" w:rsidRPr="00733091" w:rsidRDefault="00B14787" w:rsidP="00042D08">
                            <w:pPr>
                              <w:jc w:val="both"/>
                              <w:rPr>
                                <w:rFonts w:cstheme="minorHAnsi"/>
                                <w:color w:val="FF0000"/>
                                <w:sz w:val="20"/>
                                <w:szCs w:val="20"/>
                                <w:lang w:val="pl-P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8C7CFD" id="Pole tekstowe 33" o:spid="_x0000_s1028" type="#_x0000_t202" style="position:absolute;left:0;text-align:left;margin-left:0;margin-top:7.65pt;width:453.85pt;height:211.6pt;z-index:2516582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" fillcolor="#d9e2f3 [660]" strokecolor="#4472c4 [3204]" strokeweight=".5pt">
                <v:textbox>
                  <w:txbxContent>
                    <w:p w14:paraId="5817D904" w14:textId="7E4CBAB0" w:rsidR="00B14787" w:rsidRPr="0029554C" w:rsidRDefault="00B14787" w:rsidP="00A70EA5">
                      <w:pPr>
                        <w:ind w:left="142"/>
                        <w:rPr>
                          <w:rFonts w:cstheme="minorHAnsi"/>
                          <w:szCs w:val="24"/>
                          <w:lang w:val="pl-PL"/>
                        </w:rPr>
                      </w:pPr>
                      <w:r w:rsidRPr="0029554C">
                        <w:rPr>
                          <w:rFonts w:cstheme="minorHAnsi"/>
                          <w:szCs w:val="24"/>
                          <w:lang w:val="pl-PL"/>
                        </w:rPr>
                        <w:t>Mieszkańcy obszaru Partnerstwa</w:t>
                      </w:r>
                      <w:r>
                        <w:rPr>
                          <w:rFonts w:cstheme="minorHAnsi"/>
                          <w:szCs w:val="24"/>
                          <w:lang w:val="pl-PL"/>
                        </w:rPr>
                        <w:t xml:space="preserve"> oraz lokalni liderzy</w:t>
                      </w:r>
                      <w:r w:rsidRPr="0029554C">
                        <w:rPr>
                          <w:rFonts w:cstheme="minorHAnsi"/>
                          <w:szCs w:val="24"/>
                          <w:lang w:val="pl-PL"/>
                        </w:rPr>
                        <w:t xml:space="preserve"> twierdzą, że realizują swoje potrzeby związane z:</w:t>
                      </w:r>
                    </w:p>
                    <w:p w14:paraId="25ED4B71" w14:textId="356DA078" w:rsidR="00B14787" w:rsidRPr="0029554C" w:rsidRDefault="00B14787" w:rsidP="00B063F0">
                      <w:pPr>
                        <w:pStyle w:val="Akapitzlist"/>
                        <w:numPr>
                          <w:ilvl w:val="0"/>
                          <w:numId w:val="12"/>
                        </w:numPr>
                        <w:spacing w:before="0" w:after="160" w:line="259" w:lineRule="auto"/>
                        <w:ind w:left="284" w:hanging="142"/>
                        <w:rPr>
                          <w:rFonts w:cstheme="minorHAnsi"/>
                          <w:szCs w:val="24"/>
                          <w:lang w:val="pl-PL"/>
                        </w:rPr>
                      </w:pPr>
                      <w:r>
                        <w:rPr>
                          <w:rFonts w:cstheme="minorHAnsi"/>
                          <w:szCs w:val="24"/>
                          <w:lang w:val="pl-PL"/>
                        </w:rPr>
                        <w:t>skorzystaniem ze</w:t>
                      </w:r>
                      <w:r w:rsidRPr="0029554C">
                        <w:rPr>
                          <w:rFonts w:cstheme="minorHAnsi"/>
                          <w:szCs w:val="24"/>
                          <w:lang w:val="pl-PL"/>
                        </w:rPr>
                        <w:t xml:space="preserve"> specjalistycznej opieki zdrowotnej (w tym </w:t>
                      </w:r>
                      <w:r>
                        <w:rPr>
                          <w:rFonts w:cstheme="minorHAnsi"/>
                          <w:szCs w:val="24"/>
                          <w:lang w:val="pl-PL"/>
                        </w:rPr>
                        <w:t xml:space="preserve">z oferty </w:t>
                      </w:r>
                      <w:r w:rsidRPr="0029554C">
                        <w:rPr>
                          <w:rFonts w:cstheme="minorHAnsi"/>
                          <w:szCs w:val="24"/>
                          <w:lang w:val="pl-PL"/>
                        </w:rPr>
                        <w:t>szpitali) w ośrodkach położonych na obszarze Partnerstwa (41,61% korzystających z usług) oraz poza tym obszarem (</w:t>
                      </w:r>
                      <w:r w:rsidRPr="0029554C">
                        <w:rPr>
                          <w:rFonts w:cstheme="minorHAnsi"/>
                          <w:b/>
                          <w:bCs/>
                          <w:szCs w:val="24"/>
                          <w:lang w:val="pl-PL"/>
                        </w:rPr>
                        <w:t xml:space="preserve">58,39% </w:t>
                      </w:r>
                      <w:r w:rsidRPr="0029554C">
                        <w:rPr>
                          <w:rFonts w:cstheme="minorHAnsi"/>
                          <w:szCs w:val="24"/>
                          <w:lang w:val="pl-PL"/>
                        </w:rPr>
                        <w:t>korzystających z usług</w:t>
                      </w:r>
                      <w:r w:rsidRPr="0029554C">
                        <w:rPr>
                          <w:rFonts w:cstheme="minorHAnsi"/>
                          <w:b/>
                          <w:bCs/>
                          <w:szCs w:val="24"/>
                          <w:lang w:val="pl-PL"/>
                        </w:rPr>
                        <w:t>),</w:t>
                      </w:r>
                    </w:p>
                    <w:p w14:paraId="1B73F17D" w14:textId="760DDADC" w:rsidR="00B14787" w:rsidRPr="0029554C" w:rsidRDefault="00B14787" w:rsidP="00B063F0">
                      <w:pPr>
                        <w:pStyle w:val="Akapitzlist"/>
                        <w:numPr>
                          <w:ilvl w:val="0"/>
                          <w:numId w:val="12"/>
                        </w:numPr>
                        <w:spacing w:before="0" w:after="160" w:line="259" w:lineRule="auto"/>
                        <w:ind w:left="284" w:hanging="142"/>
                        <w:rPr>
                          <w:rFonts w:cstheme="minorHAnsi"/>
                          <w:szCs w:val="24"/>
                          <w:lang w:val="pl-PL"/>
                        </w:rPr>
                      </w:pPr>
                      <w:r w:rsidRPr="0029554C">
                        <w:rPr>
                          <w:rFonts w:cstheme="minorHAnsi"/>
                          <w:szCs w:val="24"/>
                          <w:lang w:val="pl-PL"/>
                        </w:rPr>
                        <w:t xml:space="preserve">spędzaniem czasu wolnego </w:t>
                      </w:r>
                      <w:r w:rsidRPr="0029554C">
                        <w:rPr>
                          <w:rFonts w:eastAsia="Times New Roman" w:cstheme="minorHAnsi"/>
                          <w:szCs w:val="24"/>
                          <w:lang w:val="pl-PL" w:eastAsia="pl-PL"/>
                        </w:rPr>
                        <w:t>– udziałem w imprezach kultury popularnej i rozrywki</w:t>
                      </w:r>
                      <w:r w:rsidRPr="0029554C">
                        <w:rPr>
                          <w:rFonts w:ascii="Times New Roman" w:eastAsia="Times New Roman" w:hAnsi="Times New Roman" w:cs="Times New Roman"/>
                          <w:szCs w:val="24"/>
                          <w:lang w:val="pl-PL" w:eastAsia="pl-PL"/>
                        </w:rPr>
                        <w:t xml:space="preserve"> </w:t>
                      </w:r>
                      <w:r>
                        <w:rPr>
                          <w:rFonts w:ascii="Times New Roman" w:eastAsia="Times New Roman" w:hAnsi="Times New Roman" w:cs="Times New Roman"/>
                          <w:szCs w:val="24"/>
                          <w:lang w:val="pl-PL" w:eastAsia="pl-PL"/>
                        </w:rPr>
                        <w:br/>
                      </w:r>
                      <w:r w:rsidRPr="0029554C">
                        <w:rPr>
                          <w:rFonts w:cstheme="minorHAnsi"/>
                          <w:szCs w:val="24"/>
                          <w:lang w:val="pl-PL"/>
                        </w:rPr>
                        <w:t>w ośrodkach położonych na obszarze Partnerstwa (</w:t>
                      </w:r>
                      <w:r w:rsidRPr="0029554C">
                        <w:rPr>
                          <w:rFonts w:cstheme="minorHAnsi"/>
                          <w:b/>
                          <w:bCs/>
                          <w:szCs w:val="24"/>
                          <w:lang w:val="pl-PL"/>
                        </w:rPr>
                        <w:t xml:space="preserve">63,71% </w:t>
                      </w:r>
                      <w:r w:rsidRPr="0029554C">
                        <w:rPr>
                          <w:rFonts w:cstheme="minorHAnsi"/>
                          <w:szCs w:val="24"/>
                          <w:lang w:val="pl-PL"/>
                        </w:rPr>
                        <w:t>korzystających z usług</w:t>
                      </w:r>
                      <w:r w:rsidRPr="0029554C">
                        <w:rPr>
                          <w:rFonts w:cstheme="minorHAnsi"/>
                          <w:b/>
                          <w:bCs/>
                          <w:szCs w:val="24"/>
                          <w:lang w:val="pl-PL"/>
                        </w:rPr>
                        <w:t>)</w:t>
                      </w:r>
                      <w:r w:rsidRPr="0029554C">
                        <w:rPr>
                          <w:rFonts w:cstheme="minorHAnsi"/>
                          <w:szCs w:val="24"/>
                          <w:lang w:val="pl-PL"/>
                        </w:rPr>
                        <w:t xml:space="preserve"> oraz poza tym obszarem (36,29% korzystających z usług)</w:t>
                      </w:r>
                    </w:p>
                    <w:p w14:paraId="4A040E2B" w14:textId="1624EDE0" w:rsidR="00B14787" w:rsidRPr="0029554C" w:rsidRDefault="00B14787" w:rsidP="00B063F0">
                      <w:pPr>
                        <w:pStyle w:val="Akapitzlist"/>
                        <w:numPr>
                          <w:ilvl w:val="0"/>
                          <w:numId w:val="12"/>
                        </w:numPr>
                        <w:spacing w:before="0" w:after="160" w:line="259" w:lineRule="auto"/>
                        <w:ind w:left="284" w:hanging="142"/>
                        <w:rPr>
                          <w:rFonts w:cstheme="minorHAnsi"/>
                          <w:szCs w:val="24"/>
                          <w:lang w:val="pl-PL"/>
                        </w:rPr>
                      </w:pPr>
                      <w:r>
                        <w:rPr>
                          <w:rFonts w:cstheme="minorHAnsi"/>
                          <w:szCs w:val="24"/>
                          <w:lang w:val="pl-PL"/>
                        </w:rPr>
                        <w:t xml:space="preserve">skorzystaniem z oferty handlowej </w:t>
                      </w:r>
                      <w:r w:rsidRPr="0029554C">
                        <w:rPr>
                          <w:rFonts w:cstheme="minorHAnsi"/>
                          <w:szCs w:val="24"/>
                          <w:lang w:val="pl-PL"/>
                        </w:rPr>
                        <w:t xml:space="preserve"> (zakupy w sieciach handlowych, większych sklepach, hurtowniach) w ośrodkach położonych na obszarze Partnerstwa (</w:t>
                      </w:r>
                      <w:r w:rsidRPr="0029554C">
                        <w:rPr>
                          <w:rFonts w:cstheme="minorHAnsi"/>
                          <w:b/>
                          <w:bCs/>
                          <w:szCs w:val="24"/>
                          <w:lang w:val="pl-PL"/>
                        </w:rPr>
                        <w:t>62,07</w:t>
                      </w:r>
                      <w:r w:rsidRPr="0029554C">
                        <w:rPr>
                          <w:rFonts w:cstheme="minorHAnsi"/>
                          <w:szCs w:val="24"/>
                          <w:lang w:val="pl-PL"/>
                        </w:rPr>
                        <w:t>% korzystających z usług) oraz poza tym obszarem (37,93% korzystających z usług).</w:t>
                      </w:r>
                    </w:p>
                    <w:p w14:paraId="18A06595" w14:textId="77777777" w:rsidR="00B14787" w:rsidRPr="00733091" w:rsidRDefault="00B14787" w:rsidP="00042D08">
                      <w:pPr>
                        <w:jc w:val="both"/>
                        <w:rPr>
                          <w:rFonts w:cstheme="minorHAnsi"/>
                          <w:sz w:val="20"/>
                          <w:szCs w:val="20"/>
                          <w:lang w:val="pl-PL"/>
                        </w:rPr>
                      </w:pPr>
                    </w:p>
                    <w:p w14:paraId="5C65D66D" w14:textId="77777777" w:rsidR="00B14787" w:rsidRPr="00733091" w:rsidRDefault="00B14787" w:rsidP="00042D08">
                      <w:pPr>
                        <w:jc w:val="both"/>
                        <w:rPr>
                          <w:rFonts w:cstheme="minorHAnsi"/>
                          <w:color w:val="FF0000"/>
                          <w:sz w:val="20"/>
                          <w:szCs w:val="20"/>
                          <w:lang w:val="pl-PL"/>
                        </w:rPr>
                      </w:pPr>
                    </w:p>
                  </w:txbxContent>
                </v:textbox>
                <w10:wrap anchorx="margin"/>
              </v:shape>
            </w:pict>
          </mc:Fallback>
        </mc:AlternateContent>
      </w:r>
    </w:p>
    <w:p w14:paraId="577C276D" w14:textId="77777777" w:rsidR="00042D08" w:rsidRPr="00733091" w:rsidRDefault="00042D08" w:rsidP="00733091">
      <w:pPr>
        <w:rPr>
          <w:rFonts w:eastAsia="Times New Roman" w:cstheme="minorHAnsi"/>
          <w:lang w:val="pl-PL" w:eastAsia="pl-PL"/>
        </w:rPr>
      </w:pPr>
    </w:p>
    <w:p w14:paraId="51015BA3" w14:textId="77777777" w:rsidR="00042D08" w:rsidRPr="00733091" w:rsidRDefault="00042D08" w:rsidP="00733091">
      <w:pPr>
        <w:rPr>
          <w:rFonts w:eastAsia="Times New Roman" w:cstheme="minorHAnsi"/>
          <w:lang w:val="pl-PL" w:eastAsia="pl-PL"/>
        </w:rPr>
      </w:pPr>
    </w:p>
    <w:p w14:paraId="3C254A4A" w14:textId="77777777" w:rsidR="00042D08" w:rsidRPr="00733091" w:rsidRDefault="00042D08" w:rsidP="00733091">
      <w:pPr>
        <w:rPr>
          <w:rFonts w:eastAsia="Times New Roman" w:cstheme="minorHAnsi"/>
          <w:lang w:val="pl-PL" w:eastAsia="pl-PL"/>
        </w:rPr>
      </w:pPr>
    </w:p>
    <w:p w14:paraId="7D9FDD0F" w14:textId="77777777" w:rsidR="00042D08" w:rsidRPr="00733091" w:rsidRDefault="00042D08" w:rsidP="00733091">
      <w:pPr>
        <w:rPr>
          <w:rFonts w:eastAsia="Times New Roman" w:cstheme="minorHAnsi"/>
          <w:lang w:val="pl-PL" w:eastAsia="pl-PL"/>
        </w:rPr>
      </w:pPr>
    </w:p>
    <w:p w14:paraId="78F08307" w14:textId="36C4EF88" w:rsidR="00042D08" w:rsidRPr="0029554C" w:rsidRDefault="00042D08" w:rsidP="00733091">
      <w:pPr>
        <w:rPr>
          <w:rFonts w:eastAsia="Times New Roman" w:cstheme="minorHAnsi"/>
          <w:lang w:val="pl-PL" w:eastAsia="pl-PL"/>
        </w:rPr>
      </w:pPr>
    </w:p>
    <w:p w14:paraId="3DDFAA0A" w14:textId="40BF87F2" w:rsidR="00042D08" w:rsidRPr="0029554C" w:rsidRDefault="00042D08" w:rsidP="00733091">
      <w:pPr>
        <w:rPr>
          <w:rFonts w:eastAsia="Times New Roman" w:cstheme="minorHAnsi"/>
          <w:lang w:val="pl-PL" w:eastAsia="pl-PL"/>
        </w:rPr>
      </w:pPr>
    </w:p>
    <w:p w14:paraId="3B32C940" w14:textId="77777777" w:rsidR="009B403E" w:rsidRPr="009B403E" w:rsidRDefault="009B403E" w:rsidP="009B403E">
      <w:pPr>
        <w:rPr>
          <w:lang w:val="pl-PL"/>
        </w:rPr>
      </w:pPr>
    </w:p>
    <w:p w14:paraId="700C5DDB" w14:textId="77777777" w:rsidR="00745CDB" w:rsidRDefault="00745CDB" w:rsidP="00733091">
      <w:pPr>
        <w:pStyle w:val="Nagwek5"/>
        <w:spacing w:before="120" w:after="240"/>
        <w:rPr>
          <w:rFonts w:asciiTheme="minorHAnsi" w:hAnsiTheme="minorHAnsi" w:cstheme="minorHAnsi"/>
          <w:b/>
          <w:bCs/>
          <w:lang w:val="pl-PL"/>
        </w:rPr>
      </w:pPr>
    </w:p>
    <w:p w14:paraId="18876032" w14:textId="571231C6" w:rsidR="00120B4A" w:rsidRPr="00745CDB" w:rsidRDefault="00120B4A" w:rsidP="00733091">
      <w:pPr>
        <w:pStyle w:val="Nagwek5"/>
        <w:spacing w:before="120" w:after="240"/>
        <w:rPr>
          <w:rFonts w:asciiTheme="minorHAnsi" w:hAnsiTheme="minorHAnsi" w:cstheme="minorHAnsi"/>
          <w:b/>
          <w:bCs/>
          <w:lang w:val="pl-PL"/>
        </w:rPr>
      </w:pPr>
      <w:r w:rsidRPr="00745CDB">
        <w:rPr>
          <w:rFonts w:asciiTheme="minorHAnsi" w:hAnsiTheme="minorHAnsi" w:cstheme="minorHAnsi"/>
          <w:b/>
          <w:bCs/>
          <w:lang w:val="pl-PL"/>
        </w:rPr>
        <w:t xml:space="preserve">Usługi importowane spoza Partnerstwa </w:t>
      </w:r>
    </w:p>
    <w:p w14:paraId="56060462" w14:textId="3D2E0281" w:rsidR="00A37D95" w:rsidRPr="00733091" w:rsidRDefault="00A37D95" w:rsidP="0029554C">
      <w:pPr>
        <w:rPr>
          <w:rFonts w:eastAsia="Times New Roman" w:cstheme="minorHAnsi"/>
          <w:lang w:val="pl-PL" w:eastAsia="pl-PL"/>
        </w:rPr>
      </w:pPr>
      <w:r w:rsidRPr="00733091">
        <w:rPr>
          <w:rFonts w:eastAsia="Times New Roman" w:cstheme="minorHAnsi"/>
          <w:lang w:val="pl-PL" w:eastAsia="pl-PL"/>
        </w:rPr>
        <w:t xml:space="preserve">Kwalifikacja usług do tej kategorii oznacza, że usługi nie są dostępne na obszarze Partnerstwa (co powoduje konieczność korzystania z nich przez mieszkańców poza obszarem Partnerstwa), lub jeśli są dostępne to mieszkańcy obszaru Partnerstwa korzystają z nich w niewielkim stopniu. Jednocześnie mieszkańcy spoza obszaru Partnerstwa nie korzystają z danego typu usług na obszarze Partnerstwa. Istnienie tego typu usług na terenie Partnerstwa skutkuje tworzeniem się </w:t>
      </w:r>
      <w:r w:rsidRPr="00733091">
        <w:rPr>
          <w:rFonts w:eastAsia="Times New Roman" w:cstheme="minorHAnsi"/>
          <w:b/>
          <w:bCs/>
          <w:lang w:val="pl-PL" w:eastAsia="pl-PL"/>
        </w:rPr>
        <w:t>powiązań funkcjonalnych</w:t>
      </w:r>
      <w:r w:rsidRPr="00733091">
        <w:rPr>
          <w:rFonts w:eastAsia="Times New Roman" w:cstheme="minorHAnsi"/>
          <w:lang w:val="pl-PL" w:eastAsia="pl-PL"/>
        </w:rPr>
        <w:t xml:space="preserve"> </w:t>
      </w:r>
      <w:r w:rsidRPr="00733091">
        <w:rPr>
          <w:rFonts w:eastAsia="Times New Roman" w:cstheme="minorHAnsi"/>
          <w:b/>
          <w:bCs/>
          <w:lang w:val="pl-PL" w:eastAsia="pl-PL"/>
        </w:rPr>
        <w:t>z ośrodkami spoza obszaru Partnerstwa.</w:t>
      </w:r>
    </w:p>
    <w:p w14:paraId="3FE31438" w14:textId="5FC37FD9" w:rsidR="00A37D95" w:rsidRPr="00733091" w:rsidRDefault="00A37D95" w:rsidP="00733091">
      <w:pPr>
        <w:rPr>
          <w:rFonts w:eastAsia="Times New Roman" w:cstheme="minorHAnsi"/>
          <w:lang w:val="pl-PL" w:eastAsia="pl-PL"/>
        </w:rPr>
      </w:pPr>
      <w:r w:rsidRPr="00733091">
        <w:rPr>
          <w:rFonts w:eastAsia="Times New Roman" w:cstheme="minorHAnsi"/>
          <w:lang w:val="pl-PL" w:eastAsia="pl-PL"/>
        </w:rPr>
        <w:lastRenderedPageBreak/>
        <w:t xml:space="preserve">Do usług </w:t>
      </w:r>
      <w:r w:rsidR="00C377D8">
        <w:rPr>
          <w:rFonts w:eastAsia="Times New Roman" w:cstheme="minorHAnsi"/>
          <w:lang w:val="pl-PL" w:eastAsia="pl-PL"/>
        </w:rPr>
        <w:t>importowanych spoza Partnerstwa</w:t>
      </w:r>
      <w:r w:rsidRPr="00733091">
        <w:rPr>
          <w:rFonts w:eastAsia="Times New Roman" w:cstheme="minorHAnsi"/>
          <w:lang w:val="pl-PL" w:eastAsia="pl-PL"/>
        </w:rPr>
        <w:t xml:space="preserve"> należą:</w:t>
      </w:r>
    </w:p>
    <w:p w14:paraId="058B8269" w14:textId="1D877ABB" w:rsidR="00A37D95" w:rsidRPr="00733091" w:rsidRDefault="00A37D95" w:rsidP="00B063F0">
      <w:pPr>
        <w:pStyle w:val="Akapitzlist"/>
        <w:numPr>
          <w:ilvl w:val="0"/>
          <w:numId w:val="13"/>
        </w:numPr>
        <w:ind w:left="1276" w:hanging="426"/>
        <w:rPr>
          <w:rFonts w:eastAsia="Times New Roman" w:cstheme="minorHAnsi"/>
          <w:lang w:val="pl-PL" w:eastAsia="pl-PL"/>
        </w:rPr>
      </w:pPr>
      <w:r w:rsidRPr="00733091">
        <w:rPr>
          <w:rFonts w:eastAsia="Times New Roman" w:cstheme="minorHAnsi"/>
          <w:lang w:val="pl-PL" w:eastAsia="pl-PL"/>
        </w:rPr>
        <w:t>usługi edukacyjne w zakresie szkolnictwa wyższego</w:t>
      </w:r>
      <w:r w:rsidR="00C377D8">
        <w:rPr>
          <w:rFonts w:eastAsia="Times New Roman" w:cstheme="minorHAnsi"/>
          <w:lang w:val="pl-PL" w:eastAsia="pl-PL"/>
        </w:rPr>
        <w:t>,</w:t>
      </w:r>
    </w:p>
    <w:p w14:paraId="065EB474" w14:textId="46B4B4C3" w:rsidR="00A37D95" w:rsidRDefault="00A37D95" w:rsidP="00B063F0">
      <w:pPr>
        <w:pStyle w:val="Akapitzlist"/>
        <w:numPr>
          <w:ilvl w:val="0"/>
          <w:numId w:val="13"/>
        </w:numPr>
        <w:ind w:left="1276" w:hanging="426"/>
        <w:rPr>
          <w:rFonts w:eastAsia="Times New Roman" w:cstheme="minorHAnsi"/>
          <w:lang w:val="pl-PL" w:eastAsia="pl-PL"/>
        </w:rPr>
      </w:pPr>
      <w:r w:rsidRPr="00733091">
        <w:rPr>
          <w:rFonts w:eastAsia="Times New Roman" w:cstheme="minorHAnsi"/>
          <w:lang w:val="pl-PL" w:eastAsia="pl-PL"/>
        </w:rPr>
        <w:t>usług</w:t>
      </w:r>
      <w:r w:rsidR="00C377D8">
        <w:rPr>
          <w:rFonts w:eastAsia="Times New Roman" w:cstheme="minorHAnsi"/>
          <w:lang w:val="pl-PL" w:eastAsia="pl-PL"/>
        </w:rPr>
        <w:t>i</w:t>
      </w:r>
      <w:r w:rsidRPr="00733091">
        <w:rPr>
          <w:rFonts w:eastAsia="Times New Roman" w:cstheme="minorHAnsi"/>
          <w:lang w:val="pl-PL" w:eastAsia="pl-PL"/>
        </w:rPr>
        <w:t xml:space="preserve"> kulturaln</w:t>
      </w:r>
      <w:r w:rsidR="00C377D8">
        <w:rPr>
          <w:rFonts w:eastAsia="Times New Roman" w:cstheme="minorHAnsi"/>
          <w:lang w:val="pl-PL" w:eastAsia="pl-PL"/>
        </w:rPr>
        <w:t>e</w:t>
      </w:r>
      <w:r w:rsidRPr="00733091">
        <w:rPr>
          <w:rFonts w:eastAsia="Times New Roman" w:cstheme="minorHAnsi"/>
          <w:lang w:val="pl-PL" w:eastAsia="pl-PL"/>
        </w:rPr>
        <w:t xml:space="preserve"> – kultura wysoka (np. teatr, koncerty, wystawy).</w:t>
      </w:r>
    </w:p>
    <w:p w14:paraId="3D39B1DE" w14:textId="77777777" w:rsidR="009B403E" w:rsidRPr="009B403E" w:rsidRDefault="009B403E" w:rsidP="009B403E">
      <w:pPr>
        <w:pStyle w:val="Akapitzlist"/>
        <w:numPr>
          <w:ilvl w:val="0"/>
          <w:numId w:val="0"/>
        </w:numPr>
        <w:ind w:left="1276"/>
        <w:rPr>
          <w:rFonts w:eastAsia="Times New Roman" w:cstheme="minorHAnsi"/>
          <w:lang w:val="pl-PL" w:eastAsia="pl-PL"/>
        </w:rPr>
      </w:pPr>
    </w:p>
    <w:p w14:paraId="7A3D6F20" w14:textId="77777777" w:rsidR="00A37D95" w:rsidRPr="00733091" w:rsidRDefault="00A37D95" w:rsidP="00733091">
      <w:pPr>
        <w:rPr>
          <w:rFonts w:eastAsia="Times New Roman" w:cstheme="minorHAnsi"/>
          <w:lang w:val="pl-PL" w:eastAsia="pl-PL"/>
        </w:rPr>
      </w:pPr>
      <w:r w:rsidRPr="00733091">
        <w:rPr>
          <w:rFonts w:eastAsia="Times New Roman" w:cstheme="minorHAnsi"/>
          <w:b/>
          <w:bCs/>
          <w:lang w:val="pl-PL" w:eastAsia="pl-PL"/>
        </w:rPr>
        <w:t>Usługi edukacyjne w zakresie szkolnictwa wyższego</w:t>
      </w:r>
    </w:p>
    <w:p w14:paraId="3742C763" w14:textId="717C075C" w:rsidR="00A37D95" w:rsidRPr="00733091" w:rsidRDefault="00A37D95" w:rsidP="009B403E">
      <w:pPr>
        <w:rPr>
          <w:rFonts w:eastAsia="Times New Roman" w:cstheme="minorHAnsi"/>
          <w:lang w:val="pl-PL" w:eastAsia="pl-PL"/>
        </w:rPr>
      </w:pPr>
      <w:r w:rsidRPr="00733091">
        <w:rPr>
          <w:rFonts w:eastAsia="Times New Roman" w:cstheme="minorHAnsi"/>
          <w:lang w:val="pl-PL" w:eastAsia="pl-PL"/>
        </w:rPr>
        <w:t xml:space="preserve">Mieszkańcy Południowych Mazur korzystają z usług edukacyjnych w zakresie szkolnictwa wyższego głównie poza Partnerstwem, w ośrodkach akademickich: Olsztynie, Gdańsku, Warszawie i Białymstoku. Mieszkańcy obszaru korzystają też w niewielkim stopniu z usług edukacyjnych świadczonych przez uczelnie wyższe zlokalizowane na terenie Partnerstwa: w Szczytnie (Wyższa Szkoła Policji w Szczytnie – z usług tej szkoły korzystają także mieszkańcy ośrodków spoza Partnerstwa) </w:t>
      </w:r>
      <w:r w:rsidRPr="00733091">
        <w:rPr>
          <w:rFonts w:eastAsia="Times New Roman" w:cstheme="minorHAnsi"/>
          <w:lang w:val="pl-PL" w:eastAsia="pl-PL"/>
        </w:rPr>
        <w:br/>
        <w:t>i w Działdowie (</w:t>
      </w:r>
      <w:r w:rsidRPr="00733091">
        <w:rPr>
          <w:rFonts w:ascii="Calibri" w:hAnsi="Calibri" w:cs="Calibri"/>
          <w:color w:val="201F1E"/>
          <w:shd w:val="clear" w:color="auto" w:fill="FFFFFF"/>
          <w:lang w:val="pl-PL"/>
        </w:rPr>
        <w:t>Wyższa Szkoła Gospodarcza w Bydgoszczy -filia w Działdowie</w:t>
      </w:r>
      <w:r w:rsidRPr="00733091">
        <w:rPr>
          <w:rFonts w:eastAsia="Times New Roman" w:cstheme="minorHAnsi"/>
          <w:lang w:val="pl-PL" w:eastAsia="pl-PL"/>
        </w:rPr>
        <w:t>).</w:t>
      </w:r>
    </w:p>
    <w:p w14:paraId="17E7EF0B" w14:textId="38117AB5" w:rsidR="00A37D95" w:rsidRPr="00733091" w:rsidRDefault="00B703D2" w:rsidP="002E24A9">
      <w:pPr>
        <w:pStyle w:val="Legenda"/>
        <w:rPr>
          <w:rFonts w:eastAsia="Times New Roman" w:cstheme="minorHAnsi"/>
          <w:lang w:val="pl-PL" w:eastAsia="pl-PL"/>
        </w:rPr>
      </w:pPr>
      <w:bookmarkStart w:id="21" w:name="_Toc69723162"/>
      <w:r w:rsidRPr="00733091">
        <w:rPr>
          <w:lang w:val="pl-PL"/>
        </w:rPr>
        <w:t xml:space="preserve">Wykres </w:t>
      </w:r>
      <w:r w:rsidR="00733091">
        <w:fldChar w:fldCharType="begin"/>
      </w:r>
      <w:r w:rsidR="00733091" w:rsidRPr="00733091">
        <w:rPr>
          <w:lang w:val="pl-PL"/>
        </w:rPr>
        <w:instrText xml:space="preserve"> SEQ Wykres \* ARABIC </w:instrText>
      </w:r>
      <w:r w:rsidR="00733091">
        <w:fldChar w:fldCharType="separate"/>
      </w:r>
      <w:r w:rsidR="00B14787">
        <w:rPr>
          <w:noProof/>
          <w:lang w:val="pl-PL"/>
        </w:rPr>
        <w:t>4</w:t>
      </w:r>
      <w:r w:rsidR="00733091">
        <w:rPr>
          <w:noProof/>
        </w:rPr>
        <w:fldChar w:fldCharType="end"/>
      </w:r>
      <w:r w:rsidRPr="00733091">
        <w:rPr>
          <w:lang w:val="pl-PL"/>
        </w:rPr>
        <w:t xml:space="preserve">: </w:t>
      </w:r>
      <w:r w:rsidR="00A37D95" w:rsidRPr="00733091">
        <w:rPr>
          <w:lang w:val="pl-PL"/>
        </w:rPr>
        <w:t>Bilans usług – usługi edukacyjne w zakresie szkolnictwa wyższego</w:t>
      </w:r>
      <w:bookmarkEnd w:id="21"/>
    </w:p>
    <w:p w14:paraId="37CA36D0" w14:textId="77777777" w:rsidR="00A37D95" w:rsidRDefault="00A37D95" w:rsidP="006E6ABC">
      <w:pPr>
        <w:ind w:left="0" w:right="-2"/>
        <w:rPr>
          <w:rFonts w:eastAsia="Times New Roman" w:cstheme="minorHAnsi"/>
          <w:lang w:eastAsia="pl-PL"/>
        </w:rPr>
      </w:pPr>
      <w:r>
        <w:rPr>
          <w:noProof/>
        </w:rPr>
        <w:drawing>
          <wp:inline distT="0" distB="0" distL="0" distR="0" wp14:anchorId="33079741" wp14:editId="6A426C68">
            <wp:extent cx="5768340" cy="2830665"/>
            <wp:effectExtent l="0" t="0" r="3810" b="8255"/>
            <wp:docPr id="30" name="Wykres 30" descr="wykres radialny dotyczący bilansu usług edukacyjnych w zakresie szkolnictwa wyższego z zaznaczonym kolorem niebieskim exportem usługi, a czerwonym – importem usługi">
              <a:extLst xmlns:a="http://schemas.openxmlformats.org/drawingml/2006/main">
                <a:ext uri="{FF2B5EF4-FFF2-40B4-BE49-F238E27FC236}">
                  <a16:creationId xmlns:a16="http://schemas.microsoft.com/office/drawing/2014/main" id="{08F63C61-2AC0-433C-B48F-3FB2FB65288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0C394CFE" w14:textId="51E0F315" w:rsidR="009B403E" w:rsidRDefault="00A37D95" w:rsidP="00745CDB">
      <w:pPr>
        <w:pStyle w:val="podpiselementu"/>
        <w:spacing w:after="240"/>
        <w:rPr>
          <w:lang w:val="pl-PL" w:eastAsia="pl-PL"/>
        </w:rPr>
      </w:pPr>
      <w:r w:rsidRPr="00733091">
        <w:rPr>
          <w:lang w:val="pl-PL" w:eastAsia="pl-PL"/>
        </w:rPr>
        <w:t>Źródło: opracowanie ZMP na podstawie badania członków Partnerstwa</w:t>
      </w:r>
    </w:p>
    <w:p w14:paraId="3DDA4100" w14:textId="77777777" w:rsidR="00745CDB" w:rsidRPr="00745CDB" w:rsidRDefault="00745CDB" w:rsidP="00745CDB">
      <w:pPr>
        <w:rPr>
          <w:lang w:val="pl-PL" w:eastAsia="pl-PL"/>
        </w:rPr>
      </w:pPr>
    </w:p>
    <w:p w14:paraId="3A9B6568" w14:textId="513DAE22" w:rsidR="00A37D95" w:rsidRPr="00733091" w:rsidRDefault="00A37D95" w:rsidP="00733091">
      <w:pPr>
        <w:rPr>
          <w:rFonts w:eastAsia="Times New Roman" w:cstheme="minorHAnsi"/>
          <w:b/>
          <w:bCs/>
          <w:lang w:val="pl-PL" w:eastAsia="pl-PL"/>
        </w:rPr>
      </w:pPr>
      <w:r w:rsidRPr="00733091">
        <w:rPr>
          <w:rFonts w:eastAsia="Times New Roman" w:cstheme="minorHAnsi"/>
          <w:b/>
          <w:bCs/>
          <w:lang w:val="pl-PL" w:eastAsia="pl-PL"/>
        </w:rPr>
        <w:t xml:space="preserve">Usługi kulturalne w zakresie kultury wysokiej </w:t>
      </w:r>
      <w:bookmarkStart w:id="22" w:name="_Toc65412712"/>
      <w:bookmarkStart w:id="23" w:name="_Toc65428702"/>
      <w:r w:rsidRPr="00733091">
        <w:rPr>
          <w:rFonts w:eastAsia="Times New Roman" w:cstheme="minorHAnsi"/>
          <w:b/>
          <w:bCs/>
          <w:lang w:val="pl-PL" w:eastAsia="pl-PL"/>
        </w:rPr>
        <w:t>(teatr, muzea, koncerty)</w:t>
      </w:r>
    </w:p>
    <w:p w14:paraId="42C3253F" w14:textId="5E18F77B" w:rsidR="00A37D95" w:rsidRPr="0029554C" w:rsidRDefault="00A37D95" w:rsidP="0029554C">
      <w:pPr>
        <w:rPr>
          <w:rFonts w:cstheme="minorHAnsi"/>
          <w:lang w:val="pl-PL"/>
        </w:rPr>
      </w:pPr>
      <w:r w:rsidRPr="00733091">
        <w:rPr>
          <w:rFonts w:eastAsia="Times New Roman" w:cstheme="minorHAnsi"/>
          <w:lang w:val="pl-PL" w:eastAsia="pl-PL"/>
        </w:rPr>
        <w:t xml:space="preserve">Mieszkańcy obszaru Partnerstwa biorą udział w wydarzeniach z zakresu kultury wysokiej w ośrodkach, w których są organizowane, zarówno na obszarze Partnerstwa (Działdowo, Szczytno, Pisz), jak i poza nim.  Najczęściej mieszkańcy Południowych Mazur korzystają z oferty kulturalnej miast położonych poza Partnerstwem: w </w:t>
      </w:r>
      <w:r w:rsidRPr="00733091">
        <w:rPr>
          <w:rFonts w:eastAsia="Times New Roman" w:cstheme="minorHAnsi"/>
          <w:b/>
          <w:bCs/>
          <w:lang w:val="pl-PL" w:eastAsia="pl-PL"/>
        </w:rPr>
        <w:t>Olsztynie</w:t>
      </w:r>
      <w:r w:rsidRPr="00733091">
        <w:rPr>
          <w:rFonts w:eastAsia="Times New Roman" w:cstheme="minorHAnsi"/>
          <w:lang w:val="pl-PL" w:eastAsia="pl-PL"/>
        </w:rPr>
        <w:t xml:space="preserve"> (oferta</w:t>
      </w:r>
      <w:r w:rsidRPr="00733091">
        <w:rPr>
          <w:rFonts w:cstheme="minorHAnsi"/>
          <w:lang w:val="pl-PL"/>
        </w:rPr>
        <w:t xml:space="preserve"> </w:t>
      </w:r>
      <w:hyperlink r:id="rId41" w:history="1">
        <w:r w:rsidRPr="00C377D8">
          <w:rPr>
            <w:rStyle w:val="Hipercze"/>
            <w:rFonts w:cstheme="minorHAnsi"/>
            <w:color w:val="auto"/>
            <w:u w:val="none"/>
            <w:lang w:val="pl-PL"/>
          </w:rPr>
          <w:t>Filharmonii Warmińsko-Mazurskiej,</w:t>
        </w:r>
      </w:hyperlink>
      <w:r w:rsidRPr="00C377D8">
        <w:rPr>
          <w:rFonts w:cstheme="minorHAnsi"/>
          <w:lang w:val="pl-PL"/>
        </w:rPr>
        <w:t xml:space="preserve"> oferta </w:t>
      </w:r>
      <w:r w:rsidRPr="00733091">
        <w:rPr>
          <w:rFonts w:cstheme="minorHAnsi"/>
          <w:lang w:val="pl-PL"/>
        </w:rPr>
        <w:lastRenderedPageBreak/>
        <w:t>Teatru im. Stefana Jaracza w Olsztynie, oferty muzeów i ośrodków organizujących wystawy)</w:t>
      </w:r>
      <w:bookmarkEnd w:id="22"/>
      <w:bookmarkEnd w:id="23"/>
      <w:r w:rsidRPr="00733091">
        <w:rPr>
          <w:rFonts w:cstheme="minorHAnsi"/>
          <w:lang w:val="pl-PL"/>
        </w:rPr>
        <w:t xml:space="preserve"> oraz </w:t>
      </w:r>
      <w:r w:rsidRPr="00733091">
        <w:rPr>
          <w:rFonts w:eastAsia="Times New Roman" w:cstheme="minorHAnsi"/>
          <w:lang w:val="pl-PL" w:eastAsia="pl-PL"/>
        </w:rPr>
        <w:t>w Warszawie lub Gdańsku.</w:t>
      </w:r>
    </w:p>
    <w:p w14:paraId="5378CB9C" w14:textId="680B44E7" w:rsidR="00A37D95" w:rsidRPr="00733091" w:rsidRDefault="00B703D2" w:rsidP="002E24A9">
      <w:pPr>
        <w:pStyle w:val="Legenda"/>
        <w:rPr>
          <w:rFonts w:cstheme="minorHAnsi"/>
          <w:lang w:val="pl-PL"/>
        </w:rPr>
      </w:pPr>
      <w:bookmarkStart w:id="24" w:name="_Toc69723163"/>
      <w:r w:rsidRPr="00733091">
        <w:rPr>
          <w:lang w:val="pl-PL"/>
        </w:rPr>
        <w:t xml:space="preserve">Wykres </w:t>
      </w:r>
      <w:r w:rsidR="00733091">
        <w:fldChar w:fldCharType="begin"/>
      </w:r>
      <w:r w:rsidR="00733091" w:rsidRPr="00733091">
        <w:rPr>
          <w:lang w:val="pl-PL"/>
        </w:rPr>
        <w:instrText xml:space="preserve"> SEQ Wykres \* ARABIC </w:instrText>
      </w:r>
      <w:r w:rsidR="00733091">
        <w:fldChar w:fldCharType="separate"/>
      </w:r>
      <w:r w:rsidR="00B14787">
        <w:rPr>
          <w:noProof/>
          <w:lang w:val="pl-PL"/>
        </w:rPr>
        <w:t>5</w:t>
      </w:r>
      <w:r w:rsidR="00733091">
        <w:rPr>
          <w:noProof/>
        </w:rPr>
        <w:fldChar w:fldCharType="end"/>
      </w:r>
      <w:r w:rsidRPr="00733091">
        <w:rPr>
          <w:lang w:val="pl-PL"/>
        </w:rPr>
        <w:t>:</w:t>
      </w:r>
      <w:r w:rsidR="00A37D95" w:rsidRPr="00733091">
        <w:rPr>
          <w:lang w:val="pl-PL"/>
        </w:rPr>
        <w:t xml:space="preserve"> Bilans usług – kultura wysoka</w:t>
      </w:r>
      <w:bookmarkEnd w:id="24"/>
    </w:p>
    <w:p w14:paraId="77B2A137" w14:textId="538930C3" w:rsidR="00A37D95" w:rsidRPr="006E6ABC" w:rsidRDefault="00A37D95" w:rsidP="006E6ABC">
      <w:pPr>
        <w:ind w:left="0"/>
        <w:rPr>
          <w:rFonts w:ascii="Calibri Light" w:hAnsi="Calibri Light"/>
          <w:noProof/>
          <w:lang w:val="pl-PL"/>
        </w:rPr>
      </w:pPr>
      <w:r>
        <w:rPr>
          <w:noProof/>
        </w:rPr>
        <w:drawing>
          <wp:inline distT="0" distB="0" distL="0" distR="0" wp14:anchorId="1EAC9AA8" wp14:editId="5ADA08C9">
            <wp:extent cx="5654040" cy="2651760"/>
            <wp:effectExtent l="0" t="0" r="3810" b="15240"/>
            <wp:docPr id="31" name="Wykres 31" descr="wykres radialny dotyczący bilansu w zakresie kultury wysokiej z zaznaczonym kolorem niebieskim exportem usługi, a czerwonym – importem usługi">
              <a:extLst xmlns:a="http://schemas.openxmlformats.org/drawingml/2006/main">
                <a:ext uri="{FF2B5EF4-FFF2-40B4-BE49-F238E27FC236}">
                  <a16:creationId xmlns:a16="http://schemas.microsoft.com/office/drawing/2014/main" id="{21480AF8-47C3-4865-9FD6-418747FE203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r w:rsidRPr="00733091">
        <w:rPr>
          <w:lang w:val="pl-PL"/>
        </w:rPr>
        <w:br/>
      </w:r>
      <w:r w:rsidRPr="00733091">
        <w:rPr>
          <w:rStyle w:val="podpiselementuZnak"/>
          <w:lang w:val="pl-PL"/>
        </w:rPr>
        <w:t>Źródło: opracowanie ZMP na podstawie badania członków Partnerstwa</w:t>
      </w:r>
    </w:p>
    <w:p w14:paraId="1ADFC1C7" w14:textId="77777777" w:rsidR="00A37D95" w:rsidRPr="00733091" w:rsidRDefault="00A37D95" w:rsidP="00733091">
      <w:pPr>
        <w:rPr>
          <w:rFonts w:eastAsia="Times New Roman" w:cstheme="minorHAnsi"/>
          <w:color w:val="44546A" w:themeColor="text2"/>
          <w:sz w:val="18"/>
          <w:szCs w:val="18"/>
          <w:lang w:val="pl-PL" w:eastAsia="pl-PL"/>
        </w:rPr>
      </w:pPr>
      <w:r w:rsidRPr="0029203E">
        <w:rPr>
          <w:noProof/>
        </w:rPr>
        <mc:AlternateContent>
          <mc:Choice Requires="wps">
            <w:drawing>
              <wp:anchor distT="0" distB="0" distL="114300" distR="114300" simplePos="0" relativeHeight="251658249" behindDoc="0" locked="0" layoutInCell="1" allowOverlap="1" wp14:anchorId="00063AA7" wp14:editId="58BE3ADA">
                <wp:simplePos x="0" y="0"/>
                <wp:positionH relativeFrom="margin">
                  <wp:posOffset>21590</wp:posOffset>
                </wp:positionH>
                <wp:positionV relativeFrom="paragraph">
                  <wp:posOffset>115570</wp:posOffset>
                </wp:positionV>
                <wp:extent cx="5631180" cy="906780"/>
                <wp:effectExtent l="0" t="0" r="26670" b="26670"/>
                <wp:wrapNone/>
                <wp:docPr id="37" name="Pole tekstowe 37"/>
                <wp:cNvGraphicFramePr/>
                <a:graphic xmlns:a="http://schemas.openxmlformats.org/drawingml/2006/main">
                  <a:graphicData uri="http://schemas.microsoft.com/office/word/2010/wordprocessingShape">
                    <wps:wsp>
                      <wps:cNvSpPr txBox="1"/>
                      <wps:spPr>
                        <a:xfrm>
                          <a:off x="0" y="0"/>
                          <a:ext cx="5631180" cy="906780"/>
                        </a:xfrm>
                        <a:prstGeom prst="rect">
                          <a:avLst/>
                        </a:prstGeom>
                        <a:solidFill>
                          <a:schemeClr val="accent1">
                            <a:lumMod val="20000"/>
                            <a:lumOff val="80000"/>
                          </a:schemeClr>
                        </a:solidFill>
                        <a:ln w="6350">
                          <a:solidFill>
                            <a:schemeClr val="accent1"/>
                          </a:solidFill>
                        </a:ln>
                      </wps:spPr>
                      <wps:txbx>
                        <w:txbxContent>
                          <w:p w14:paraId="40AB9F23" w14:textId="77777777" w:rsidR="00B14787" w:rsidRPr="0029554C" w:rsidRDefault="00B14787" w:rsidP="0029554C">
                            <w:pPr>
                              <w:ind w:left="0"/>
                              <w:jc w:val="both"/>
                              <w:rPr>
                                <w:rFonts w:cstheme="minorHAnsi"/>
                                <w:szCs w:val="24"/>
                                <w:lang w:val="pl-PL"/>
                              </w:rPr>
                            </w:pPr>
                            <w:r w:rsidRPr="0029554C">
                              <w:rPr>
                                <w:rFonts w:cstheme="minorHAnsi"/>
                                <w:b/>
                                <w:bCs/>
                                <w:szCs w:val="24"/>
                                <w:lang w:val="pl-PL"/>
                              </w:rPr>
                              <w:t>79,90%</w:t>
                            </w:r>
                            <w:r w:rsidRPr="0029554C">
                              <w:rPr>
                                <w:rFonts w:cstheme="minorHAnsi"/>
                                <w:szCs w:val="24"/>
                                <w:lang w:val="pl-PL"/>
                              </w:rPr>
                              <w:t xml:space="preserve"> mieszkańców obszaru Partnerstwa korzystających z usług twierdzi, że realizuje swoje potrzeby związane z </w:t>
                            </w:r>
                            <w:r w:rsidRPr="0029554C">
                              <w:rPr>
                                <w:rFonts w:eastAsia="Times New Roman" w:cstheme="minorHAnsi"/>
                                <w:szCs w:val="24"/>
                                <w:lang w:val="pl-PL" w:eastAsia="pl-PL"/>
                              </w:rPr>
                              <w:t xml:space="preserve">udziałem w imprezach kultury wysokiej (teatr, wystawy) poza obszarem Partnerstwa. </w:t>
                            </w:r>
                          </w:p>
                          <w:p w14:paraId="1304D08B" w14:textId="77777777" w:rsidR="00B14787" w:rsidRPr="00733091" w:rsidRDefault="00B14787" w:rsidP="00A37D95">
                            <w:pPr>
                              <w:jc w:val="both"/>
                              <w:rPr>
                                <w:rFonts w:cstheme="minorHAnsi"/>
                                <w:sz w:val="20"/>
                                <w:szCs w:val="20"/>
                                <w:lang w:val="pl-PL"/>
                              </w:rPr>
                            </w:pPr>
                          </w:p>
                          <w:p w14:paraId="3AC11B45" w14:textId="77777777" w:rsidR="00B14787" w:rsidRPr="00733091" w:rsidRDefault="00B14787" w:rsidP="00A37D95">
                            <w:pPr>
                              <w:jc w:val="both"/>
                              <w:rPr>
                                <w:rFonts w:cstheme="minorHAnsi"/>
                                <w:color w:val="FF0000"/>
                                <w:sz w:val="20"/>
                                <w:szCs w:val="20"/>
                                <w:lang w:val="pl-P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063AA7" id="Pole tekstowe 37" o:spid="_x0000_s1029" type="#_x0000_t202" style="position:absolute;left:0;text-align:left;margin-left:1.7pt;margin-top:9.1pt;width:443.4pt;height:71.4pt;z-index:25165824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" fillcolor="#d9e2f3 [660]" strokecolor="#4472c4 [3204]" strokeweight=".5pt">
                <v:textbox>
                  <w:txbxContent>
                    <w:p w14:paraId="40AB9F23" w14:textId="77777777" w:rsidR="00B14787" w:rsidRPr="0029554C" w:rsidRDefault="00B14787" w:rsidP="0029554C">
                      <w:pPr>
                        <w:ind w:left="0"/>
                        <w:jc w:val="both"/>
                        <w:rPr>
                          <w:rFonts w:cstheme="minorHAnsi"/>
                          <w:szCs w:val="24"/>
                          <w:lang w:val="pl-PL"/>
                        </w:rPr>
                      </w:pPr>
                      <w:r w:rsidRPr="0029554C">
                        <w:rPr>
                          <w:rFonts w:cstheme="minorHAnsi"/>
                          <w:b/>
                          <w:bCs/>
                          <w:szCs w:val="24"/>
                          <w:lang w:val="pl-PL"/>
                        </w:rPr>
                        <w:t>79,90%</w:t>
                      </w:r>
                      <w:r w:rsidRPr="0029554C">
                        <w:rPr>
                          <w:rFonts w:cstheme="minorHAnsi"/>
                          <w:szCs w:val="24"/>
                          <w:lang w:val="pl-PL"/>
                        </w:rPr>
                        <w:t xml:space="preserve"> mieszkańców obszaru Partnerstwa korzystających z usług twierdzi, że realizuje swoje potrzeby związane z </w:t>
                      </w:r>
                      <w:r w:rsidRPr="0029554C">
                        <w:rPr>
                          <w:rFonts w:eastAsia="Times New Roman" w:cstheme="minorHAnsi"/>
                          <w:szCs w:val="24"/>
                          <w:lang w:val="pl-PL" w:eastAsia="pl-PL"/>
                        </w:rPr>
                        <w:t xml:space="preserve">udziałem w imprezach kultury wysokiej (teatr, wystawy) poza obszarem Partnerstwa. </w:t>
                      </w:r>
                    </w:p>
                    <w:p w14:paraId="1304D08B" w14:textId="77777777" w:rsidR="00B14787" w:rsidRPr="00733091" w:rsidRDefault="00B14787" w:rsidP="00A37D95">
                      <w:pPr>
                        <w:jc w:val="both"/>
                        <w:rPr>
                          <w:rFonts w:cstheme="minorHAnsi"/>
                          <w:sz w:val="20"/>
                          <w:szCs w:val="20"/>
                          <w:lang w:val="pl-PL"/>
                        </w:rPr>
                      </w:pPr>
                    </w:p>
                    <w:p w14:paraId="3AC11B45" w14:textId="77777777" w:rsidR="00B14787" w:rsidRPr="00733091" w:rsidRDefault="00B14787" w:rsidP="00A37D95">
                      <w:pPr>
                        <w:jc w:val="both"/>
                        <w:rPr>
                          <w:rFonts w:cstheme="minorHAnsi"/>
                          <w:color w:val="FF0000"/>
                          <w:sz w:val="20"/>
                          <w:szCs w:val="20"/>
                          <w:lang w:val="pl-PL"/>
                        </w:rPr>
                      </w:pPr>
                    </w:p>
                  </w:txbxContent>
                </v:textbox>
                <w10:wrap anchorx="margin"/>
              </v:shape>
            </w:pict>
          </mc:Fallback>
        </mc:AlternateContent>
      </w:r>
    </w:p>
    <w:p w14:paraId="1519C071" w14:textId="77777777" w:rsidR="00A37D95" w:rsidRDefault="00A37D95" w:rsidP="00733091">
      <w:pPr>
        <w:rPr>
          <w:rFonts w:cstheme="minorHAnsi"/>
          <w:color w:val="001133"/>
          <w:shd w:val="clear" w:color="auto" w:fill="FFFFFF"/>
        </w:rPr>
      </w:pPr>
      <w:r>
        <w:rPr>
          <w:rFonts w:cstheme="minorHAnsi"/>
          <w:noProof/>
          <w:color w:val="001133"/>
          <w:shd w:val="clear" w:color="auto" w:fill="FFFFFF"/>
        </w:rPr>
        <w:drawing>
          <wp:inline distT="0" distB="0" distL="0" distR="0" wp14:anchorId="75B0D242" wp14:editId="1B7F20CA">
            <wp:extent cx="365760" cy="365760"/>
            <wp:effectExtent l="0" t="0" r="0" b="0"/>
            <wp:docPr id="35" name="Grafika 35" descr="Lista kontrolna (od prawej do lew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a 14" descr="Lista kontrolna (od prawej do lewej)"/>
                    <pic:cNvPicPr/>
                  </pic:nvPicPr>
                  <pic:blipFill>
                    <a:blip r:embed="rId35" cstate="print">
                      <a:extLst>
                        <a:ext uri="{28A0092B-C50C-407E-A947-70E740481C1C}">
                          <a14:useLocalDpi xmlns:a14="http://schemas.microsoft.com/office/drawing/2010/main" val="0"/>
                        </a:ext>
                        <a:ext uri="{96DAC541-7B7A-43D3-8B79-37D633B846F1}">
                          <asvg:svgBlip xmlns:asvg="http://schemas.microsoft.com/office/drawing/2016/SVG/main" r:embed="rId36"/>
                        </a:ext>
                      </a:extLst>
                    </a:blip>
                    <a:stretch>
                      <a:fillRect/>
                    </a:stretch>
                  </pic:blipFill>
                  <pic:spPr>
                    <a:xfrm>
                      <a:off x="0" y="0"/>
                      <a:ext cx="365760" cy="365760"/>
                    </a:xfrm>
                    <a:prstGeom prst="rect">
                      <a:avLst/>
                    </a:prstGeom>
                  </pic:spPr>
                </pic:pic>
              </a:graphicData>
            </a:graphic>
          </wp:inline>
        </w:drawing>
      </w:r>
      <w:r>
        <w:rPr>
          <w:rFonts w:cstheme="minorHAnsi"/>
          <w:color w:val="001133"/>
          <w:shd w:val="clear" w:color="auto" w:fill="FFFFFF"/>
        </w:rPr>
        <w:br/>
      </w:r>
    </w:p>
    <w:p w14:paraId="05B04714" w14:textId="77777777" w:rsidR="00745CDB" w:rsidRPr="00091BAE" w:rsidRDefault="00745CDB" w:rsidP="0029554C">
      <w:pPr>
        <w:ind w:left="0"/>
        <w:rPr>
          <w:noProof/>
          <w:lang w:val="pl-PL"/>
        </w:rPr>
      </w:pPr>
    </w:p>
    <w:p w14:paraId="62703AD0" w14:textId="71D23760" w:rsidR="009D2F5C" w:rsidRPr="00690E7F" w:rsidRDefault="00605A56" w:rsidP="00733091">
      <w:pPr>
        <w:pStyle w:val="Nagwek4"/>
        <w:spacing w:before="120" w:after="240"/>
      </w:pPr>
      <w:r w:rsidRPr="00605A56">
        <w:t>Identyfikowanie powiązań funkcjonalnych na podstawie przepływów związanych z podejmowaniem zatrudnienia</w:t>
      </w:r>
      <w:r w:rsidR="00D37D37" w:rsidRPr="00690E7F">
        <w:t xml:space="preserve"> </w:t>
      </w:r>
      <w:r w:rsidR="006E6DDE">
        <w:t>przez mieszkańców</w:t>
      </w:r>
    </w:p>
    <w:p w14:paraId="2E0E3724" w14:textId="52DED875" w:rsidR="00A37D95" w:rsidRPr="00733091" w:rsidRDefault="00A37D95" w:rsidP="006E6ABC">
      <w:pPr>
        <w:rPr>
          <w:lang w:val="pl-PL" w:eastAsia="pl-PL"/>
        </w:rPr>
      </w:pPr>
      <w:r w:rsidRPr="00733091">
        <w:rPr>
          <w:lang w:val="pl-PL" w:eastAsia="pl-PL"/>
        </w:rPr>
        <w:t xml:space="preserve">Z analizy przepływów wynika, że mieszkańcy obszaru Partnerstwa podejmują pracę w gminie, w której mieszkają lub w innej gminie na obszarze Partnerstwa, głównie </w:t>
      </w:r>
      <w:r w:rsidR="0029554C">
        <w:rPr>
          <w:lang w:val="pl-PL" w:eastAsia="pl-PL"/>
        </w:rPr>
        <w:br/>
      </w:r>
      <w:r w:rsidRPr="00733091">
        <w:rPr>
          <w:lang w:val="pl-PL" w:eastAsia="pl-PL"/>
        </w:rPr>
        <w:t>w Szczytnie, Działdowie (usługi rynkowe, usługi administracyjne) i w znacznie mniejszym stopniu w Piszu.</w:t>
      </w:r>
      <w:r w:rsidR="006E6ABC">
        <w:rPr>
          <w:lang w:val="pl-PL" w:eastAsia="pl-PL"/>
        </w:rPr>
        <w:t xml:space="preserve"> </w:t>
      </w:r>
      <w:r w:rsidRPr="00733091">
        <w:rPr>
          <w:lang w:val="pl-PL" w:eastAsia="pl-PL"/>
        </w:rPr>
        <w:t>Mieszkańcy obszaru Partnerstwa podejmują również pracę poza obszarem Partnerstwa (Olsztyn, Warszawa, Trójmiasto); jednakże liczba osób, które wyjeżdżają poza obszar Partnerstwa w celu podjęcia zatrudnienia jest niewielka i porównywalna do liczby osób, która przyjeżdżają na obszar Partnerstwa w tym celu.</w:t>
      </w:r>
    </w:p>
    <w:p w14:paraId="554D4F1D" w14:textId="1B792B55" w:rsidR="00A37D95" w:rsidRPr="00733091" w:rsidRDefault="007D776B" w:rsidP="002E24A9">
      <w:pPr>
        <w:pStyle w:val="Legenda"/>
        <w:rPr>
          <w:lang w:val="pl-PL"/>
        </w:rPr>
      </w:pPr>
      <w:bookmarkStart w:id="25" w:name="_Toc69723164"/>
      <w:r w:rsidRPr="00733091">
        <w:rPr>
          <w:lang w:val="pl-PL"/>
        </w:rPr>
        <w:lastRenderedPageBreak/>
        <w:t xml:space="preserve">Wykres </w:t>
      </w:r>
      <w:r w:rsidR="00733091">
        <w:fldChar w:fldCharType="begin"/>
      </w:r>
      <w:r w:rsidR="00733091" w:rsidRPr="00733091">
        <w:rPr>
          <w:lang w:val="pl-PL"/>
        </w:rPr>
        <w:instrText xml:space="preserve"> SEQ Wykres \* ARABIC </w:instrText>
      </w:r>
      <w:r w:rsidR="00733091">
        <w:fldChar w:fldCharType="separate"/>
      </w:r>
      <w:r w:rsidR="00B14787">
        <w:rPr>
          <w:noProof/>
          <w:lang w:val="pl-PL"/>
        </w:rPr>
        <w:t>6</w:t>
      </w:r>
      <w:r w:rsidR="00733091">
        <w:rPr>
          <w:noProof/>
        </w:rPr>
        <w:fldChar w:fldCharType="end"/>
      </w:r>
      <w:r w:rsidRPr="00733091">
        <w:rPr>
          <w:lang w:val="pl-PL"/>
        </w:rPr>
        <w:t xml:space="preserve">: </w:t>
      </w:r>
      <w:r w:rsidR="00A37D95" w:rsidRPr="00733091">
        <w:rPr>
          <w:lang w:val="pl-PL"/>
        </w:rPr>
        <w:t>Bilans zatrudnienia</w:t>
      </w:r>
      <w:bookmarkEnd w:id="25"/>
    </w:p>
    <w:p w14:paraId="5394EBA0" w14:textId="7662408D" w:rsidR="00A37D95" w:rsidRPr="006E6ABC" w:rsidRDefault="00A37D95" w:rsidP="006E6ABC">
      <w:pPr>
        <w:ind w:left="0"/>
        <w:rPr>
          <w:rFonts w:eastAsia="Times New Roman" w:cstheme="minorHAnsi"/>
          <w:color w:val="44546A" w:themeColor="text2"/>
          <w:sz w:val="18"/>
          <w:szCs w:val="18"/>
          <w:lang w:val="pl-PL" w:eastAsia="pl-PL"/>
        </w:rPr>
      </w:pPr>
      <w:r>
        <w:rPr>
          <w:noProof/>
        </w:rPr>
        <w:drawing>
          <wp:inline distT="0" distB="0" distL="0" distR="0" wp14:anchorId="02E25E8C" wp14:editId="0F514F35">
            <wp:extent cx="5730240" cy="2781300"/>
            <wp:effectExtent l="0" t="0" r="3810" b="0"/>
            <wp:docPr id="65" name="Wykres 65" descr="wykres radialny dotyczący bilansu zatrudnienia z zaznaczonym kolorem niebieskim exportem zatrudnienia, a czerwonym – importem zatrudnienia">
              <a:extLst xmlns:a="http://schemas.openxmlformats.org/drawingml/2006/main">
                <a:ext uri="{FF2B5EF4-FFF2-40B4-BE49-F238E27FC236}">
                  <a16:creationId xmlns:a16="http://schemas.microsoft.com/office/drawing/2014/main" id="{5E7366FD-EAE7-4BCA-813C-A6392ABABE5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r w:rsidRPr="00733091">
        <w:rPr>
          <w:lang w:val="pl-PL"/>
        </w:rPr>
        <w:br/>
      </w:r>
      <w:r w:rsidRPr="00733091">
        <w:rPr>
          <w:rStyle w:val="podpiselementuZnak"/>
          <w:lang w:val="pl-PL"/>
        </w:rPr>
        <w:t>Źródło: opracowanie ZMP na podstawie badania członków Partnerstwa</w:t>
      </w:r>
    </w:p>
    <w:p w14:paraId="608AC4EF" w14:textId="73114C2C" w:rsidR="0051246A" w:rsidRPr="00733091" w:rsidRDefault="0051246A" w:rsidP="002E24A9">
      <w:pPr>
        <w:pStyle w:val="Legenda"/>
        <w:rPr>
          <w:lang w:val="pl-PL"/>
        </w:rPr>
      </w:pPr>
      <w:bookmarkStart w:id="26" w:name="_Toc69596604"/>
      <w:r w:rsidRPr="00733091">
        <w:rPr>
          <w:lang w:val="pl-PL"/>
        </w:rPr>
        <w:t xml:space="preserve">Mapa </w:t>
      </w:r>
      <w:r w:rsidR="00733091">
        <w:fldChar w:fldCharType="begin"/>
      </w:r>
      <w:r w:rsidR="00733091" w:rsidRPr="00733091">
        <w:rPr>
          <w:lang w:val="pl-PL"/>
        </w:rPr>
        <w:instrText xml:space="preserve"> SEQ Mapa \* ARABIC </w:instrText>
      </w:r>
      <w:r w:rsidR="00733091">
        <w:fldChar w:fldCharType="separate"/>
      </w:r>
      <w:r w:rsidR="00B14787">
        <w:rPr>
          <w:noProof/>
          <w:lang w:val="pl-PL"/>
        </w:rPr>
        <w:t>4</w:t>
      </w:r>
      <w:r w:rsidR="00733091">
        <w:rPr>
          <w:noProof/>
        </w:rPr>
        <w:fldChar w:fldCharType="end"/>
      </w:r>
      <w:r w:rsidRPr="00733091">
        <w:rPr>
          <w:lang w:val="pl-PL"/>
        </w:rPr>
        <w:t>: Bilans zatrudnienia</w:t>
      </w:r>
      <w:bookmarkEnd w:id="26"/>
    </w:p>
    <w:p w14:paraId="2275CC6B" w14:textId="5C0BFE57" w:rsidR="00A37D95" w:rsidRDefault="00A37D95" w:rsidP="0029554C">
      <w:pPr>
        <w:ind w:left="0"/>
        <w:rPr>
          <w:rStyle w:val="podpiselementuZnak"/>
          <w:lang w:val="pl-PL"/>
        </w:rPr>
      </w:pPr>
      <w:r>
        <w:rPr>
          <w:noProof/>
        </w:rPr>
        <w:drawing>
          <wp:inline distT="0" distB="0" distL="0" distR="0" wp14:anchorId="78F5D3D0" wp14:editId="1089BE73">
            <wp:extent cx="4937234" cy="4393923"/>
            <wp:effectExtent l="19050" t="19050" r="15875" b="26035"/>
            <wp:docPr id="84" name="Obraz 84" descr=" mapa dotycząca bilansu zatrudnienia z zaznaczonymi kolorem gminami z uwagi na bilans zatrudnienia – gdzie kolor czerwony oznacza dodatni bilans zatrudnienia, a niebieski – ujemny bilans zatrudnie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Obraz 84" descr=" mapa dotycząca bilansu zatrudnienia z zaznaczonymi kolorem gminami z uwagi na bilans zatrudnienia – gdzie kolor czerwony oznacza dodatni bilans zatrudnienia, a niebieski – ujemny bilans zatrudnienia"/>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005598" cy="4454764"/>
                    </a:xfrm>
                    <a:prstGeom prst="rect">
                      <a:avLst/>
                    </a:prstGeom>
                    <a:noFill/>
                    <a:ln>
                      <a:solidFill>
                        <a:schemeClr val="tx2"/>
                      </a:solidFill>
                    </a:ln>
                  </pic:spPr>
                </pic:pic>
              </a:graphicData>
            </a:graphic>
          </wp:inline>
        </w:drawing>
      </w:r>
      <w:r w:rsidRPr="00733091">
        <w:rPr>
          <w:lang w:val="pl-PL"/>
        </w:rPr>
        <w:br/>
      </w:r>
      <w:r w:rsidRPr="00733091">
        <w:rPr>
          <w:rStyle w:val="podpiselementuZnak"/>
          <w:lang w:val="pl-PL"/>
        </w:rPr>
        <w:t>Źródło: opracowanie własne ZMP</w:t>
      </w:r>
    </w:p>
    <w:p w14:paraId="532934C2" w14:textId="5477144E" w:rsidR="0029554C" w:rsidRDefault="0029554C" w:rsidP="0029554C">
      <w:pPr>
        <w:ind w:left="0"/>
        <w:rPr>
          <w:color w:val="44546A" w:themeColor="text2"/>
          <w:sz w:val="18"/>
          <w:szCs w:val="18"/>
          <w:lang w:val="pl-PL"/>
        </w:rPr>
      </w:pPr>
    </w:p>
    <w:p w14:paraId="63FEDD4A" w14:textId="3B6E8027" w:rsidR="0029554C" w:rsidRDefault="0029554C" w:rsidP="0029554C">
      <w:pPr>
        <w:ind w:left="0"/>
        <w:rPr>
          <w:color w:val="44546A" w:themeColor="text2"/>
          <w:sz w:val="18"/>
          <w:szCs w:val="18"/>
          <w:lang w:val="pl-PL"/>
        </w:rPr>
      </w:pPr>
    </w:p>
    <w:p w14:paraId="12294414" w14:textId="7752DEA8" w:rsidR="0029554C" w:rsidRDefault="00745CDB" w:rsidP="0029554C">
      <w:pPr>
        <w:ind w:left="0"/>
        <w:rPr>
          <w:color w:val="44546A" w:themeColor="text2"/>
          <w:sz w:val="18"/>
          <w:szCs w:val="18"/>
          <w:lang w:val="pl-PL"/>
        </w:rPr>
      </w:pPr>
      <w:r w:rsidRPr="0029203E">
        <w:rPr>
          <w:noProof/>
        </w:rPr>
        <mc:AlternateContent>
          <mc:Choice Requires="wps">
            <w:drawing>
              <wp:anchor distT="0" distB="0" distL="114300" distR="114300" simplePos="0" relativeHeight="251658250" behindDoc="0" locked="0" layoutInCell="1" allowOverlap="1" wp14:anchorId="6AFCDF66" wp14:editId="4C53CC3A">
                <wp:simplePos x="0" y="0"/>
                <wp:positionH relativeFrom="margin">
                  <wp:posOffset>288621</wp:posOffset>
                </wp:positionH>
                <wp:positionV relativeFrom="paragraph">
                  <wp:posOffset>-399139</wp:posOffset>
                </wp:positionV>
                <wp:extent cx="5280660" cy="1211580"/>
                <wp:effectExtent l="0" t="0" r="15240" b="26670"/>
                <wp:wrapNone/>
                <wp:docPr id="86" name="Pole tekstowe 86"/>
                <wp:cNvGraphicFramePr/>
                <a:graphic xmlns:a="http://schemas.openxmlformats.org/drawingml/2006/main">
                  <a:graphicData uri="http://schemas.microsoft.com/office/word/2010/wordprocessingShape">
                    <wps:wsp>
                      <wps:cNvSpPr txBox="1"/>
                      <wps:spPr>
                        <a:xfrm>
                          <a:off x="0" y="0"/>
                          <a:ext cx="5280660" cy="1211580"/>
                        </a:xfrm>
                        <a:prstGeom prst="rect">
                          <a:avLst/>
                        </a:prstGeom>
                        <a:solidFill>
                          <a:srgbClr val="4472C4">
                            <a:lumMod val="20000"/>
                            <a:lumOff val="80000"/>
                          </a:srgbClr>
                        </a:solidFill>
                        <a:ln w="6350">
                          <a:solidFill>
                            <a:srgbClr val="4472C4"/>
                          </a:solidFill>
                        </a:ln>
                      </wps:spPr>
                      <wps:txbx>
                        <w:txbxContent>
                          <w:p w14:paraId="140F1689" w14:textId="1C4C0ED0" w:rsidR="00B14787" w:rsidRPr="0029554C" w:rsidRDefault="00B14787" w:rsidP="0029554C">
                            <w:pPr>
                              <w:spacing w:after="0" w:line="240" w:lineRule="auto"/>
                              <w:ind w:left="0"/>
                              <w:contextualSpacing/>
                              <w:jc w:val="both"/>
                              <w:rPr>
                                <w:rFonts w:cstheme="minorHAnsi"/>
                                <w:szCs w:val="24"/>
                                <w:lang w:val="pl-PL"/>
                              </w:rPr>
                            </w:pPr>
                            <w:r w:rsidRPr="0029554C">
                              <w:rPr>
                                <w:rFonts w:cstheme="minorHAnsi"/>
                                <w:szCs w:val="24"/>
                                <w:lang w:val="pl-PL"/>
                              </w:rPr>
                              <w:t xml:space="preserve">Z badań mieszkańców wynika, że </w:t>
                            </w:r>
                            <w:r w:rsidRPr="0029554C">
                              <w:rPr>
                                <w:rFonts w:cstheme="minorHAnsi"/>
                                <w:b/>
                                <w:bCs/>
                                <w:szCs w:val="24"/>
                                <w:lang w:val="pl-PL"/>
                              </w:rPr>
                              <w:t xml:space="preserve">83,20% </w:t>
                            </w:r>
                            <w:r w:rsidRPr="0029554C">
                              <w:rPr>
                                <w:rFonts w:cstheme="minorHAnsi"/>
                                <w:szCs w:val="24"/>
                                <w:lang w:val="pl-PL"/>
                              </w:rPr>
                              <w:t xml:space="preserve">respondentów, którzy pracują zawodowo wykonuje pracę na obszarze Partnerstwa (w tym </w:t>
                            </w:r>
                            <w:r w:rsidRPr="0029554C">
                              <w:rPr>
                                <w:rFonts w:cstheme="minorHAnsi"/>
                                <w:b/>
                                <w:bCs/>
                                <w:szCs w:val="24"/>
                                <w:lang w:val="pl-PL"/>
                              </w:rPr>
                              <w:t>67,80%</w:t>
                            </w:r>
                            <w:r w:rsidRPr="0029554C">
                              <w:rPr>
                                <w:rFonts w:cstheme="minorHAnsi"/>
                                <w:szCs w:val="24"/>
                                <w:lang w:val="pl-PL"/>
                              </w:rPr>
                              <w:t xml:space="preserve"> na obszarze gminy, </w:t>
                            </w:r>
                            <w:r>
                              <w:rPr>
                                <w:rFonts w:cstheme="minorHAnsi"/>
                                <w:szCs w:val="24"/>
                                <w:lang w:val="pl-PL"/>
                              </w:rPr>
                              <w:br/>
                            </w:r>
                            <w:r w:rsidRPr="0029554C">
                              <w:rPr>
                                <w:rFonts w:cstheme="minorHAnsi"/>
                                <w:szCs w:val="24"/>
                                <w:lang w:val="pl-PL"/>
                              </w:rPr>
                              <w:t xml:space="preserve">w której mieszka). </w:t>
                            </w:r>
                            <w:r w:rsidRPr="0029554C">
                              <w:rPr>
                                <w:rFonts w:cstheme="minorHAnsi"/>
                                <w:b/>
                                <w:bCs/>
                                <w:szCs w:val="24"/>
                                <w:lang w:val="pl-PL"/>
                              </w:rPr>
                              <w:t>73,60%</w:t>
                            </w:r>
                            <w:r w:rsidRPr="0029554C">
                              <w:rPr>
                                <w:rFonts w:cstheme="minorHAnsi"/>
                                <w:szCs w:val="24"/>
                                <w:lang w:val="pl-PL"/>
                              </w:rPr>
                              <w:t xml:space="preserve"> osób podejmujących inne działalności zarobkowe podejmuje je również na obszarze Partnerstwa (w tym </w:t>
                            </w:r>
                            <w:r w:rsidRPr="0029554C">
                              <w:rPr>
                                <w:rFonts w:cstheme="minorHAnsi"/>
                                <w:b/>
                                <w:bCs/>
                                <w:szCs w:val="24"/>
                                <w:lang w:val="pl-PL"/>
                              </w:rPr>
                              <w:t>52,00%</w:t>
                            </w:r>
                            <w:r w:rsidRPr="0029554C">
                              <w:rPr>
                                <w:rFonts w:cstheme="minorHAnsi"/>
                                <w:szCs w:val="24"/>
                                <w:lang w:val="pl-PL"/>
                              </w:rPr>
                              <w:t xml:space="preserve"> na terenie gminy, </w:t>
                            </w:r>
                            <w:r>
                              <w:rPr>
                                <w:rFonts w:cstheme="minorHAnsi"/>
                                <w:szCs w:val="24"/>
                                <w:lang w:val="pl-PL"/>
                              </w:rPr>
                              <w:br/>
                            </w:r>
                            <w:r w:rsidRPr="0029554C">
                              <w:rPr>
                                <w:rFonts w:cstheme="minorHAnsi"/>
                                <w:szCs w:val="24"/>
                                <w:lang w:val="pl-PL"/>
                              </w:rPr>
                              <w:t>w której mieszka).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FCDF66" id="Pole tekstowe 86" o:spid="_x0000_s1030" type="#_x0000_t202" style="position:absolute;margin-left:22.75pt;margin-top:-31.45pt;width:415.8pt;height:95.4pt;z-index:25165825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" fillcolor="#dae3f3" strokecolor="#4472c4" strokeweight=".5pt">
                <v:textbox>
                  <w:txbxContent>
                    <w:p w14:paraId="140F1689" w14:textId="1C4C0ED0" w:rsidR="00B14787" w:rsidRPr="0029554C" w:rsidRDefault="00B14787" w:rsidP="0029554C">
                      <w:pPr>
                        <w:spacing w:after="0" w:line="240" w:lineRule="auto"/>
                        <w:ind w:left="0"/>
                        <w:contextualSpacing/>
                        <w:jc w:val="both"/>
                        <w:rPr>
                          <w:rFonts w:cstheme="minorHAnsi"/>
                          <w:szCs w:val="24"/>
                          <w:lang w:val="pl-PL"/>
                        </w:rPr>
                      </w:pPr>
                      <w:r w:rsidRPr="0029554C">
                        <w:rPr>
                          <w:rFonts w:cstheme="minorHAnsi"/>
                          <w:szCs w:val="24"/>
                          <w:lang w:val="pl-PL"/>
                        </w:rPr>
                        <w:t xml:space="preserve">Z badań mieszkańców wynika, że </w:t>
                      </w:r>
                      <w:r w:rsidRPr="0029554C">
                        <w:rPr>
                          <w:rFonts w:cstheme="minorHAnsi"/>
                          <w:b/>
                          <w:bCs/>
                          <w:szCs w:val="24"/>
                          <w:lang w:val="pl-PL"/>
                        </w:rPr>
                        <w:t xml:space="preserve">83,20% </w:t>
                      </w:r>
                      <w:r w:rsidRPr="0029554C">
                        <w:rPr>
                          <w:rFonts w:cstheme="minorHAnsi"/>
                          <w:szCs w:val="24"/>
                          <w:lang w:val="pl-PL"/>
                        </w:rPr>
                        <w:t xml:space="preserve">respondentów, którzy pracują zawodowo wykonuje pracę na obszarze Partnerstwa (w tym </w:t>
                      </w:r>
                      <w:r w:rsidRPr="0029554C">
                        <w:rPr>
                          <w:rFonts w:cstheme="minorHAnsi"/>
                          <w:b/>
                          <w:bCs/>
                          <w:szCs w:val="24"/>
                          <w:lang w:val="pl-PL"/>
                        </w:rPr>
                        <w:t>67,80%</w:t>
                      </w:r>
                      <w:r w:rsidRPr="0029554C">
                        <w:rPr>
                          <w:rFonts w:cstheme="minorHAnsi"/>
                          <w:szCs w:val="24"/>
                          <w:lang w:val="pl-PL"/>
                        </w:rPr>
                        <w:t xml:space="preserve"> na obszarze gminy, </w:t>
                      </w:r>
                      <w:r>
                        <w:rPr>
                          <w:rFonts w:cstheme="minorHAnsi"/>
                          <w:szCs w:val="24"/>
                          <w:lang w:val="pl-PL"/>
                        </w:rPr>
                        <w:br/>
                      </w:r>
                      <w:r w:rsidRPr="0029554C">
                        <w:rPr>
                          <w:rFonts w:cstheme="minorHAnsi"/>
                          <w:szCs w:val="24"/>
                          <w:lang w:val="pl-PL"/>
                        </w:rPr>
                        <w:t xml:space="preserve">w której mieszka). </w:t>
                      </w:r>
                      <w:r w:rsidRPr="0029554C">
                        <w:rPr>
                          <w:rFonts w:cstheme="minorHAnsi"/>
                          <w:b/>
                          <w:bCs/>
                          <w:szCs w:val="24"/>
                          <w:lang w:val="pl-PL"/>
                        </w:rPr>
                        <w:t>73,60%</w:t>
                      </w:r>
                      <w:r w:rsidRPr="0029554C">
                        <w:rPr>
                          <w:rFonts w:cstheme="minorHAnsi"/>
                          <w:szCs w:val="24"/>
                          <w:lang w:val="pl-PL"/>
                        </w:rPr>
                        <w:t xml:space="preserve"> osób podejmujących inne działalności zarobkowe podejmuje je również na obszarze Partnerstwa (w tym </w:t>
                      </w:r>
                      <w:r w:rsidRPr="0029554C">
                        <w:rPr>
                          <w:rFonts w:cstheme="minorHAnsi"/>
                          <w:b/>
                          <w:bCs/>
                          <w:szCs w:val="24"/>
                          <w:lang w:val="pl-PL"/>
                        </w:rPr>
                        <w:t>52,00%</w:t>
                      </w:r>
                      <w:r w:rsidRPr="0029554C">
                        <w:rPr>
                          <w:rFonts w:cstheme="minorHAnsi"/>
                          <w:szCs w:val="24"/>
                          <w:lang w:val="pl-PL"/>
                        </w:rPr>
                        <w:t xml:space="preserve"> na terenie gminy, </w:t>
                      </w:r>
                      <w:r>
                        <w:rPr>
                          <w:rFonts w:cstheme="minorHAnsi"/>
                          <w:szCs w:val="24"/>
                          <w:lang w:val="pl-PL"/>
                        </w:rPr>
                        <w:br/>
                      </w:r>
                      <w:r w:rsidRPr="0029554C">
                        <w:rPr>
                          <w:rFonts w:cstheme="minorHAnsi"/>
                          <w:szCs w:val="24"/>
                          <w:lang w:val="pl-PL"/>
                        </w:rPr>
                        <w:t>w której mieszka).</w:t>
                      </w:r>
                    </w:p>
                  </w:txbxContent>
                </v:textbox>
                <w10:wrap anchorx="margin"/>
              </v:shape>
            </w:pict>
          </mc:Fallback>
        </mc:AlternateContent>
      </w:r>
    </w:p>
    <w:p w14:paraId="39453FCF" w14:textId="7E532AF2" w:rsidR="0029554C" w:rsidRPr="0029554C" w:rsidRDefault="0029554C" w:rsidP="0029554C">
      <w:pPr>
        <w:ind w:left="0"/>
        <w:rPr>
          <w:color w:val="44546A" w:themeColor="text2"/>
          <w:sz w:val="18"/>
          <w:szCs w:val="18"/>
          <w:lang w:val="pl-PL"/>
        </w:rPr>
      </w:pPr>
    </w:p>
    <w:p w14:paraId="74B946E9" w14:textId="13E26E39" w:rsidR="00A37D95" w:rsidRPr="005B63BD" w:rsidRDefault="00A37D95" w:rsidP="0029554C">
      <w:pPr>
        <w:ind w:left="0"/>
        <w:rPr>
          <w:lang w:val="pl-PL"/>
        </w:rPr>
      </w:pPr>
    </w:p>
    <w:p w14:paraId="6EC490B5" w14:textId="376DDADA" w:rsidR="009D2F5C" w:rsidRPr="00690E7F" w:rsidRDefault="00605A56" w:rsidP="00733091">
      <w:pPr>
        <w:pStyle w:val="Nagwek3"/>
        <w:spacing w:after="240"/>
        <w:rPr>
          <w:lang w:val="en-US"/>
        </w:rPr>
      </w:pPr>
      <w:bookmarkStart w:id="27" w:name="_Toc69725431"/>
      <w:r w:rsidRPr="00605A56">
        <w:rPr>
          <w:lang w:val="en-US"/>
        </w:rPr>
        <w:t>Wiodące funkcje Partnerstwa</w:t>
      </w:r>
      <w:bookmarkEnd w:id="27"/>
    </w:p>
    <w:p w14:paraId="16C6D35F" w14:textId="2CE0F291" w:rsidR="00400B4E" w:rsidRPr="00733091" w:rsidRDefault="00400B4E" w:rsidP="00733091">
      <w:pPr>
        <w:rPr>
          <w:rFonts w:cstheme="minorHAnsi"/>
          <w:color w:val="222222"/>
          <w:shd w:val="clear" w:color="auto" w:fill="FFFFFF"/>
          <w:lang w:val="pl-PL"/>
        </w:rPr>
      </w:pPr>
      <w:r w:rsidRPr="00733091">
        <w:rPr>
          <w:lang w:val="pl-PL"/>
        </w:rPr>
        <w:t xml:space="preserve">Z analizy dostępności usług prywatnych i publicznych na terenie Partnerstwa, uzupełnionej analizą zakresu ustawowych zadań organów administracji publicznej </w:t>
      </w:r>
      <w:r w:rsidR="0029554C">
        <w:rPr>
          <w:lang w:val="pl-PL"/>
        </w:rPr>
        <w:br/>
      </w:r>
      <w:r w:rsidRPr="00733091">
        <w:rPr>
          <w:lang w:val="pl-PL"/>
        </w:rPr>
        <w:t>i wymiaru sprawiedliwości oraz właściwości miejscowej poszczególnych organów</w:t>
      </w:r>
      <w:r w:rsidRPr="00733091">
        <w:rPr>
          <w:rFonts w:cstheme="minorHAnsi"/>
          <w:lang w:val="pl-PL"/>
        </w:rPr>
        <w:t xml:space="preserve"> </w:t>
      </w:r>
      <w:r w:rsidRPr="00733091">
        <w:rPr>
          <w:lang w:val="pl-PL"/>
        </w:rPr>
        <w:t>wynika, że ośrodki osiedleńcze wchodzące w skład Partnerstwa pełnią – w zakresie zaspokajania indywidualnych i zbiorowych potrzeb mieszkańców pięć funkcji:</w:t>
      </w:r>
    </w:p>
    <w:p w14:paraId="64A7B1CF" w14:textId="77777777" w:rsidR="00400B4E" w:rsidRPr="0014382E" w:rsidRDefault="00400B4E" w:rsidP="00B063F0">
      <w:pPr>
        <w:pStyle w:val="Akapitzlist"/>
        <w:numPr>
          <w:ilvl w:val="0"/>
          <w:numId w:val="14"/>
        </w:numPr>
        <w:shd w:val="clear" w:color="auto" w:fill="FFFFFF" w:themeFill="background1"/>
        <w:ind w:left="1134" w:hanging="284"/>
      </w:pPr>
      <w:r>
        <w:t>a</w:t>
      </w:r>
      <w:r w:rsidRPr="0014382E">
        <w:t>dministracyjn</w:t>
      </w:r>
      <w:r>
        <w:t>ą podstawową</w:t>
      </w:r>
      <w:r w:rsidRPr="0014382E">
        <w:t>,</w:t>
      </w:r>
    </w:p>
    <w:p w14:paraId="105D4B49" w14:textId="77777777" w:rsidR="00400B4E" w:rsidRPr="0014382E" w:rsidRDefault="00400B4E" w:rsidP="00B063F0">
      <w:pPr>
        <w:pStyle w:val="Akapitzlist"/>
        <w:numPr>
          <w:ilvl w:val="0"/>
          <w:numId w:val="14"/>
        </w:numPr>
        <w:shd w:val="clear" w:color="auto" w:fill="FFFFFF" w:themeFill="background1"/>
        <w:ind w:left="1134" w:hanging="284"/>
      </w:pPr>
      <w:r w:rsidRPr="0014382E">
        <w:t>administracyjn</w:t>
      </w:r>
      <w:r>
        <w:t>ą</w:t>
      </w:r>
      <w:r w:rsidRPr="0014382E">
        <w:t xml:space="preserve"> </w:t>
      </w:r>
      <w:r>
        <w:t>specjalistyczną</w:t>
      </w:r>
      <w:r w:rsidRPr="0014382E">
        <w:t>,</w:t>
      </w:r>
    </w:p>
    <w:p w14:paraId="661DF760" w14:textId="77777777" w:rsidR="00400B4E" w:rsidRPr="0014382E" w:rsidRDefault="00400B4E" w:rsidP="00B063F0">
      <w:pPr>
        <w:pStyle w:val="Akapitzlist"/>
        <w:numPr>
          <w:ilvl w:val="0"/>
          <w:numId w:val="14"/>
        </w:numPr>
        <w:shd w:val="clear" w:color="auto" w:fill="FFFFFF" w:themeFill="background1"/>
        <w:ind w:left="1134" w:hanging="284"/>
      </w:pPr>
      <w:r w:rsidRPr="0014382E">
        <w:t>socjalno-bytow</w:t>
      </w:r>
      <w:r>
        <w:t>ą</w:t>
      </w:r>
      <w:r w:rsidRPr="0014382E">
        <w:t>,</w:t>
      </w:r>
    </w:p>
    <w:p w14:paraId="26A7FF22" w14:textId="77777777" w:rsidR="00400B4E" w:rsidRPr="00733091" w:rsidRDefault="00400B4E" w:rsidP="00B063F0">
      <w:pPr>
        <w:pStyle w:val="Akapitzlist"/>
        <w:numPr>
          <w:ilvl w:val="0"/>
          <w:numId w:val="14"/>
        </w:numPr>
        <w:ind w:left="1134" w:hanging="284"/>
        <w:rPr>
          <w:lang w:val="pl-PL"/>
        </w:rPr>
      </w:pPr>
      <w:r w:rsidRPr="00733091">
        <w:rPr>
          <w:lang w:val="pl-PL"/>
        </w:rPr>
        <w:t>dostawcy usług o charakterze podstawowym,</w:t>
      </w:r>
    </w:p>
    <w:p w14:paraId="3B5C19BC" w14:textId="1BEDFA5D" w:rsidR="00400B4E" w:rsidRPr="0029554C" w:rsidRDefault="00400B4E" w:rsidP="00B063F0">
      <w:pPr>
        <w:pStyle w:val="Akapitzlist"/>
        <w:numPr>
          <w:ilvl w:val="0"/>
          <w:numId w:val="14"/>
        </w:numPr>
        <w:ind w:left="1134" w:hanging="284"/>
        <w:rPr>
          <w:lang w:val="pl-PL"/>
        </w:rPr>
      </w:pPr>
      <w:r w:rsidRPr="00733091">
        <w:rPr>
          <w:lang w:val="pl-PL"/>
        </w:rPr>
        <w:t>dostawcy usług o charakterze wyspecjalizowanym.</w:t>
      </w:r>
    </w:p>
    <w:p w14:paraId="57540E3F" w14:textId="77777777" w:rsidR="00400B4E" w:rsidRPr="00733091" w:rsidRDefault="00400B4E" w:rsidP="00733091">
      <w:pPr>
        <w:rPr>
          <w:rFonts w:cstheme="minorHAnsi"/>
          <w:color w:val="222222"/>
          <w:shd w:val="clear" w:color="auto" w:fill="FFFFFF"/>
          <w:lang w:val="pl-PL"/>
        </w:rPr>
      </w:pPr>
      <w:r w:rsidRPr="00733091">
        <w:rPr>
          <w:lang w:val="pl-PL"/>
        </w:rPr>
        <w:t xml:space="preserve">Opis funkcji </w:t>
      </w:r>
      <w:r w:rsidRPr="00733091">
        <w:rPr>
          <w:rFonts w:cstheme="minorHAnsi"/>
          <w:lang w:val="pl-PL"/>
        </w:rPr>
        <w:t xml:space="preserve">w </w:t>
      </w:r>
      <w:r w:rsidRPr="00733091">
        <w:rPr>
          <w:rFonts w:cstheme="minorHAnsi"/>
          <w:color w:val="001133"/>
          <w:shd w:val="clear" w:color="auto" w:fill="FFFFFF"/>
          <w:lang w:val="pl-PL"/>
        </w:rPr>
        <w:t>zakresie</w:t>
      </w:r>
      <w:r w:rsidRPr="00733091">
        <w:rPr>
          <w:rFonts w:cstheme="minorHAnsi"/>
          <w:color w:val="222222"/>
          <w:shd w:val="clear" w:color="auto" w:fill="FFFFFF"/>
          <w:lang w:val="pl-PL"/>
        </w:rPr>
        <w:t> zaspokajania indywidualnych i zbiorowych potrzeb mieszkańców oraz wykaz JST wypełniających te funkcje prezentuje poniższa tabela.</w:t>
      </w:r>
    </w:p>
    <w:p w14:paraId="4EB375A1" w14:textId="6731B605" w:rsidR="00400B4E" w:rsidRPr="00733091" w:rsidRDefault="00400B4E" w:rsidP="002E24A9">
      <w:pPr>
        <w:pStyle w:val="Legenda"/>
        <w:rPr>
          <w:rFonts w:cstheme="minorHAnsi"/>
          <w:lang w:val="pl-PL"/>
        </w:rPr>
      </w:pPr>
      <w:bookmarkStart w:id="28" w:name="_Toc69723251"/>
      <w:r w:rsidRPr="00733091">
        <w:rPr>
          <w:lang w:val="pl-PL"/>
        </w:rPr>
        <w:t xml:space="preserve">Tabela </w:t>
      </w:r>
      <w:r w:rsidR="00733091">
        <w:fldChar w:fldCharType="begin"/>
      </w:r>
      <w:r w:rsidR="00733091" w:rsidRPr="00733091">
        <w:rPr>
          <w:lang w:val="pl-PL"/>
        </w:rPr>
        <w:instrText xml:space="preserve"> SEQ Tabela \* ARABIC </w:instrText>
      </w:r>
      <w:r w:rsidR="00733091">
        <w:fldChar w:fldCharType="separate"/>
      </w:r>
      <w:r w:rsidR="00B14787">
        <w:rPr>
          <w:noProof/>
          <w:lang w:val="pl-PL"/>
        </w:rPr>
        <w:t>2</w:t>
      </w:r>
      <w:r w:rsidR="00733091">
        <w:rPr>
          <w:noProof/>
        </w:rPr>
        <w:fldChar w:fldCharType="end"/>
      </w:r>
      <w:r w:rsidRPr="00733091">
        <w:rPr>
          <w:lang w:val="pl-PL"/>
        </w:rPr>
        <w:t>: Funkcje ośrodków osiedleńczych w zakresie zaspakajania indywidualnych i zbiorowych potrzeb mieszkańców</w:t>
      </w:r>
      <w:bookmarkEnd w:id="28"/>
    </w:p>
    <w:tbl>
      <w:tblPr>
        <w:tblStyle w:val="CWD"/>
        <w:tblW w:w="5000" w:type="pct"/>
        <w:tblLook w:val="04A0" w:firstRow="1" w:lastRow="0" w:firstColumn="1" w:lastColumn="0" w:noHBand="0" w:noVBand="1"/>
      </w:tblPr>
      <w:tblGrid>
        <w:gridCol w:w="2154"/>
        <w:gridCol w:w="5201"/>
        <w:gridCol w:w="1705"/>
      </w:tblGrid>
      <w:tr w:rsidR="00400B4E" w14:paraId="2A3BD480" w14:textId="77777777" w:rsidTr="00E70191">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713" w:type="dxa"/>
          </w:tcPr>
          <w:p w14:paraId="55B48D29" w14:textId="77777777" w:rsidR="00400B4E" w:rsidRPr="00C519F9" w:rsidRDefault="00400B4E" w:rsidP="00BA1554">
            <w:pPr>
              <w:pStyle w:val="elementgraficznytabela"/>
              <w:spacing w:after="240"/>
              <w:contextualSpacing/>
              <w:rPr>
                <w:rStyle w:val="Pogrubienie"/>
                <w:b/>
                <w:bCs/>
              </w:rPr>
            </w:pPr>
            <w:r w:rsidRPr="00C519F9">
              <w:rPr>
                <w:rStyle w:val="Pogrubienie"/>
                <w:b/>
                <w:bCs/>
              </w:rPr>
              <w:t>Nazwa funkcji</w:t>
            </w:r>
          </w:p>
        </w:tc>
        <w:tc>
          <w:tcPr>
            <w:tcW w:w="5795" w:type="dxa"/>
          </w:tcPr>
          <w:p w14:paraId="0A983869" w14:textId="77777777" w:rsidR="00400B4E" w:rsidRPr="00C519F9" w:rsidRDefault="00400B4E" w:rsidP="00BA1554">
            <w:pPr>
              <w:pStyle w:val="elementgraficznytabela"/>
              <w:spacing w:after="240"/>
              <w:contextualSpacing/>
              <w:cnfStyle w:val="100000000000" w:firstRow="1" w:lastRow="0" w:firstColumn="0" w:lastColumn="0" w:oddVBand="0" w:evenVBand="0" w:oddHBand="0" w:evenHBand="0" w:firstRowFirstColumn="0" w:firstRowLastColumn="0" w:lastRowFirstColumn="0" w:lastRowLastColumn="0"/>
              <w:rPr>
                <w:rStyle w:val="Pogrubienie"/>
                <w:b/>
                <w:bCs/>
              </w:rPr>
            </w:pPr>
            <w:r w:rsidRPr="00C519F9">
              <w:rPr>
                <w:rStyle w:val="Pogrubienie"/>
                <w:b/>
                <w:bCs/>
              </w:rPr>
              <w:t>Opis funkcji</w:t>
            </w:r>
          </w:p>
        </w:tc>
        <w:tc>
          <w:tcPr>
            <w:tcW w:w="1678" w:type="dxa"/>
          </w:tcPr>
          <w:p w14:paraId="0CB8D7CF" w14:textId="77777777" w:rsidR="00400B4E" w:rsidRPr="00C519F9" w:rsidRDefault="00400B4E" w:rsidP="00BA1554">
            <w:pPr>
              <w:pStyle w:val="elementgraficznytabela"/>
              <w:spacing w:after="240"/>
              <w:contextualSpacing/>
              <w:cnfStyle w:val="100000000000" w:firstRow="1" w:lastRow="0" w:firstColumn="0" w:lastColumn="0" w:oddVBand="0" w:evenVBand="0" w:oddHBand="0" w:evenHBand="0" w:firstRowFirstColumn="0" w:firstRowLastColumn="0" w:lastRowFirstColumn="0" w:lastRowLastColumn="0"/>
              <w:rPr>
                <w:rStyle w:val="Pogrubienie"/>
                <w:b/>
                <w:bCs/>
              </w:rPr>
            </w:pPr>
            <w:r w:rsidRPr="00C519F9">
              <w:rPr>
                <w:rStyle w:val="Pogrubienie"/>
                <w:b/>
                <w:bCs/>
              </w:rPr>
              <w:t>Ośrodki/gminy</w:t>
            </w:r>
          </w:p>
        </w:tc>
      </w:tr>
      <w:tr w:rsidR="00400B4E" w:rsidRPr="00B14787" w14:paraId="7A5FFAFE" w14:textId="77777777" w:rsidTr="00ED2BBA">
        <w:trPr>
          <w:trHeight w:val="760"/>
        </w:trPr>
        <w:tc>
          <w:tcPr>
            <w:cnfStyle w:val="001000000000" w:firstRow="0" w:lastRow="0" w:firstColumn="1" w:lastColumn="0" w:oddVBand="0" w:evenVBand="0" w:oddHBand="0" w:evenHBand="0" w:firstRowFirstColumn="0" w:firstRowLastColumn="0" w:lastRowFirstColumn="0" w:lastRowLastColumn="0"/>
            <w:tcW w:w="1713" w:type="dxa"/>
          </w:tcPr>
          <w:p w14:paraId="54540419" w14:textId="77777777" w:rsidR="00400B4E" w:rsidRPr="00745CDB" w:rsidRDefault="00400B4E" w:rsidP="00BA1554">
            <w:pPr>
              <w:ind w:left="0"/>
              <w:contextualSpacing/>
              <w:rPr>
                <w:rStyle w:val="Pogrubienie"/>
              </w:rPr>
            </w:pPr>
            <w:r w:rsidRPr="00745CDB">
              <w:rPr>
                <w:rStyle w:val="Pogrubienie"/>
              </w:rPr>
              <w:t>Administracyjna podstawowa</w:t>
            </w:r>
          </w:p>
        </w:tc>
        <w:tc>
          <w:tcPr>
            <w:tcW w:w="5795" w:type="dxa"/>
          </w:tcPr>
          <w:p w14:paraId="362E0581" w14:textId="77777777" w:rsidR="00400B4E" w:rsidRPr="00F06F2F" w:rsidRDefault="00400B4E" w:rsidP="00BA1554">
            <w:pPr>
              <w:pStyle w:val="elementgraficznytabela"/>
              <w:spacing w:after="240"/>
              <w:contextualSpacing/>
              <w:jc w:val="left"/>
              <w:cnfStyle w:val="000000000000" w:firstRow="0" w:lastRow="0" w:firstColumn="0" w:lastColumn="0" w:oddVBand="0" w:evenVBand="0" w:oddHBand="0" w:evenHBand="0" w:firstRowFirstColumn="0" w:firstRowLastColumn="0" w:lastRowFirstColumn="0" w:lastRowLastColumn="0"/>
            </w:pPr>
            <w:r w:rsidRPr="00F06F2F">
              <w:t>Związana z obsługą ludności przez jednostki i urzędy władzy publicznej, tj.: urzędy gminy (m.in. sprawy obywatelskie, obsługa przedsiębiorców, pomoc społeczna, pomoc rodzinie)</w:t>
            </w:r>
          </w:p>
        </w:tc>
        <w:tc>
          <w:tcPr>
            <w:tcW w:w="1678" w:type="dxa"/>
          </w:tcPr>
          <w:p w14:paraId="1E95F836" w14:textId="77777777" w:rsidR="00400B4E" w:rsidRPr="002002D6" w:rsidRDefault="00400B4E" w:rsidP="00BA1554">
            <w:pPr>
              <w:pStyle w:val="elementgraficznytabela"/>
              <w:spacing w:after="240"/>
              <w:contextualSpacing/>
              <w:jc w:val="left"/>
              <w:cnfStyle w:val="000000000000" w:firstRow="0" w:lastRow="0" w:firstColumn="0" w:lastColumn="0" w:oddVBand="0" w:evenVBand="0" w:oddHBand="0" w:evenHBand="0" w:firstRowFirstColumn="0" w:firstRowLastColumn="0" w:lastRowFirstColumn="0" w:lastRowLastColumn="0"/>
            </w:pPr>
            <w:r>
              <w:t>Wszystkie gminy z obszaru Partnerstwa</w:t>
            </w:r>
          </w:p>
        </w:tc>
      </w:tr>
      <w:tr w:rsidR="00400B4E" w:rsidRPr="00B14787" w14:paraId="4A5A9061" w14:textId="77777777" w:rsidTr="00ED2BBA">
        <w:trPr>
          <w:trHeight w:val="3003"/>
        </w:trPr>
        <w:tc>
          <w:tcPr>
            <w:cnfStyle w:val="001000000000" w:firstRow="0" w:lastRow="0" w:firstColumn="1" w:lastColumn="0" w:oddVBand="0" w:evenVBand="0" w:oddHBand="0" w:evenHBand="0" w:firstRowFirstColumn="0" w:firstRowLastColumn="0" w:lastRowFirstColumn="0" w:lastRowLastColumn="0"/>
            <w:tcW w:w="1713" w:type="dxa"/>
          </w:tcPr>
          <w:p w14:paraId="4F2CD823" w14:textId="77777777" w:rsidR="00400B4E" w:rsidRPr="00745CDB" w:rsidRDefault="00400B4E" w:rsidP="00BA1554">
            <w:pPr>
              <w:ind w:left="0"/>
              <w:contextualSpacing/>
              <w:rPr>
                <w:rStyle w:val="Pogrubienie"/>
              </w:rPr>
            </w:pPr>
            <w:r w:rsidRPr="00745CDB">
              <w:rPr>
                <w:rStyle w:val="Pogrubienie"/>
              </w:rPr>
              <w:t>Administracyjna specjalistyczna</w:t>
            </w:r>
          </w:p>
        </w:tc>
        <w:tc>
          <w:tcPr>
            <w:tcW w:w="5795" w:type="dxa"/>
          </w:tcPr>
          <w:p w14:paraId="066C85EB" w14:textId="20D742C9" w:rsidR="00400B4E" w:rsidRPr="00F06F2F" w:rsidRDefault="006E6DDE" w:rsidP="00BA1554">
            <w:pPr>
              <w:pStyle w:val="elementgraficznytabela"/>
              <w:spacing w:after="240"/>
              <w:contextualSpacing/>
              <w:jc w:val="left"/>
              <w:cnfStyle w:val="000000000000" w:firstRow="0" w:lastRow="0" w:firstColumn="0" w:lastColumn="0" w:oddVBand="0" w:evenVBand="0" w:oddHBand="0" w:evenHBand="0" w:firstRowFirstColumn="0" w:firstRowLastColumn="0" w:lastRowFirstColumn="0" w:lastRowLastColumn="0"/>
            </w:pPr>
            <w:r>
              <w:t xml:space="preserve">1. </w:t>
            </w:r>
            <w:r w:rsidR="00400B4E" w:rsidRPr="00F06F2F">
              <w:t>Związana z obsługą ludności przez jednostki i urzędy władzy publicznej</w:t>
            </w:r>
            <w:r w:rsidR="00400B4E">
              <w:t xml:space="preserve"> inne niż urzędy gminy,</w:t>
            </w:r>
            <w:r w:rsidR="00400B4E" w:rsidRPr="00F06F2F">
              <w:t xml:space="preserve"> tj.:</w:t>
            </w:r>
          </w:p>
          <w:p w14:paraId="0C5A3BA0" w14:textId="77777777" w:rsidR="00400B4E" w:rsidRPr="002002D6" w:rsidRDefault="00400B4E" w:rsidP="00B063F0">
            <w:pPr>
              <w:pStyle w:val="elementgraficznytabela"/>
              <w:numPr>
                <w:ilvl w:val="0"/>
                <w:numId w:val="21"/>
              </w:numPr>
              <w:spacing w:after="240"/>
              <w:contextualSpacing/>
              <w:jc w:val="left"/>
              <w:cnfStyle w:val="000000000000" w:firstRow="0" w:lastRow="0" w:firstColumn="0" w:lastColumn="0" w:oddVBand="0" w:evenVBand="0" w:oddHBand="0" w:evenHBand="0" w:firstRowFirstColumn="0" w:firstRowLastColumn="0" w:lastRowFirstColumn="0" w:lastRowLastColumn="0"/>
            </w:pPr>
            <w:r w:rsidRPr="002002D6">
              <w:t xml:space="preserve">Starostwa powiatowe (m.in. sprawy komunikacyjne i transportowe, sprawy </w:t>
            </w:r>
            <w:r w:rsidRPr="002002D6">
              <w:lastRenderedPageBreak/>
              <w:t>geodezyjno-budowlane, pomoc społeczna, pomoc rodzinie)</w:t>
            </w:r>
          </w:p>
          <w:p w14:paraId="7CAE25E3" w14:textId="77777777" w:rsidR="00400B4E" w:rsidRPr="002002D6" w:rsidRDefault="00400B4E" w:rsidP="00B063F0">
            <w:pPr>
              <w:pStyle w:val="elementgraficznytabela"/>
              <w:numPr>
                <w:ilvl w:val="0"/>
                <w:numId w:val="21"/>
              </w:numPr>
              <w:spacing w:after="240"/>
              <w:contextualSpacing/>
              <w:jc w:val="left"/>
              <w:cnfStyle w:val="000000000000" w:firstRow="0" w:lastRow="0" w:firstColumn="0" w:lastColumn="0" w:oddVBand="0" w:evenVBand="0" w:oddHBand="0" w:evenHBand="0" w:firstRowFirstColumn="0" w:firstRowLastColumn="0" w:lastRowFirstColumn="0" w:lastRowLastColumn="0"/>
            </w:pPr>
            <w:r w:rsidRPr="002002D6">
              <w:t>Urząd Skarbowy, Zakład Ubezpieczeń Społecznych, KRUS,</w:t>
            </w:r>
          </w:p>
          <w:p w14:paraId="3FF08195" w14:textId="77777777" w:rsidR="00400B4E" w:rsidRPr="002002D6" w:rsidRDefault="00400B4E" w:rsidP="00B063F0">
            <w:pPr>
              <w:pStyle w:val="elementgraficznytabela"/>
              <w:numPr>
                <w:ilvl w:val="0"/>
                <w:numId w:val="21"/>
              </w:numPr>
              <w:spacing w:after="240"/>
              <w:contextualSpacing/>
              <w:jc w:val="left"/>
              <w:cnfStyle w:val="000000000000" w:firstRow="0" w:lastRow="0" w:firstColumn="0" w:lastColumn="0" w:oddVBand="0" w:evenVBand="0" w:oddHBand="0" w:evenHBand="0" w:firstRowFirstColumn="0" w:firstRowLastColumn="0" w:lastRowFirstColumn="0" w:lastRowLastColumn="0"/>
            </w:pPr>
            <w:r w:rsidRPr="002002D6">
              <w:t>Straże i Inspekcje (Powiatowy Inspektorat Weterynarii, Powiatowy Inspektorat Nadzoru Budowlanego, Powiatowa Stacja Sanitarno-Epidemiologiczna, Powiatowa Komenda Policji, Powiatowa Komenda państwowej Straży Pożarnej)</w:t>
            </w:r>
          </w:p>
          <w:p w14:paraId="08A7FE62" w14:textId="77777777" w:rsidR="00400B4E" w:rsidRPr="002002D6" w:rsidRDefault="00400B4E" w:rsidP="00B063F0">
            <w:pPr>
              <w:pStyle w:val="elementgraficznytabela"/>
              <w:numPr>
                <w:ilvl w:val="0"/>
                <w:numId w:val="21"/>
              </w:numPr>
              <w:spacing w:after="240"/>
              <w:contextualSpacing/>
              <w:jc w:val="left"/>
              <w:cnfStyle w:val="000000000000" w:firstRow="0" w:lastRow="0" w:firstColumn="0" w:lastColumn="0" w:oddVBand="0" w:evenVBand="0" w:oddHBand="0" w:evenHBand="0" w:firstRowFirstColumn="0" w:firstRowLastColumn="0" w:lastRowFirstColumn="0" w:lastRowLastColumn="0"/>
            </w:pPr>
            <w:r w:rsidRPr="002002D6">
              <w:t>Instytucje rynku pracy (PUP).</w:t>
            </w:r>
          </w:p>
          <w:p w14:paraId="2FD6B37E" w14:textId="13201D16" w:rsidR="00400B4E" w:rsidRPr="002002D6" w:rsidRDefault="006E6DDE" w:rsidP="006E6DDE">
            <w:pPr>
              <w:pStyle w:val="elementgraficznytabela"/>
              <w:spacing w:after="240"/>
              <w:contextualSpacing/>
              <w:jc w:val="left"/>
              <w:cnfStyle w:val="000000000000" w:firstRow="0" w:lastRow="0" w:firstColumn="0" w:lastColumn="0" w:oddVBand="0" w:evenVBand="0" w:oddHBand="0" w:evenHBand="0" w:firstRowFirstColumn="0" w:firstRowLastColumn="0" w:lastRowFirstColumn="0" w:lastRowLastColumn="0"/>
            </w:pPr>
            <w:r>
              <w:t xml:space="preserve">2. </w:t>
            </w:r>
            <w:r w:rsidR="00400B4E" w:rsidRPr="002002D6">
              <w:t>Związana z zapewnieniem obsługi ludności przez wymiar sprawiedliwości (prokuratura, sądy)</w:t>
            </w:r>
          </w:p>
        </w:tc>
        <w:tc>
          <w:tcPr>
            <w:tcW w:w="1678" w:type="dxa"/>
          </w:tcPr>
          <w:p w14:paraId="5AB0C3F6" w14:textId="77777777" w:rsidR="00400B4E" w:rsidRPr="002002D6" w:rsidRDefault="00400B4E" w:rsidP="00BA1554">
            <w:pPr>
              <w:pStyle w:val="elementgraficznytabela"/>
              <w:spacing w:after="240"/>
              <w:contextualSpacing/>
              <w:jc w:val="left"/>
              <w:cnfStyle w:val="000000000000" w:firstRow="0" w:lastRow="0" w:firstColumn="0" w:lastColumn="0" w:oddVBand="0" w:evenVBand="0" w:oddHBand="0" w:evenHBand="0" w:firstRowFirstColumn="0" w:firstRowLastColumn="0" w:lastRowFirstColumn="0" w:lastRowLastColumn="0"/>
            </w:pPr>
            <w:r>
              <w:lastRenderedPageBreak/>
              <w:t>Powiaty: działdowski, nidzicki, szczycieński i piski</w:t>
            </w:r>
          </w:p>
        </w:tc>
      </w:tr>
      <w:tr w:rsidR="00400B4E" w:rsidRPr="00B14787" w14:paraId="36EDF3E5" w14:textId="77777777" w:rsidTr="00ED2BBA">
        <w:trPr>
          <w:trHeight w:val="1352"/>
        </w:trPr>
        <w:tc>
          <w:tcPr>
            <w:cnfStyle w:val="001000000000" w:firstRow="0" w:lastRow="0" w:firstColumn="1" w:lastColumn="0" w:oddVBand="0" w:evenVBand="0" w:oddHBand="0" w:evenHBand="0" w:firstRowFirstColumn="0" w:firstRowLastColumn="0" w:lastRowFirstColumn="0" w:lastRowLastColumn="0"/>
            <w:tcW w:w="1713" w:type="dxa"/>
          </w:tcPr>
          <w:p w14:paraId="0F61B52E" w14:textId="77777777" w:rsidR="00400B4E" w:rsidRPr="00745CDB" w:rsidRDefault="00400B4E" w:rsidP="00BA1554">
            <w:pPr>
              <w:ind w:left="0"/>
              <w:contextualSpacing/>
              <w:rPr>
                <w:rStyle w:val="Pogrubienie"/>
              </w:rPr>
            </w:pPr>
            <w:r w:rsidRPr="00745CDB">
              <w:rPr>
                <w:rStyle w:val="Pogrubienie"/>
              </w:rPr>
              <w:t>Socjalno-bytowa</w:t>
            </w:r>
          </w:p>
        </w:tc>
        <w:tc>
          <w:tcPr>
            <w:tcW w:w="5795" w:type="dxa"/>
          </w:tcPr>
          <w:p w14:paraId="32705451" w14:textId="180B3911" w:rsidR="00400B4E" w:rsidRPr="002002D6" w:rsidRDefault="006E6DDE" w:rsidP="006E6DDE">
            <w:pPr>
              <w:pStyle w:val="elementgraficznytabela"/>
              <w:spacing w:after="240"/>
              <w:contextualSpacing/>
              <w:jc w:val="left"/>
              <w:cnfStyle w:val="000000000000" w:firstRow="0" w:lastRow="0" w:firstColumn="0" w:lastColumn="0" w:oddVBand="0" w:evenVBand="0" w:oddHBand="0" w:evenHBand="0" w:firstRowFirstColumn="0" w:firstRowLastColumn="0" w:lastRowFirstColumn="0" w:lastRowLastColumn="0"/>
            </w:pPr>
            <w:r>
              <w:t xml:space="preserve">1. </w:t>
            </w:r>
            <w:r w:rsidR="00400B4E" w:rsidRPr="002002D6">
              <w:t>Związana z zaspokajaniem podstawowych potrzeb bytowych ludności:</w:t>
            </w:r>
          </w:p>
          <w:p w14:paraId="1A5F8085" w14:textId="77777777" w:rsidR="00400B4E" w:rsidRPr="002002D6" w:rsidRDefault="00400B4E" w:rsidP="00B063F0">
            <w:pPr>
              <w:pStyle w:val="elementgraficznytabela"/>
              <w:numPr>
                <w:ilvl w:val="0"/>
                <w:numId w:val="23"/>
              </w:numPr>
              <w:spacing w:after="240"/>
              <w:contextualSpacing/>
              <w:jc w:val="left"/>
              <w:cnfStyle w:val="000000000000" w:firstRow="0" w:lastRow="0" w:firstColumn="0" w:lastColumn="0" w:oddVBand="0" w:evenVBand="0" w:oddHBand="0" w:evenHBand="0" w:firstRowFirstColumn="0" w:firstRowLastColumn="0" w:lastRowFirstColumn="0" w:lastRowLastColumn="0"/>
            </w:pPr>
            <w:r w:rsidRPr="002002D6">
              <w:t>zaopatrzenia w infrastrukturę techniczną i media,</w:t>
            </w:r>
          </w:p>
          <w:p w14:paraId="5CD220AB" w14:textId="77777777" w:rsidR="00400B4E" w:rsidRPr="002002D6" w:rsidRDefault="00400B4E" w:rsidP="00B063F0">
            <w:pPr>
              <w:pStyle w:val="elementgraficznytabela"/>
              <w:numPr>
                <w:ilvl w:val="0"/>
                <w:numId w:val="23"/>
              </w:numPr>
              <w:spacing w:after="240"/>
              <w:contextualSpacing/>
              <w:jc w:val="left"/>
              <w:cnfStyle w:val="000000000000" w:firstRow="0" w:lastRow="0" w:firstColumn="0" w:lastColumn="0" w:oddVBand="0" w:evenVBand="0" w:oddHBand="0" w:evenHBand="0" w:firstRowFirstColumn="0" w:firstRowLastColumn="0" w:lastRowFirstColumn="0" w:lastRowLastColumn="0"/>
            </w:pPr>
            <w:r w:rsidRPr="002002D6">
              <w:t>zapewnieniem dostępności komunikacyjnej,</w:t>
            </w:r>
          </w:p>
          <w:p w14:paraId="043C1C5D" w14:textId="77777777" w:rsidR="00400B4E" w:rsidRPr="002002D6" w:rsidRDefault="00400B4E" w:rsidP="00B063F0">
            <w:pPr>
              <w:pStyle w:val="elementgraficznytabela"/>
              <w:numPr>
                <w:ilvl w:val="0"/>
                <w:numId w:val="23"/>
              </w:numPr>
              <w:spacing w:after="240"/>
              <w:contextualSpacing/>
              <w:jc w:val="left"/>
              <w:cnfStyle w:val="000000000000" w:firstRow="0" w:lastRow="0" w:firstColumn="0" w:lastColumn="0" w:oddVBand="0" w:evenVBand="0" w:oddHBand="0" w:evenHBand="0" w:firstRowFirstColumn="0" w:firstRowLastColumn="0" w:lastRowFirstColumn="0" w:lastRowLastColumn="0"/>
            </w:pPr>
            <w:r w:rsidRPr="002002D6">
              <w:t>zapewnieniem bezpieczeństwa w tym bezpieczeństwa zdrowotnego na podstawowym poziomie,</w:t>
            </w:r>
          </w:p>
          <w:p w14:paraId="1118BFE7" w14:textId="686F8A68" w:rsidR="00400B4E" w:rsidRPr="002002D6" w:rsidRDefault="006E6DDE" w:rsidP="006E6DDE">
            <w:pPr>
              <w:pStyle w:val="elementgraficznytabela"/>
              <w:spacing w:after="240"/>
              <w:contextualSpacing/>
              <w:jc w:val="left"/>
              <w:cnfStyle w:val="000000000000" w:firstRow="0" w:lastRow="0" w:firstColumn="0" w:lastColumn="0" w:oddVBand="0" w:evenVBand="0" w:oddHBand="0" w:evenHBand="0" w:firstRowFirstColumn="0" w:firstRowLastColumn="0" w:lastRowFirstColumn="0" w:lastRowLastColumn="0"/>
            </w:pPr>
            <w:r>
              <w:t xml:space="preserve">2. </w:t>
            </w:r>
            <w:r w:rsidR="00400B4E" w:rsidRPr="002002D6">
              <w:t>Związana z zapewnieniem miejsca stałego pobytu – koncentrowania czynności życiowych</w:t>
            </w:r>
          </w:p>
        </w:tc>
        <w:tc>
          <w:tcPr>
            <w:tcW w:w="1678" w:type="dxa"/>
          </w:tcPr>
          <w:p w14:paraId="7D86C985" w14:textId="77777777" w:rsidR="00400B4E" w:rsidRPr="002002D6" w:rsidRDefault="00400B4E" w:rsidP="00BA1554">
            <w:pPr>
              <w:pStyle w:val="elementgraficznytabela"/>
              <w:spacing w:after="240"/>
              <w:contextualSpacing/>
              <w:jc w:val="left"/>
              <w:cnfStyle w:val="000000000000" w:firstRow="0" w:lastRow="0" w:firstColumn="0" w:lastColumn="0" w:oddVBand="0" w:evenVBand="0" w:oddHBand="0" w:evenHBand="0" w:firstRowFirstColumn="0" w:firstRowLastColumn="0" w:lastRowFirstColumn="0" w:lastRowLastColumn="0"/>
            </w:pPr>
            <w:r>
              <w:t>Wszystkie gminy z obszaru Partnerstwa</w:t>
            </w:r>
          </w:p>
        </w:tc>
      </w:tr>
      <w:tr w:rsidR="00400B4E" w:rsidRPr="00B14787" w14:paraId="00A9185C" w14:textId="77777777" w:rsidTr="00ED2BBA">
        <w:tc>
          <w:tcPr>
            <w:cnfStyle w:val="001000000000" w:firstRow="0" w:lastRow="0" w:firstColumn="1" w:lastColumn="0" w:oddVBand="0" w:evenVBand="0" w:oddHBand="0" w:evenHBand="0" w:firstRowFirstColumn="0" w:firstRowLastColumn="0" w:lastRowFirstColumn="0" w:lastRowLastColumn="0"/>
            <w:tcW w:w="1713" w:type="dxa"/>
          </w:tcPr>
          <w:p w14:paraId="61B26657" w14:textId="77777777" w:rsidR="00400B4E" w:rsidRPr="00745CDB" w:rsidRDefault="00400B4E" w:rsidP="00BA1554">
            <w:pPr>
              <w:ind w:left="0"/>
              <w:contextualSpacing/>
              <w:rPr>
                <w:rStyle w:val="Pogrubienie"/>
                <w:lang w:val="pl-PL"/>
              </w:rPr>
            </w:pPr>
            <w:r w:rsidRPr="00745CDB">
              <w:rPr>
                <w:rStyle w:val="Pogrubienie"/>
                <w:lang w:val="pl-PL"/>
              </w:rPr>
              <w:t>Dostawcy usług o charakterze podstawowym</w:t>
            </w:r>
          </w:p>
        </w:tc>
        <w:tc>
          <w:tcPr>
            <w:tcW w:w="5795" w:type="dxa"/>
          </w:tcPr>
          <w:p w14:paraId="140D02C2" w14:textId="77777777" w:rsidR="00400B4E" w:rsidRDefault="00400B4E" w:rsidP="00BA1554">
            <w:pPr>
              <w:pStyle w:val="elementgraficznytabela"/>
              <w:spacing w:after="240"/>
              <w:contextualSpacing/>
              <w:jc w:val="left"/>
              <w:cnfStyle w:val="000000000000" w:firstRow="0" w:lastRow="0" w:firstColumn="0" w:lastColumn="0" w:oddVBand="0" w:evenVBand="0" w:oddHBand="0" w:evenHBand="0" w:firstRowFirstColumn="0" w:firstRowLastColumn="0" w:lastRowFirstColumn="0" w:lastRowLastColumn="0"/>
            </w:pPr>
            <w:r w:rsidRPr="002649E5">
              <w:t>Związana z dostarczaniem usług</w:t>
            </w:r>
            <w:r>
              <w:t xml:space="preserve"> (w tym publicznych) o charakterze podstawowym, w szczególności:</w:t>
            </w:r>
          </w:p>
          <w:p w14:paraId="522F7636" w14:textId="77777777" w:rsidR="00400B4E" w:rsidRPr="008C313D" w:rsidRDefault="00400B4E" w:rsidP="00B063F0">
            <w:pPr>
              <w:pStyle w:val="elementgraficznytabela"/>
              <w:numPr>
                <w:ilvl w:val="0"/>
                <w:numId w:val="22"/>
              </w:numPr>
              <w:spacing w:after="240"/>
              <w:contextualSpacing/>
              <w:jc w:val="left"/>
              <w:cnfStyle w:val="000000000000" w:firstRow="0" w:lastRow="0" w:firstColumn="0" w:lastColumn="0" w:oddVBand="0" w:evenVBand="0" w:oddHBand="0" w:evenHBand="0" w:firstRowFirstColumn="0" w:firstRowLastColumn="0" w:lastRowFirstColumn="0" w:lastRowLastColumn="0"/>
            </w:pPr>
            <w:r>
              <w:t>w</w:t>
            </w:r>
            <w:r w:rsidRPr="008C313D">
              <w:t>ychowawczych</w:t>
            </w:r>
            <w:r>
              <w:t xml:space="preserve"> i opiekuńczych (przedszkola, żłobki)</w:t>
            </w:r>
            <w:r w:rsidRPr="008C313D">
              <w:t>,</w:t>
            </w:r>
          </w:p>
          <w:p w14:paraId="01D6D621" w14:textId="77777777" w:rsidR="00400B4E" w:rsidRDefault="00400B4E" w:rsidP="00B063F0">
            <w:pPr>
              <w:pStyle w:val="elementgraficznytabela"/>
              <w:numPr>
                <w:ilvl w:val="0"/>
                <w:numId w:val="22"/>
              </w:numPr>
              <w:spacing w:after="240"/>
              <w:contextualSpacing/>
              <w:jc w:val="left"/>
              <w:cnfStyle w:val="000000000000" w:firstRow="0" w:lastRow="0" w:firstColumn="0" w:lastColumn="0" w:oddVBand="0" w:evenVBand="0" w:oddHBand="0" w:evenHBand="0" w:firstRowFirstColumn="0" w:firstRowLastColumn="0" w:lastRowFirstColumn="0" w:lastRowLastColumn="0"/>
            </w:pPr>
            <w:r w:rsidRPr="008C313D">
              <w:t>edukacyjnych na szczeblu ponadpodstawowym,</w:t>
            </w:r>
          </w:p>
          <w:p w14:paraId="29E161AB" w14:textId="77777777" w:rsidR="00400B4E" w:rsidRDefault="00400B4E" w:rsidP="00B063F0">
            <w:pPr>
              <w:pStyle w:val="elementgraficznytabela"/>
              <w:numPr>
                <w:ilvl w:val="0"/>
                <w:numId w:val="22"/>
              </w:numPr>
              <w:spacing w:after="240"/>
              <w:contextualSpacing/>
              <w:jc w:val="left"/>
              <w:cnfStyle w:val="000000000000" w:firstRow="0" w:lastRow="0" w:firstColumn="0" w:lastColumn="0" w:oddVBand="0" w:evenVBand="0" w:oddHBand="0" w:evenHBand="0" w:firstRowFirstColumn="0" w:firstRowLastColumn="0" w:lastRowFirstColumn="0" w:lastRowLastColumn="0"/>
            </w:pPr>
            <w:r w:rsidRPr="008C313D">
              <w:t>edukacji pozaszkolnej,</w:t>
            </w:r>
          </w:p>
          <w:p w14:paraId="466CA102" w14:textId="77777777" w:rsidR="00400B4E" w:rsidRPr="00B219CB" w:rsidRDefault="00400B4E" w:rsidP="00B063F0">
            <w:pPr>
              <w:pStyle w:val="elementgraficznytabela"/>
              <w:numPr>
                <w:ilvl w:val="0"/>
                <w:numId w:val="24"/>
              </w:numPr>
              <w:spacing w:after="240"/>
              <w:contextualSpacing/>
              <w:jc w:val="left"/>
              <w:cnfStyle w:val="000000000000" w:firstRow="0" w:lastRow="0" w:firstColumn="0" w:lastColumn="0" w:oddVBand="0" w:evenVBand="0" w:oddHBand="0" w:evenHBand="0" w:firstRowFirstColumn="0" w:firstRowLastColumn="0" w:lastRowFirstColumn="0" w:lastRowLastColumn="0"/>
            </w:pPr>
            <w:r>
              <w:t>związanych ze spędzaniem czasu wolnego</w:t>
            </w:r>
          </w:p>
        </w:tc>
        <w:tc>
          <w:tcPr>
            <w:tcW w:w="1678" w:type="dxa"/>
          </w:tcPr>
          <w:p w14:paraId="5069A9EF" w14:textId="77777777" w:rsidR="00400B4E" w:rsidRPr="004A1602" w:rsidRDefault="00400B4E" w:rsidP="00BA1554">
            <w:pPr>
              <w:pStyle w:val="elementgraficznytabela"/>
              <w:spacing w:after="240"/>
              <w:contextualSpacing/>
              <w:jc w:val="left"/>
              <w:cnfStyle w:val="000000000000" w:firstRow="0" w:lastRow="0" w:firstColumn="0" w:lastColumn="0" w:oddVBand="0" w:evenVBand="0" w:oddHBand="0" w:evenHBand="0" w:firstRowFirstColumn="0" w:firstRowLastColumn="0" w:lastRowFirstColumn="0" w:lastRowLastColumn="0"/>
            </w:pPr>
            <w:r>
              <w:t>Wszystkie gminy z obszaru Partnerstwa</w:t>
            </w:r>
          </w:p>
        </w:tc>
      </w:tr>
      <w:tr w:rsidR="00400B4E" w14:paraId="077D14FB" w14:textId="77777777" w:rsidTr="00ED2BBA">
        <w:trPr>
          <w:trHeight w:val="2362"/>
        </w:trPr>
        <w:tc>
          <w:tcPr>
            <w:cnfStyle w:val="001000000000" w:firstRow="0" w:lastRow="0" w:firstColumn="1" w:lastColumn="0" w:oddVBand="0" w:evenVBand="0" w:oddHBand="0" w:evenHBand="0" w:firstRowFirstColumn="0" w:firstRowLastColumn="0" w:lastRowFirstColumn="0" w:lastRowLastColumn="0"/>
            <w:tcW w:w="1713" w:type="dxa"/>
          </w:tcPr>
          <w:p w14:paraId="72182F6D" w14:textId="77777777" w:rsidR="00400B4E" w:rsidRPr="00745CDB" w:rsidRDefault="00400B4E" w:rsidP="00BA1554">
            <w:pPr>
              <w:ind w:left="0"/>
              <w:contextualSpacing/>
              <w:rPr>
                <w:rStyle w:val="Pogrubienie"/>
              </w:rPr>
            </w:pPr>
            <w:r w:rsidRPr="00745CDB">
              <w:rPr>
                <w:rStyle w:val="Pogrubienie"/>
              </w:rPr>
              <w:lastRenderedPageBreak/>
              <w:t>Dostawcy usług o charakterze wyspecjalizowanym</w:t>
            </w:r>
          </w:p>
          <w:p w14:paraId="24E056AC" w14:textId="77777777" w:rsidR="00400B4E" w:rsidRPr="00745CDB" w:rsidRDefault="00400B4E" w:rsidP="00BA1554">
            <w:pPr>
              <w:ind w:left="0"/>
              <w:contextualSpacing/>
              <w:rPr>
                <w:rStyle w:val="Pogrubienie"/>
              </w:rPr>
            </w:pPr>
          </w:p>
        </w:tc>
        <w:tc>
          <w:tcPr>
            <w:tcW w:w="5795" w:type="dxa"/>
          </w:tcPr>
          <w:p w14:paraId="4D69BD0E" w14:textId="77777777" w:rsidR="00400B4E" w:rsidRDefault="00400B4E" w:rsidP="00BA1554">
            <w:pPr>
              <w:pStyle w:val="elementgraficznytabela"/>
              <w:spacing w:after="240"/>
              <w:contextualSpacing/>
              <w:jc w:val="left"/>
              <w:cnfStyle w:val="000000000000" w:firstRow="0" w:lastRow="0" w:firstColumn="0" w:lastColumn="0" w:oddVBand="0" w:evenVBand="0" w:oddHBand="0" w:evenHBand="0" w:firstRowFirstColumn="0" w:firstRowLastColumn="0" w:lastRowFirstColumn="0" w:lastRowLastColumn="0"/>
            </w:pPr>
            <w:r w:rsidRPr="002649E5">
              <w:t>Związana z dostarczaniem usług</w:t>
            </w:r>
            <w:r>
              <w:t xml:space="preserve"> (w tym publicznych) o charakterze ponadpodstawowym -wyspecjalizowanym, w szczególności:</w:t>
            </w:r>
          </w:p>
          <w:p w14:paraId="6C86A13E" w14:textId="1A2049D0" w:rsidR="00400B4E" w:rsidRPr="008C313D" w:rsidRDefault="006E6DDE" w:rsidP="00B063F0">
            <w:pPr>
              <w:pStyle w:val="elementgraficznytabela"/>
              <w:numPr>
                <w:ilvl w:val="0"/>
                <w:numId w:val="24"/>
              </w:numPr>
              <w:spacing w:after="240"/>
              <w:contextualSpacing/>
              <w:jc w:val="left"/>
              <w:cnfStyle w:val="000000000000" w:firstRow="0" w:lastRow="0" w:firstColumn="0" w:lastColumn="0" w:oddVBand="0" w:evenVBand="0" w:oddHBand="0" w:evenHBand="0" w:firstRowFirstColumn="0" w:firstRowLastColumn="0" w:lastRowFirstColumn="0" w:lastRowLastColumn="0"/>
            </w:pPr>
            <w:r>
              <w:t>w</w:t>
            </w:r>
            <w:r w:rsidR="00400B4E" w:rsidRPr="008C313D">
              <w:t>ychowawczych</w:t>
            </w:r>
            <w:r w:rsidR="00400B4E">
              <w:t xml:space="preserve"> i opiekuńczych</w:t>
            </w:r>
            <w:r>
              <w:t>,</w:t>
            </w:r>
          </w:p>
          <w:p w14:paraId="03E4BB97" w14:textId="77777777" w:rsidR="00400B4E" w:rsidRDefault="00400B4E" w:rsidP="00B063F0">
            <w:pPr>
              <w:pStyle w:val="elementgraficznytabela"/>
              <w:numPr>
                <w:ilvl w:val="0"/>
                <w:numId w:val="24"/>
              </w:numPr>
              <w:spacing w:after="240"/>
              <w:contextualSpacing/>
              <w:jc w:val="left"/>
              <w:cnfStyle w:val="000000000000" w:firstRow="0" w:lastRow="0" w:firstColumn="0" w:lastColumn="0" w:oddVBand="0" w:evenVBand="0" w:oddHBand="0" w:evenHBand="0" w:firstRowFirstColumn="0" w:firstRowLastColumn="0" w:lastRowFirstColumn="0" w:lastRowLastColumn="0"/>
            </w:pPr>
            <w:r w:rsidRPr="008C313D">
              <w:t>edukacyjnych na szczeblu ponadpodstawowym,</w:t>
            </w:r>
          </w:p>
          <w:p w14:paraId="78FD5144" w14:textId="77777777" w:rsidR="00400B4E" w:rsidRDefault="00400B4E" w:rsidP="00B063F0">
            <w:pPr>
              <w:pStyle w:val="elementgraficznytabela"/>
              <w:numPr>
                <w:ilvl w:val="0"/>
                <w:numId w:val="24"/>
              </w:numPr>
              <w:spacing w:after="240"/>
              <w:contextualSpacing/>
              <w:jc w:val="left"/>
              <w:cnfStyle w:val="000000000000" w:firstRow="0" w:lastRow="0" w:firstColumn="0" w:lastColumn="0" w:oddVBand="0" w:evenVBand="0" w:oddHBand="0" w:evenHBand="0" w:firstRowFirstColumn="0" w:firstRowLastColumn="0" w:lastRowFirstColumn="0" w:lastRowLastColumn="0"/>
            </w:pPr>
            <w:r w:rsidRPr="008C313D">
              <w:t>edukacji pozaszkolnej,</w:t>
            </w:r>
          </w:p>
          <w:p w14:paraId="29238D7F" w14:textId="77777777" w:rsidR="00400B4E" w:rsidRDefault="00400B4E" w:rsidP="00B063F0">
            <w:pPr>
              <w:pStyle w:val="elementgraficznytabela"/>
              <w:numPr>
                <w:ilvl w:val="0"/>
                <w:numId w:val="25"/>
              </w:numPr>
              <w:spacing w:after="240"/>
              <w:contextualSpacing/>
              <w:jc w:val="left"/>
              <w:cnfStyle w:val="000000000000" w:firstRow="0" w:lastRow="0" w:firstColumn="0" w:lastColumn="0" w:oddVBand="0" w:evenVBand="0" w:oddHBand="0" w:evenHBand="0" w:firstRowFirstColumn="0" w:firstRowLastColumn="0" w:lastRowFirstColumn="0" w:lastRowLastColumn="0"/>
            </w:pPr>
            <w:r>
              <w:t>związanych ze spędzaniem czasu wolnego – w szczególności kultury wyższej</w:t>
            </w:r>
          </w:p>
          <w:p w14:paraId="53F81B46" w14:textId="77777777" w:rsidR="00400B4E" w:rsidRPr="00260DA3" w:rsidRDefault="00400B4E" w:rsidP="00B063F0">
            <w:pPr>
              <w:pStyle w:val="elementgraficznytabela"/>
              <w:numPr>
                <w:ilvl w:val="0"/>
                <w:numId w:val="25"/>
              </w:numPr>
              <w:spacing w:after="240"/>
              <w:contextualSpacing/>
              <w:jc w:val="left"/>
              <w:cnfStyle w:val="000000000000" w:firstRow="0" w:lastRow="0" w:firstColumn="0" w:lastColumn="0" w:oddVBand="0" w:evenVBand="0" w:oddHBand="0" w:evenHBand="0" w:firstRowFirstColumn="0" w:firstRowLastColumn="0" w:lastRowFirstColumn="0" w:lastRowLastColumn="0"/>
            </w:pPr>
            <w:r>
              <w:t>specjalistycznych usług zdrowotnych i usług społecznych</w:t>
            </w:r>
          </w:p>
        </w:tc>
        <w:tc>
          <w:tcPr>
            <w:tcW w:w="1678" w:type="dxa"/>
          </w:tcPr>
          <w:p w14:paraId="703B39F9" w14:textId="77777777" w:rsidR="00400B4E" w:rsidRDefault="00400B4E" w:rsidP="00BA1554">
            <w:pPr>
              <w:pStyle w:val="elementgraficznytabela"/>
              <w:spacing w:after="240"/>
              <w:contextualSpacing/>
              <w:jc w:val="left"/>
              <w:cnfStyle w:val="000000000000" w:firstRow="0" w:lastRow="0" w:firstColumn="0" w:lastColumn="0" w:oddVBand="0" w:evenVBand="0" w:oddHBand="0" w:evenHBand="0" w:firstRowFirstColumn="0" w:firstRowLastColumn="0" w:lastRowFirstColumn="0" w:lastRowLastColumn="0"/>
            </w:pPr>
            <w:r>
              <w:t xml:space="preserve">Miasta: </w:t>
            </w:r>
            <w:r w:rsidRPr="00CC1CDE">
              <w:t>Działdowo, Szczytno, Nidzica, Pisz</w:t>
            </w:r>
          </w:p>
          <w:p w14:paraId="2B2BF4BA" w14:textId="77777777" w:rsidR="00400B4E" w:rsidRDefault="00400B4E" w:rsidP="00BA1554">
            <w:pPr>
              <w:pStyle w:val="elementgraficznytabela"/>
              <w:spacing w:after="240"/>
              <w:contextualSpacing/>
              <w:jc w:val="left"/>
              <w:cnfStyle w:val="000000000000" w:firstRow="0" w:lastRow="0" w:firstColumn="0" w:lastColumn="0" w:oddVBand="0" w:evenVBand="0" w:oddHBand="0" w:evenHBand="0" w:firstRowFirstColumn="0" w:firstRowLastColumn="0" w:lastRowFirstColumn="0" w:lastRowLastColumn="0"/>
            </w:pPr>
          </w:p>
          <w:p w14:paraId="5058535E" w14:textId="77777777" w:rsidR="00400B4E" w:rsidRDefault="00400B4E" w:rsidP="00BA1554">
            <w:pPr>
              <w:pStyle w:val="elementgraficznytabela"/>
              <w:spacing w:after="240"/>
              <w:contextualSpacing/>
              <w:jc w:val="left"/>
              <w:cnfStyle w:val="000000000000" w:firstRow="0" w:lastRow="0" w:firstColumn="0" w:lastColumn="0" w:oddVBand="0" w:evenVBand="0" w:oddHBand="0" w:evenHBand="0" w:firstRowFirstColumn="0" w:firstRowLastColumn="0" w:lastRowFirstColumn="0" w:lastRowLastColumn="0"/>
            </w:pPr>
          </w:p>
          <w:p w14:paraId="67832825" w14:textId="77777777" w:rsidR="00400B4E" w:rsidRDefault="00400B4E" w:rsidP="00BA1554">
            <w:pPr>
              <w:pStyle w:val="elementgraficznytabela"/>
              <w:spacing w:after="240"/>
              <w:contextualSpacing/>
              <w:jc w:val="left"/>
              <w:cnfStyle w:val="000000000000" w:firstRow="0" w:lastRow="0" w:firstColumn="0" w:lastColumn="0" w:oddVBand="0" w:evenVBand="0" w:oddHBand="0" w:evenHBand="0" w:firstRowFirstColumn="0" w:firstRowLastColumn="0" w:lastRowFirstColumn="0" w:lastRowLastColumn="0"/>
            </w:pPr>
          </w:p>
          <w:p w14:paraId="2DA7FBF8" w14:textId="77777777" w:rsidR="00400B4E" w:rsidRDefault="00400B4E" w:rsidP="00BA1554">
            <w:pPr>
              <w:pStyle w:val="elementgraficznytabela"/>
              <w:spacing w:after="240"/>
              <w:contextualSpacing/>
              <w:jc w:val="left"/>
              <w:cnfStyle w:val="000000000000" w:firstRow="0" w:lastRow="0" w:firstColumn="0" w:lastColumn="0" w:oddVBand="0" w:evenVBand="0" w:oddHBand="0" w:evenHBand="0" w:firstRowFirstColumn="0" w:firstRowLastColumn="0" w:lastRowFirstColumn="0" w:lastRowLastColumn="0"/>
            </w:pPr>
          </w:p>
          <w:p w14:paraId="207A1B7C" w14:textId="77777777" w:rsidR="00400B4E" w:rsidRPr="002649E5" w:rsidRDefault="00400B4E" w:rsidP="00BA1554">
            <w:pPr>
              <w:pStyle w:val="elementgraficznytabela"/>
              <w:spacing w:after="240"/>
              <w:contextualSpacing/>
              <w:jc w:val="left"/>
              <w:cnfStyle w:val="000000000000" w:firstRow="0" w:lastRow="0" w:firstColumn="0" w:lastColumn="0" w:oddVBand="0" w:evenVBand="0" w:oddHBand="0" w:evenHBand="0" w:firstRowFirstColumn="0" w:firstRowLastColumn="0" w:lastRowFirstColumn="0" w:lastRowLastColumn="0"/>
            </w:pPr>
          </w:p>
        </w:tc>
      </w:tr>
    </w:tbl>
    <w:p w14:paraId="1709E2CE" w14:textId="49A61C05" w:rsidR="00400B4E" w:rsidRPr="00733091" w:rsidRDefault="00400B4E" w:rsidP="006E6ABC">
      <w:pPr>
        <w:pStyle w:val="podpiselementu"/>
        <w:spacing w:after="240"/>
        <w:rPr>
          <w:lang w:val="pl-PL" w:eastAsia="pl-PL"/>
        </w:rPr>
      </w:pPr>
      <w:r w:rsidRPr="00733091">
        <w:rPr>
          <w:lang w:val="pl-PL"/>
        </w:rPr>
        <w:t xml:space="preserve">Źródło: opracowanie własne </w:t>
      </w:r>
      <w:r w:rsidRPr="00733091">
        <w:rPr>
          <w:lang w:val="pl-PL" w:eastAsia="pl-PL"/>
        </w:rPr>
        <w:t>na podstawie badania członków Partnerstwa</w:t>
      </w:r>
    </w:p>
    <w:p w14:paraId="714EBA52" w14:textId="77777777" w:rsidR="00400B4E" w:rsidRPr="00733091" w:rsidRDefault="00400B4E" w:rsidP="00733091">
      <w:pPr>
        <w:rPr>
          <w:color w:val="FF0000"/>
          <w:lang w:val="pl-PL"/>
        </w:rPr>
      </w:pPr>
      <w:r w:rsidRPr="00733091">
        <w:rPr>
          <w:lang w:val="pl-PL"/>
        </w:rPr>
        <w:t>Wskazane wyżej funkcje ośrodków, realizowane także przez JST uzupełniane są funkcjami ośrodków osiedleńczych związanymi z alokacją zasobów, tj:</w:t>
      </w:r>
    </w:p>
    <w:p w14:paraId="744ED28C" w14:textId="77777777" w:rsidR="00400B4E" w:rsidRPr="00733091" w:rsidRDefault="00400B4E" w:rsidP="00B063F0">
      <w:pPr>
        <w:pStyle w:val="Akapitzlist"/>
        <w:numPr>
          <w:ilvl w:val="0"/>
          <w:numId w:val="15"/>
        </w:numPr>
        <w:ind w:left="1134" w:hanging="284"/>
        <w:rPr>
          <w:lang w:val="pl-PL"/>
        </w:rPr>
      </w:pPr>
      <w:r w:rsidRPr="00733091">
        <w:rPr>
          <w:lang w:val="pl-PL"/>
        </w:rPr>
        <w:t>funkcją dostawcy zasobów na rynki pracy,</w:t>
      </w:r>
    </w:p>
    <w:p w14:paraId="0EF04152" w14:textId="77777777" w:rsidR="00400B4E" w:rsidRPr="00733091" w:rsidRDefault="00400B4E" w:rsidP="00B063F0">
      <w:pPr>
        <w:pStyle w:val="Akapitzlist"/>
        <w:numPr>
          <w:ilvl w:val="0"/>
          <w:numId w:val="14"/>
        </w:numPr>
        <w:ind w:left="1134" w:hanging="284"/>
        <w:rPr>
          <w:lang w:val="pl-PL"/>
        </w:rPr>
      </w:pPr>
      <w:r w:rsidRPr="00733091">
        <w:rPr>
          <w:lang w:val="pl-PL"/>
        </w:rPr>
        <w:t>funkcją dostawcy zasobów na rynki zbytu</w:t>
      </w:r>
      <w:r>
        <w:rPr>
          <w:rStyle w:val="Odwoanieprzypisudolnego"/>
        </w:rPr>
        <w:footnoteReference w:id="22"/>
      </w:r>
      <w:r w:rsidRPr="00733091">
        <w:rPr>
          <w:lang w:val="pl-PL"/>
        </w:rPr>
        <w:t>,</w:t>
      </w:r>
    </w:p>
    <w:p w14:paraId="32068F07" w14:textId="77777777" w:rsidR="00400B4E" w:rsidRDefault="00400B4E" w:rsidP="00B063F0">
      <w:pPr>
        <w:pStyle w:val="Akapitzlist"/>
        <w:numPr>
          <w:ilvl w:val="0"/>
          <w:numId w:val="14"/>
        </w:numPr>
        <w:ind w:left="1134" w:hanging="284"/>
      </w:pPr>
      <w:r>
        <w:t>funkcją rynków pracy,</w:t>
      </w:r>
    </w:p>
    <w:p w14:paraId="40A9C7C6" w14:textId="77777777" w:rsidR="00400B4E" w:rsidRDefault="00400B4E" w:rsidP="00B063F0">
      <w:pPr>
        <w:pStyle w:val="Akapitzlist"/>
        <w:numPr>
          <w:ilvl w:val="0"/>
          <w:numId w:val="14"/>
        </w:numPr>
        <w:ind w:left="1134" w:hanging="284"/>
      </w:pPr>
      <w:r>
        <w:t>funkcją rynków zbytu.</w:t>
      </w:r>
    </w:p>
    <w:p w14:paraId="4C61D4AA" w14:textId="77777777" w:rsidR="00400B4E" w:rsidRPr="00733091" w:rsidRDefault="00400B4E" w:rsidP="00733091">
      <w:pPr>
        <w:rPr>
          <w:lang w:val="pl-PL"/>
        </w:rPr>
      </w:pPr>
      <w:r w:rsidRPr="00733091">
        <w:rPr>
          <w:lang w:val="pl-PL"/>
        </w:rPr>
        <w:t xml:space="preserve">Opis funkcji w </w:t>
      </w:r>
      <w:r w:rsidRPr="00733091">
        <w:rPr>
          <w:color w:val="001133"/>
          <w:shd w:val="clear" w:color="auto" w:fill="FFFFFF"/>
          <w:lang w:val="pl-PL"/>
        </w:rPr>
        <w:t>zakresie</w:t>
      </w:r>
      <w:r w:rsidRPr="00733091">
        <w:rPr>
          <w:shd w:val="clear" w:color="auto" w:fill="FFFFFF"/>
          <w:lang w:val="pl-PL"/>
        </w:rPr>
        <w:t xml:space="preserve"> alokacji zasobów oraz wykaz JST wypełniających te funkcje prezentuje poniższa tabela.</w:t>
      </w:r>
    </w:p>
    <w:p w14:paraId="60286083" w14:textId="39DEBC2B" w:rsidR="00400B4E" w:rsidRPr="00733091" w:rsidRDefault="00400B4E" w:rsidP="002E24A9">
      <w:pPr>
        <w:pStyle w:val="Legenda"/>
        <w:rPr>
          <w:rFonts w:cstheme="minorHAnsi"/>
          <w:color w:val="222222"/>
          <w:shd w:val="clear" w:color="auto" w:fill="FFFFFF"/>
          <w:lang w:val="pl-PL"/>
        </w:rPr>
      </w:pPr>
      <w:bookmarkStart w:id="29" w:name="_Toc69723252"/>
      <w:r w:rsidRPr="00733091">
        <w:rPr>
          <w:lang w:val="pl-PL"/>
        </w:rPr>
        <w:t xml:space="preserve">Tabela </w:t>
      </w:r>
      <w:r w:rsidR="00733091">
        <w:fldChar w:fldCharType="begin"/>
      </w:r>
      <w:r w:rsidR="00733091" w:rsidRPr="00733091">
        <w:rPr>
          <w:lang w:val="pl-PL"/>
        </w:rPr>
        <w:instrText xml:space="preserve"> SEQ Tabela \* ARABIC </w:instrText>
      </w:r>
      <w:r w:rsidR="00733091">
        <w:fldChar w:fldCharType="separate"/>
      </w:r>
      <w:r w:rsidR="00B14787">
        <w:rPr>
          <w:noProof/>
          <w:lang w:val="pl-PL"/>
        </w:rPr>
        <w:t>3</w:t>
      </w:r>
      <w:r w:rsidR="00733091">
        <w:rPr>
          <w:noProof/>
        </w:rPr>
        <w:fldChar w:fldCharType="end"/>
      </w:r>
      <w:r w:rsidRPr="00733091">
        <w:rPr>
          <w:lang w:val="pl-PL"/>
        </w:rPr>
        <w:t>: Funkcje gmin wyznaczane alokacją zasobów</w:t>
      </w:r>
      <w:bookmarkEnd w:id="29"/>
    </w:p>
    <w:tbl>
      <w:tblPr>
        <w:tblStyle w:val="CWD"/>
        <w:tblW w:w="5000" w:type="pct"/>
        <w:tblLook w:val="04A0" w:firstRow="1" w:lastRow="0" w:firstColumn="1" w:lastColumn="0" w:noHBand="0" w:noVBand="1"/>
      </w:tblPr>
      <w:tblGrid>
        <w:gridCol w:w="1699"/>
        <w:gridCol w:w="4026"/>
        <w:gridCol w:w="3335"/>
      </w:tblGrid>
      <w:tr w:rsidR="00400B4E" w:rsidRPr="00BD7811" w14:paraId="08E67E86" w14:textId="77777777" w:rsidTr="00ED2BB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3" w:type="dxa"/>
          </w:tcPr>
          <w:p w14:paraId="080B6ADE" w14:textId="77777777" w:rsidR="00400B4E" w:rsidRPr="00C519F9" w:rsidRDefault="00400B4E" w:rsidP="00BA1554">
            <w:pPr>
              <w:pStyle w:val="elementgraficznytabela"/>
              <w:spacing w:after="240"/>
              <w:contextualSpacing/>
              <w:rPr>
                <w:rStyle w:val="Pogrubienie"/>
                <w:b/>
                <w:bCs/>
              </w:rPr>
            </w:pPr>
            <w:r w:rsidRPr="00C519F9">
              <w:rPr>
                <w:rStyle w:val="Pogrubienie"/>
                <w:b/>
                <w:bCs/>
              </w:rPr>
              <w:t>Nazwa funkcji</w:t>
            </w:r>
          </w:p>
        </w:tc>
        <w:tc>
          <w:tcPr>
            <w:tcW w:w="4094" w:type="dxa"/>
          </w:tcPr>
          <w:p w14:paraId="390F81FE" w14:textId="77777777" w:rsidR="00400B4E" w:rsidRPr="00C519F9" w:rsidRDefault="00400B4E" w:rsidP="00BA1554">
            <w:pPr>
              <w:pStyle w:val="elementgraficznytabela"/>
              <w:spacing w:after="240"/>
              <w:contextualSpacing/>
              <w:cnfStyle w:val="100000000000" w:firstRow="1" w:lastRow="0" w:firstColumn="0" w:lastColumn="0" w:oddVBand="0" w:evenVBand="0" w:oddHBand="0" w:evenHBand="0" w:firstRowFirstColumn="0" w:firstRowLastColumn="0" w:lastRowFirstColumn="0" w:lastRowLastColumn="0"/>
              <w:rPr>
                <w:rStyle w:val="Pogrubienie"/>
                <w:b/>
                <w:bCs/>
              </w:rPr>
            </w:pPr>
            <w:r w:rsidRPr="00C519F9">
              <w:rPr>
                <w:rStyle w:val="Pogrubienie"/>
                <w:b/>
                <w:bCs/>
              </w:rPr>
              <w:t>Opis funkcji</w:t>
            </w:r>
          </w:p>
        </w:tc>
        <w:tc>
          <w:tcPr>
            <w:tcW w:w="3379" w:type="dxa"/>
          </w:tcPr>
          <w:p w14:paraId="22FAC1B8" w14:textId="77777777" w:rsidR="00400B4E" w:rsidRPr="00C519F9" w:rsidRDefault="00400B4E" w:rsidP="00BA1554">
            <w:pPr>
              <w:pStyle w:val="elementgraficznytabela"/>
              <w:spacing w:after="240"/>
              <w:contextualSpacing/>
              <w:cnfStyle w:val="100000000000" w:firstRow="1" w:lastRow="0" w:firstColumn="0" w:lastColumn="0" w:oddVBand="0" w:evenVBand="0" w:oddHBand="0" w:evenHBand="0" w:firstRowFirstColumn="0" w:firstRowLastColumn="0" w:lastRowFirstColumn="0" w:lastRowLastColumn="0"/>
              <w:rPr>
                <w:rStyle w:val="Pogrubienie"/>
                <w:b/>
                <w:bCs/>
              </w:rPr>
            </w:pPr>
            <w:r w:rsidRPr="00C519F9">
              <w:rPr>
                <w:rStyle w:val="Pogrubienie"/>
                <w:b/>
                <w:bCs/>
              </w:rPr>
              <w:t>Ośrodki/gminy</w:t>
            </w:r>
          </w:p>
        </w:tc>
      </w:tr>
      <w:tr w:rsidR="00400B4E" w:rsidRPr="00B14787" w14:paraId="4855DED4" w14:textId="77777777" w:rsidTr="00ED2BBA">
        <w:tc>
          <w:tcPr>
            <w:cnfStyle w:val="001000000000" w:firstRow="0" w:lastRow="0" w:firstColumn="1" w:lastColumn="0" w:oddVBand="0" w:evenVBand="0" w:oddHBand="0" w:evenHBand="0" w:firstRowFirstColumn="0" w:firstRowLastColumn="0" w:lastRowFirstColumn="0" w:lastRowLastColumn="0"/>
            <w:tcW w:w="1713" w:type="dxa"/>
          </w:tcPr>
          <w:p w14:paraId="0D908385" w14:textId="77777777" w:rsidR="00400B4E" w:rsidRPr="00733091" w:rsidRDefault="00400B4E" w:rsidP="00BA1554">
            <w:pPr>
              <w:ind w:left="0"/>
              <w:contextualSpacing/>
              <w:rPr>
                <w:rStyle w:val="Pogrubienie"/>
                <w:b/>
                <w:bCs/>
                <w:lang w:val="pl-PL"/>
              </w:rPr>
            </w:pPr>
            <w:r w:rsidRPr="00733091">
              <w:rPr>
                <w:rStyle w:val="Pogrubienie"/>
                <w:b/>
                <w:bCs/>
                <w:lang w:val="pl-PL"/>
              </w:rPr>
              <w:t>Dostawcy zasobów na rynki pracy</w:t>
            </w:r>
          </w:p>
        </w:tc>
        <w:tc>
          <w:tcPr>
            <w:tcW w:w="4094" w:type="dxa"/>
          </w:tcPr>
          <w:p w14:paraId="6210F5CE" w14:textId="218B4807" w:rsidR="00400B4E" w:rsidRPr="006E6ABC" w:rsidRDefault="00400B4E" w:rsidP="00BA1554">
            <w:pPr>
              <w:pStyle w:val="elementgraficznytabela"/>
              <w:spacing w:after="240"/>
              <w:contextualSpacing/>
              <w:jc w:val="left"/>
              <w:cnfStyle w:val="000000000000" w:firstRow="0" w:lastRow="0" w:firstColumn="0" w:lastColumn="0" w:oddVBand="0" w:evenVBand="0" w:oddHBand="0" w:evenHBand="0" w:firstRowFirstColumn="0" w:firstRowLastColumn="0" w:lastRowFirstColumn="0" w:lastRowLastColumn="0"/>
            </w:pPr>
            <w:r w:rsidRPr="00BD7811">
              <w:t xml:space="preserve">Związana z obsługą </w:t>
            </w:r>
            <w:r>
              <w:t>lokalnych</w:t>
            </w:r>
            <w:r w:rsidRPr="00BD7811">
              <w:t xml:space="preserve"> rynk</w:t>
            </w:r>
            <w:r>
              <w:t>ów</w:t>
            </w:r>
            <w:r w:rsidRPr="00BD7811">
              <w:t xml:space="preserve"> prac</w:t>
            </w:r>
            <w:r>
              <w:t xml:space="preserve">y przez </w:t>
            </w:r>
            <w:r w:rsidRPr="00BD7811">
              <w:t>dostarcza</w:t>
            </w:r>
            <w:r>
              <w:t>nie</w:t>
            </w:r>
            <w:r w:rsidRPr="00BD7811">
              <w:t xml:space="preserve"> niezbędn</w:t>
            </w:r>
            <w:r>
              <w:t>ych</w:t>
            </w:r>
            <w:r w:rsidRPr="00BD7811">
              <w:t xml:space="preserve"> zasob</w:t>
            </w:r>
            <w:r>
              <w:t>ów</w:t>
            </w:r>
            <w:r w:rsidRPr="00BD7811">
              <w:t xml:space="preserve"> (w tym w szczególności zas</w:t>
            </w:r>
            <w:r>
              <w:t>obów</w:t>
            </w:r>
            <w:r w:rsidRPr="00BD7811">
              <w:t xml:space="preserve"> ludzki</w:t>
            </w:r>
            <w:r>
              <w:t>ch</w:t>
            </w:r>
            <w:r w:rsidRPr="00BD7811">
              <w:t xml:space="preserve">) </w:t>
            </w:r>
            <w:r>
              <w:t>i usług.</w:t>
            </w:r>
          </w:p>
        </w:tc>
        <w:tc>
          <w:tcPr>
            <w:tcW w:w="3379" w:type="dxa"/>
          </w:tcPr>
          <w:p w14:paraId="3FB2C5AA" w14:textId="77777777" w:rsidR="00400B4E" w:rsidRPr="00BD7811" w:rsidRDefault="00400B4E" w:rsidP="00BA1554">
            <w:pPr>
              <w:pStyle w:val="elementgraficznytabela"/>
              <w:spacing w:after="240"/>
              <w:contextualSpacing/>
              <w:jc w:val="left"/>
              <w:cnfStyle w:val="000000000000" w:firstRow="0" w:lastRow="0" w:firstColumn="0" w:lastColumn="0" w:oddVBand="0" w:evenVBand="0" w:oddHBand="0" w:evenHBand="0" w:firstRowFirstColumn="0" w:firstRowLastColumn="0" w:lastRowFirstColumn="0" w:lastRowLastColumn="0"/>
            </w:pPr>
            <w:r>
              <w:t>Biała Piska, Pisz, gmina Działdowo, Janowiec Kościelny, Janowo, Jedwabno, Kozłowo, Płośnica, Świętajno</w:t>
            </w:r>
          </w:p>
        </w:tc>
      </w:tr>
      <w:tr w:rsidR="00400B4E" w:rsidRPr="00B14787" w14:paraId="76ACB744" w14:textId="77777777" w:rsidTr="00ED2BBA">
        <w:trPr>
          <w:trHeight w:val="724"/>
        </w:trPr>
        <w:tc>
          <w:tcPr>
            <w:cnfStyle w:val="001000000000" w:firstRow="0" w:lastRow="0" w:firstColumn="1" w:lastColumn="0" w:oddVBand="0" w:evenVBand="0" w:oddHBand="0" w:evenHBand="0" w:firstRowFirstColumn="0" w:firstRowLastColumn="0" w:lastRowFirstColumn="0" w:lastRowLastColumn="0"/>
            <w:tcW w:w="1713" w:type="dxa"/>
          </w:tcPr>
          <w:p w14:paraId="21523D37" w14:textId="77777777" w:rsidR="00400B4E" w:rsidRPr="00733091" w:rsidRDefault="00400B4E" w:rsidP="00BA1554">
            <w:pPr>
              <w:ind w:left="0"/>
              <w:contextualSpacing/>
              <w:rPr>
                <w:rStyle w:val="Pogrubienie"/>
                <w:b/>
                <w:bCs/>
                <w:lang w:val="pl-PL"/>
              </w:rPr>
            </w:pPr>
            <w:r w:rsidRPr="00733091">
              <w:rPr>
                <w:rStyle w:val="Pogrubienie"/>
                <w:b/>
                <w:bCs/>
                <w:lang w:val="pl-PL"/>
              </w:rPr>
              <w:t>Dostawcy zasobów na rynki zbytu</w:t>
            </w:r>
          </w:p>
        </w:tc>
        <w:tc>
          <w:tcPr>
            <w:tcW w:w="4094" w:type="dxa"/>
          </w:tcPr>
          <w:p w14:paraId="6B03246B" w14:textId="77777777" w:rsidR="00400B4E" w:rsidRPr="008600D7" w:rsidRDefault="00400B4E" w:rsidP="00BA1554">
            <w:pPr>
              <w:pStyle w:val="elementgraficznytabela"/>
              <w:spacing w:after="240"/>
              <w:contextualSpacing/>
              <w:jc w:val="left"/>
              <w:cnfStyle w:val="000000000000" w:firstRow="0" w:lastRow="0" w:firstColumn="0" w:lastColumn="0" w:oddVBand="0" w:evenVBand="0" w:oddHBand="0" w:evenHBand="0" w:firstRowFirstColumn="0" w:firstRowLastColumn="0" w:lastRowFirstColumn="0" w:lastRowLastColumn="0"/>
            </w:pPr>
            <w:r w:rsidRPr="00BD7811">
              <w:t xml:space="preserve">Związana z obsługą </w:t>
            </w:r>
            <w:r>
              <w:t>lokalnych</w:t>
            </w:r>
            <w:r w:rsidRPr="00BD7811">
              <w:t xml:space="preserve"> rynk</w:t>
            </w:r>
            <w:r>
              <w:t>ów</w:t>
            </w:r>
            <w:r w:rsidRPr="00BD7811">
              <w:t xml:space="preserve"> </w:t>
            </w:r>
            <w:r>
              <w:t xml:space="preserve">zbytu przez </w:t>
            </w:r>
            <w:r w:rsidRPr="00BD7811">
              <w:t>dostarcza</w:t>
            </w:r>
            <w:r>
              <w:t>nie</w:t>
            </w:r>
            <w:r w:rsidRPr="00BD7811">
              <w:t xml:space="preserve"> niezbędn</w:t>
            </w:r>
            <w:r>
              <w:t>ych</w:t>
            </w:r>
            <w:r w:rsidRPr="00BD7811">
              <w:t xml:space="preserve"> zasob</w:t>
            </w:r>
            <w:r>
              <w:t>ów</w:t>
            </w:r>
            <w:r w:rsidRPr="00BD7811">
              <w:t xml:space="preserve"> (w tym w szczególności </w:t>
            </w:r>
            <w:r>
              <w:t>produktów rolnych)</w:t>
            </w:r>
          </w:p>
        </w:tc>
        <w:tc>
          <w:tcPr>
            <w:tcW w:w="3379" w:type="dxa"/>
          </w:tcPr>
          <w:p w14:paraId="72991AF9" w14:textId="77777777" w:rsidR="00400B4E" w:rsidRDefault="00400B4E" w:rsidP="00BA1554">
            <w:pPr>
              <w:pStyle w:val="elementgraficznytabela"/>
              <w:spacing w:after="240"/>
              <w:contextualSpacing/>
              <w:jc w:val="left"/>
              <w:cnfStyle w:val="000000000000" w:firstRow="0" w:lastRow="0" w:firstColumn="0" w:lastColumn="0" w:oddVBand="0" w:evenVBand="0" w:oddHBand="0" w:evenHBand="0" w:firstRowFirstColumn="0" w:firstRowLastColumn="0" w:lastRowFirstColumn="0" w:lastRowLastColumn="0"/>
            </w:pPr>
            <w:r w:rsidRPr="008600D7">
              <w:t>Działdowo (wieś), Janowiec Kościelny, Płośni</w:t>
            </w:r>
            <w:r>
              <w:t>c</w:t>
            </w:r>
            <w:r w:rsidRPr="008600D7">
              <w:t>a, Kozłowo,</w:t>
            </w:r>
          </w:p>
        </w:tc>
      </w:tr>
      <w:tr w:rsidR="00400B4E" w:rsidRPr="00B14787" w14:paraId="096413AE" w14:textId="77777777" w:rsidTr="00ED2BBA">
        <w:tc>
          <w:tcPr>
            <w:cnfStyle w:val="001000000000" w:firstRow="0" w:lastRow="0" w:firstColumn="1" w:lastColumn="0" w:oddVBand="0" w:evenVBand="0" w:oddHBand="0" w:evenHBand="0" w:firstRowFirstColumn="0" w:firstRowLastColumn="0" w:lastRowFirstColumn="0" w:lastRowLastColumn="0"/>
            <w:tcW w:w="1713" w:type="dxa"/>
          </w:tcPr>
          <w:p w14:paraId="5AFFB2CC" w14:textId="77777777" w:rsidR="00400B4E" w:rsidRPr="00C60C31" w:rsidRDefault="00400B4E" w:rsidP="00BA1554">
            <w:pPr>
              <w:ind w:left="0"/>
              <w:contextualSpacing/>
              <w:rPr>
                <w:rStyle w:val="Pogrubienie"/>
                <w:b/>
                <w:bCs/>
              </w:rPr>
            </w:pPr>
            <w:r w:rsidRPr="00C60C31">
              <w:rPr>
                <w:rStyle w:val="Pogrubienie"/>
                <w:b/>
                <w:bCs/>
              </w:rPr>
              <w:lastRenderedPageBreak/>
              <w:t>Rynki pracy</w:t>
            </w:r>
          </w:p>
        </w:tc>
        <w:tc>
          <w:tcPr>
            <w:tcW w:w="4094" w:type="dxa"/>
          </w:tcPr>
          <w:p w14:paraId="1E7B2922" w14:textId="7756FE32" w:rsidR="00400B4E" w:rsidRPr="009B1EE5" w:rsidRDefault="00400B4E" w:rsidP="00BA1554">
            <w:pPr>
              <w:pStyle w:val="elementgraficznytabela"/>
              <w:spacing w:after="240"/>
              <w:contextualSpacing/>
              <w:jc w:val="left"/>
              <w:cnfStyle w:val="000000000000" w:firstRow="0" w:lastRow="0" w:firstColumn="0" w:lastColumn="0" w:oddVBand="0" w:evenVBand="0" w:oddHBand="0" w:evenHBand="0" w:firstRowFirstColumn="0" w:firstRowLastColumn="0" w:lastRowFirstColumn="0" w:lastRowLastColumn="0"/>
              <w:rPr>
                <w:rFonts w:cstheme="minorHAnsi"/>
                <w:color w:val="343434"/>
              </w:rPr>
            </w:pPr>
            <w:r>
              <w:rPr>
                <w:rFonts w:cstheme="minorHAnsi"/>
                <w:color w:val="001133"/>
                <w:shd w:val="clear" w:color="auto" w:fill="FFFFFF"/>
              </w:rPr>
              <w:t>M</w:t>
            </w:r>
            <w:r w:rsidRPr="00A43A02">
              <w:rPr>
                <w:rFonts w:cstheme="minorHAnsi"/>
                <w:color w:val="001133"/>
                <w:shd w:val="clear" w:color="auto" w:fill="FFFFFF"/>
              </w:rPr>
              <w:t>iejsc</w:t>
            </w:r>
            <w:r>
              <w:rPr>
                <w:rFonts w:cstheme="minorHAnsi"/>
                <w:color w:val="001133"/>
                <w:shd w:val="clear" w:color="auto" w:fill="FFFFFF"/>
              </w:rPr>
              <w:t>e</w:t>
            </w:r>
            <w:r w:rsidRPr="00A43A02">
              <w:rPr>
                <w:rFonts w:cstheme="minorHAnsi"/>
                <w:color w:val="001133"/>
                <w:shd w:val="clear" w:color="auto" w:fill="FFFFFF"/>
              </w:rPr>
              <w:t xml:space="preserve"> najemnej pracy zarobkowej</w:t>
            </w:r>
            <w:r>
              <w:rPr>
                <w:rFonts w:cstheme="minorHAnsi"/>
                <w:color w:val="001133"/>
                <w:shd w:val="clear" w:color="auto" w:fill="FFFFFF"/>
              </w:rPr>
              <w:t xml:space="preserve"> i świadczenia usług</w:t>
            </w:r>
          </w:p>
        </w:tc>
        <w:tc>
          <w:tcPr>
            <w:tcW w:w="3379" w:type="dxa"/>
          </w:tcPr>
          <w:p w14:paraId="75E5BBD7" w14:textId="77777777" w:rsidR="00400B4E" w:rsidRPr="00A02457" w:rsidRDefault="00400B4E" w:rsidP="00BA1554">
            <w:pPr>
              <w:pStyle w:val="elementgraficznytabela"/>
              <w:spacing w:after="240"/>
              <w:contextualSpacing/>
              <w:jc w:val="left"/>
              <w:cnfStyle w:val="000000000000" w:firstRow="0" w:lastRow="0" w:firstColumn="0" w:lastColumn="0" w:oddVBand="0" w:evenVBand="0" w:oddHBand="0" w:evenHBand="0" w:firstRowFirstColumn="0" w:firstRowLastColumn="0" w:lastRowFirstColumn="0" w:lastRowLastColumn="0"/>
            </w:pPr>
            <w:r>
              <w:t>Działdowo gmina miejska, Szczytno gmina mi</w:t>
            </w:r>
            <w:r w:rsidRPr="00230C04">
              <w:t>ej</w:t>
            </w:r>
            <w:r>
              <w:t>ska, Nidzica, Wielbark, Ruciane Nida, Rozogi, Lidzbark, Nidzica</w:t>
            </w:r>
          </w:p>
        </w:tc>
      </w:tr>
      <w:tr w:rsidR="00400B4E" w:rsidRPr="00B14787" w14:paraId="4AF914B8" w14:textId="77777777" w:rsidTr="00ED2BBA">
        <w:tc>
          <w:tcPr>
            <w:cnfStyle w:val="001000000000" w:firstRow="0" w:lastRow="0" w:firstColumn="1" w:lastColumn="0" w:oddVBand="0" w:evenVBand="0" w:oddHBand="0" w:evenHBand="0" w:firstRowFirstColumn="0" w:firstRowLastColumn="0" w:lastRowFirstColumn="0" w:lastRowLastColumn="0"/>
            <w:tcW w:w="1713" w:type="dxa"/>
          </w:tcPr>
          <w:p w14:paraId="5F53B554" w14:textId="77777777" w:rsidR="00400B4E" w:rsidRPr="00C60C31" w:rsidRDefault="00400B4E" w:rsidP="00BA1554">
            <w:pPr>
              <w:ind w:left="0"/>
              <w:contextualSpacing/>
              <w:rPr>
                <w:rStyle w:val="Pogrubienie"/>
                <w:b/>
                <w:bCs/>
              </w:rPr>
            </w:pPr>
            <w:r w:rsidRPr="00C60C31">
              <w:rPr>
                <w:rStyle w:val="Pogrubienie"/>
                <w:b/>
                <w:bCs/>
              </w:rPr>
              <w:t>Rynki zbytu</w:t>
            </w:r>
          </w:p>
        </w:tc>
        <w:tc>
          <w:tcPr>
            <w:tcW w:w="4094" w:type="dxa"/>
          </w:tcPr>
          <w:p w14:paraId="29603D6B" w14:textId="77777777" w:rsidR="00400B4E" w:rsidRDefault="00400B4E" w:rsidP="00BA1554">
            <w:pPr>
              <w:pStyle w:val="elementgraficznytabela"/>
              <w:spacing w:after="240"/>
              <w:contextualSpacing/>
              <w:jc w:val="left"/>
              <w:cnfStyle w:val="000000000000" w:firstRow="0" w:lastRow="0" w:firstColumn="0" w:lastColumn="0" w:oddVBand="0" w:evenVBand="0" w:oddHBand="0" w:evenHBand="0" w:firstRowFirstColumn="0" w:firstRowLastColumn="0" w:lastRowFirstColumn="0" w:lastRowLastColumn="0"/>
              <w:rPr>
                <w:rFonts w:cstheme="minorHAnsi"/>
                <w:color w:val="001133"/>
                <w:shd w:val="clear" w:color="auto" w:fill="FFFFFF"/>
              </w:rPr>
            </w:pPr>
            <w:r>
              <w:rPr>
                <w:rFonts w:cstheme="minorHAnsi"/>
                <w:color w:val="001133"/>
                <w:shd w:val="clear" w:color="auto" w:fill="FFFFFF"/>
              </w:rPr>
              <w:t>Miejsce zbytu towarów i produktów</w:t>
            </w:r>
          </w:p>
        </w:tc>
        <w:tc>
          <w:tcPr>
            <w:tcW w:w="3379" w:type="dxa"/>
          </w:tcPr>
          <w:p w14:paraId="6C210CE8" w14:textId="77777777" w:rsidR="00400B4E" w:rsidRDefault="00400B4E" w:rsidP="00BA1554">
            <w:pPr>
              <w:pStyle w:val="elementgraficznytabela"/>
              <w:spacing w:after="240"/>
              <w:contextualSpacing/>
              <w:jc w:val="left"/>
              <w:cnfStyle w:val="000000000000" w:firstRow="0" w:lastRow="0" w:firstColumn="0" w:lastColumn="0" w:oddVBand="0" w:evenVBand="0" w:oddHBand="0" w:evenHBand="0" w:firstRowFirstColumn="0" w:firstRowLastColumn="0" w:lastRowFirstColumn="0" w:lastRowLastColumn="0"/>
            </w:pPr>
            <w:r>
              <w:t>Miasto Działdowo, Pisz, Pasym, Orzysz, Nidzica, Lidzbark, Biała Piska, miasto Szczytno</w:t>
            </w:r>
          </w:p>
        </w:tc>
      </w:tr>
    </w:tbl>
    <w:p w14:paraId="509CBB2C" w14:textId="77777777" w:rsidR="00400B4E" w:rsidRPr="00733091" w:rsidRDefault="00400B4E" w:rsidP="00733091">
      <w:pPr>
        <w:pStyle w:val="podpiselementu"/>
        <w:spacing w:after="240"/>
        <w:rPr>
          <w:lang w:val="pl-PL" w:eastAsia="pl-PL"/>
        </w:rPr>
      </w:pPr>
      <w:r w:rsidRPr="00733091">
        <w:rPr>
          <w:lang w:val="pl-PL"/>
        </w:rPr>
        <w:t xml:space="preserve">Źródło: opracowanie własne </w:t>
      </w:r>
      <w:r w:rsidRPr="00733091">
        <w:rPr>
          <w:lang w:val="pl-PL" w:eastAsia="pl-PL"/>
        </w:rPr>
        <w:t>na podstawie badania członków Partnerstwa</w:t>
      </w:r>
      <w:r w:rsidRPr="00733091">
        <w:rPr>
          <w:lang w:val="pl-PL" w:eastAsia="pl-PL"/>
        </w:rPr>
        <w:br/>
      </w:r>
    </w:p>
    <w:p w14:paraId="7157BA87" w14:textId="101989FE" w:rsidR="009D2F5C" w:rsidRPr="00690E7F" w:rsidRDefault="00955E2A" w:rsidP="00733091">
      <w:pPr>
        <w:pStyle w:val="Nagwek3"/>
        <w:spacing w:after="240"/>
        <w:rPr>
          <w:lang w:val="en-US"/>
        </w:rPr>
      </w:pPr>
      <w:bookmarkStart w:id="30" w:name="_Toc69725432"/>
      <w:r w:rsidRPr="00955E2A">
        <w:rPr>
          <w:lang w:val="en-US"/>
        </w:rPr>
        <w:t>Podsumowanie</w:t>
      </w:r>
      <w:bookmarkEnd w:id="30"/>
    </w:p>
    <w:p w14:paraId="1EDC0794" w14:textId="77777777" w:rsidR="00400B4E" w:rsidRPr="00733091" w:rsidRDefault="00400B4E" w:rsidP="00733091">
      <w:pPr>
        <w:rPr>
          <w:lang w:val="pl-PL"/>
        </w:rPr>
      </w:pPr>
      <w:r w:rsidRPr="00733091">
        <w:rPr>
          <w:lang w:val="pl-PL"/>
        </w:rPr>
        <w:t>Przewaga na terenie Partnerstwa usług o charakterze zbilansowanym</w:t>
      </w:r>
      <w:r w:rsidRPr="00733091">
        <w:rPr>
          <w:b/>
          <w:bCs/>
          <w:lang w:val="pl-PL"/>
        </w:rPr>
        <w:t xml:space="preserve"> </w:t>
      </w:r>
      <w:r w:rsidRPr="00733091">
        <w:rPr>
          <w:lang w:val="pl-PL"/>
        </w:rPr>
        <w:t xml:space="preserve">świadczy                                                           o </w:t>
      </w:r>
      <w:r w:rsidRPr="00733091">
        <w:rPr>
          <w:b/>
          <w:bCs/>
          <w:lang w:val="pl-PL"/>
        </w:rPr>
        <w:t>samowystarczalności obszaru</w:t>
      </w:r>
      <w:r w:rsidRPr="00733091">
        <w:rPr>
          <w:lang w:val="pl-PL"/>
        </w:rPr>
        <w:t xml:space="preserve"> </w:t>
      </w:r>
      <w:r w:rsidRPr="00733091">
        <w:rPr>
          <w:b/>
          <w:bCs/>
          <w:lang w:val="pl-PL"/>
        </w:rPr>
        <w:t>i dobrej dostępności usług</w:t>
      </w:r>
      <w:r w:rsidRPr="00733091">
        <w:rPr>
          <w:lang w:val="pl-PL"/>
        </w:rPr>
        <w:t xml:space="preserve"> zaspakajających podstawowe potrzeby</w:t>
      </w:r>
      <w:r w:rsidRPr="00733091">
        <w:rPr>
          <w:b/>
          <w:bCs/>
          <w:lang w:val="pl-PL"/>
        </w:rPr>
        <w:t xml:space="preserve"> </w:t>
      </w:r>
      <w:r w:rsidRPr="00733091">
        <w:rPr>
          <w:lang w:val="pl-PL"/>
        </w:rPr>
        <w:t>mieszkańców (potrzeby socjalno-bytowe, podstawowa opieka zdrowotna, wychowanie i edukacja do szczebla ponadpodstawowego, podstawowe usługi handlowe, kultura). Mieszkańcy obszaru Partnerstwa korzystają z tych usług głównie w gminach położonych na obszarze Partnerstwa, choć nie zawsze w tych, w których mieszkają</w:t>
      </w:r>
      <w:r w:rsidRPr="002445B0">
        <w:rPr>
          <w:rStyle w:val="Odwoanieprzypisudolnego"/>
        </w:rPr>
        <w:footnoteReference w:id="23"/>
      </w:r>
      <w:r w:rsidRPr="00733091">
        <w:rPr>
          <w:lang w:val="pl-PL"/>
        </w:rPr>
        <w:t xml:space="preserve"> (co tworzy </w:t>
      </w:r>
      <w:r w:rsidRPr="00733091">
        <w:rPr>
          <w:b/>
          <w:bCs/>
          <w:lang w:val="pl-PL"/>
        </w:rPr>
        <w:t>wewnętrzne powiązania funkcjonalne</w:t>
      </w:r>
      <w:r w:rsidRPr="00733091">
        <w:rPr>
          <w:lang w:val="pl-PL"/>
        </w:rPr>
        <w:t>).</w:t>
      </w:r>
    </w:p>
    <w:p w14:paraId="0C9533C8" w14:textId="77777777" w:rsidR="006E6DDE" w:rsidRDefault="00400B4E" w:rsidP="00733091">
      <w:pPr>
        <w:rPr>
          <w:lang w:val="pl-PL"/>
        </w:rPr>
      </w:pPr>
      <w:r w:rsidRPr="00733091">
        <w:rPr>
          <w:lang w:val="pl-PL"/>
        </w:rPr>
        <w:t xml:space="preserve">Usługi zaspokajające inne niż podstawowe potrzeby mieszkańców, tj. potrzeby </w:t>
      </w:r>
      <w:r w:rsidR="006E6DDE">
        <w:rPr>
          <w:lang w:val="pl-PL"/>
        </w:rPr>
        <w:br/>
      </w:r>
      <w:r w:rsidRPr="00733091">
        <w:rPr>
          <w:lang w:val="pl-PL"/>
        </w:rPr>
        <w:t xml:space="preserve">w zakresie edukacji wyższej, kultury wysokiej, wysokospecjalistycznych usług </w:t>
      </w:r>
      <w:r w:rsidR="006E6DDE">
        <w:rPr>
          <w:lang w:val="pl-PL"/>
        </w:rPr>
        <w:t>zdrowotnych</w:t>
      </w:r>
      <w:r w:rsidRPr="00733091">
        <w:rPr>
          <w:b/>
          <w:bCs/>
          <w:lang w:val="pl-PL"/>
        </w:rPr>
        <w:t xml:space="preserve"> nie są w wystarczającym stopniu dostępne na obszarze Partnerstwa</w:t>
      </w:r>
      <w:r w:rsidRPr="00733091">
        <w:rPr>
          <w:lang w:val="pl-PL"/>
        </w:rPr>
        <w:t>. Mieszkańcy obszaru korzystają z tych usług w ośrodkach zlokalizowanych poza Partnerstwem, przede wszystkim w Olsztynie lub w Ełku (</w:t>
      </w:r>
      <w:r w:rsidRPr="00733091">
        <w:rPr>
          <w:b/>
          <w:bCs/>
          <w:lang w:val="pl-PL"/>
        </w:rPr>
        <w:t>powiązania funkcjonalne zewnętrzne</w:t>
      </w:r>
      <w:r w:rsidRPr="00733091">
        <w:rPr>
          <w:lang w:val="pl-PL"/>
        </w:rPr>
        <w:t xml:space="preserve"> z ośrodkiem wojewódzkim lub ośrodkiem subregionalnym). </w:t>
      </w:r>
    </w:p>
    <w:p w14:paraId="7A1B7202" w14:textId="17C21B12" w:rsidR="00400B4E" w:rsidRPr="00733091" w:rsidRDefault="00400B4E" w:rsidP="00733091">
      <w:pPr>
        <w:rPr>
          <w:lang w:val="pl-PL"/>
        </w:rPr>
      </w:pPr>
      <w:r w:rsidRPr="00733091">
        <w:rPr>
          <w:lang w:val="pl-PL"/>
        </w:rPr>
        <w:t>Z uwagi na wielkość obszaru Partnerstwa oraz niską dostępność komunikacyjną obszaru nie wszyscy mieszkańcy Południowych Mazur mają możliwość skorzystania w porównywalnym stopniu z procesów rozwojowych miasta wojewódzkiego (Olsztyn) lub subregionalnego (Ełk)</w:t>
      </w:r>
      <w:r w:rsidRPr="002445B0">
        <w:rPr>
          <w:rStyle w:val="Odwoanieprzypisudolnego"/>
        </w:rPr>
        <w:footnoteReference w:id="24"/>
      </w:r>
      <w:r w:rsidRPr="00733091">
        <w:rPr>
          <w:lang w:val="pl-PL"/>
        </w:rPr>
        <w:t>.</w:t>
      </w:r>
    </w:p>
    <w:p w14:paraId="3E28419B" w14:textId="77777777" w:rsidR="006E6DDE" w:rsidRDefault="00400B4E" w:rsidP="006E6DDE">
      <w:pPr>
        <w:rPr>
          <w:rFonts w:cstheme="minorHAnsi"/>
          <w:lang w:val="pl-PL"/>
        </w:rPr>
      </w:pPr>
      <w:r w:rsidRPr="00733091">
        <w:rPr>
          <w:rFonts w:cstheme="minorHAnsi"/>
          <w:lang w:val="pl-PL"/>
        </w:rPr>
        <w:t>Analiza wewnętrznych powiązań funkcjonalnych Partnerstwa</w:t>
      </w:r>
      <w:r>
        <w:rPr>
          <w:rStyle w:val="Odwoanieprzypisudolnego"/>
          <w:rFonts w:cstheme="minorHAnsi"/>
        </w:rPr>
        <w:footnoteReference w:id="25"/>
      </w:r>
      <w:r w:rsidRPr="00733091">
        <w:rPr>
          <w:rFonts w:cstheme="minorHAnsi"/>
          <w:lang w:val="pl-PL"/>
        </w:rPr>
        <w:t xml:space="preserve"> wykazała, że na terenie Południowych Mazur </w:t>
      </w:r>
      <w:r w:rsidR="006E6DDE">
        <w:rPr>
          <w:rFonts w:cstheme="minorHAnsi"/>
          <w:lang w:val="pl-PL"/>
        </w:rPr>
        <w:t>występują</w:t>
      </w:r>
      <w:r w:rsidRPr="00733091">
        <w:rPr>
          <w:rFonts w:cstheme="minorHAnsi"/>
          <w:lang w:val="pl-PL"/>
        </w:rPr>
        <w:t xml:space="preserve"> </w:t>
      </w:r>
      <w:r w:rsidRPr="00733091">
        <w:rPr>
          <w:rFonts w:cstheme="minorHAnsi"/>
          <w:b/>
          <w:bCs/>
          <w:lang w:val="pl-PL"/>
        </w:rPr>
        <w:t xml:space="preserve">cztery ośrodki ciążenia </w:t>
      </w:r>
      <w:r w:rsidRPr="00733091">
        <w:rPr>
          <w:rFonts w:cstheme="minorHAnsi"/>
          <w:lang w:val="pl-PL"/>
        </w:rPr>
        <w:t xml:space="preserve">(o różnej sile </w:t>
      </w:r>
      <w:r w:rsidRPr="00733091">
        <w:rPr>
          <w:rFonts w:cstheme="minorHAnsi"/>
          <w:lang w:val="pl-PL"/>
        </w:rPr>
        <w:lastRenderedPageBreak/>
        <w:t>oddziaływania) - centra usług (tabele poniżej).</w:t>
      </w:r>
      <w:r w:rsidR="006E6DDE">
        <w:rPr>
          <w:rFonts w:cstheme="minorHAnsi"/>
          <w:lang w:val="pl-PL"/>
        </w:rPr>
        <w:t xml:space="preserve"> </w:t>
      </w:r>
      <w:r w:rsidRPr="00733091">
        <w:rPr>
          <w:rFonts w:cstheme="minorHAnsi"/>
          <w:lang w:val="pl-PL"/>
        </w:rPr>
        <w:t xml:space="preserve">Są nimi gmina miejska </w:t>
      </w:r>
      <w:r w:rsidRPr="00733091">
        <w:rPr>
          <w:rFonts w:cstheme="minorHAnsi"/>
          <w:b/>
          <w:bCs/>
          <w:lang w:val="pl-PL"/>
        </w:rPr>
        <w:t>Działdowo</w:t>
      </w:r>
      <w:r w:rsidRPr="00733091">
        <w:rPr>
          <w:rFonts w:cstheme="minorHAnsi"/>
          <w:lang w:val="pl-PL"/>
        </w:rPr>
        <w:t xml:space="preserve">, gmina miejska </w:t>
      </w:r>
      <w:r w:rsidRPr="00733091">
        <w:rPr>
          <w:rFonts w:cstheme="minorHAnsi"/>
          <w:b/>
          <w:bCs/>
          <w:lang w:val="pl-PL"/>
        </w:rPr>
        <w:t>Szczytno, Nidzica i Pisz</w:t>
      </w:r>
      <w:r>
        <w:rPr>
          <w:rStyle w:val="Odwoanieprzypisudolnego"/>
          <w:rFonts w:cstheme="minorHAnsi"/>
          <w:b/>
          <w:bCs/>
        </w:rPr>
        <w:footnoteReference w:id="26"/>
      </w:r>
      <w:r w:rsidRPr="00733091">
        <w:rPr>
          <w:rFonts w:cstheme="minorHAnsi"/>
          <w:b/>
          <w:bCs/>
          <w:lang w:val="pl-PL"/>
        </w:rPr>
        <w:t xml:space="preserve">, </w:t>
      </w:r>
      <w:r w:rsidRPr="00733091">
        <w:rPr>
          <w:rFonts w:cstheme="minorHAnsi"/>
          <w:lang w:val="pl-PL"/>
        </w:rPr>
        <w:t>które pełnią funkcje</w:t>
      </w:r>
      <w:r w:rsidRPr="00733091">
        <w:rPr>
          <w:rFonts w:cstheme="minorHAnsi"/>
          <w:b/>
          <w:bCs/>
          <w:lang w:val="pl-PL"/>
        </w:rPr>
        <w:t xml:space="preserve"> </w:t>
      </w:r>
      <w:r w:rsidRPr="00733091">
        <w:rPr>
          <w:rFonts w:cstheme="minorHAnsi"/>
          <w:lang w:val="pl-PL"/>
        </w:rPr>
        <w:t xml:space="preserve">dostawców usług o charakterze wyspecjalizowanym (ale nie wysokospecjalistycznym) i funkcje administracyjne specjalistyczne (jako siedziby powiatów). </w:t>
      </w:r>
    </w:p>
    <w:p w14:paraId="6286FF4E" w14:textId="2969B86B" w:rsidR="00BA1554" w:rsidRPr="00733091" w:rsidRDefault="00400B4E" w:rsidP="006E6DDE">
      <w:pPr>
        <w:rPr>
          <w:rFonts w:cstheme="minorHAnsi"/>
          <w:lang w:val="pl-PL"/>
        </w:rPr>
      </w:pPr>
      <w:r w:rsidRPr="00733091">
        <w:rPr>
          <w:rFonts w:cstheme="minorHAnsi"/>
          <w:lang w:val="pl-PL"/>
        </w:rPr>
        <w:t xml:space="preserve">Ośrodki te wraz z gminami je otaczającymi </w:t>
      </w:r>
      <w:r w:rsidRPr="00733091">
        <w:rPr>
          <w:rFonts w:cstheme="minorHAnsi"/>
          <w:b/>
          <w:bCs/>
          <w:lang w:val="pl-PL"/>
        </w:rPr>
        <w:t xml:space="preserve">tworzą w istocie cztery odrębne obszary funkcjonalne, </w:t>
      </w:r>
      <w:r w:rsidRPr="00733091">
        <w:rPr>
          <w:rFonts w:cstheme="minorHAnsi"/>
          <w:lang w:val="pl-PL"/>
        </w:rPr>
        <w:t xml:space="preserve">powiązane aktualnie między sobą luźną siecią powiązań społecznych </w:t>
      </w:r>
      <w:r w:rsidR="006E6DDE">
        <w:rPr>
          <w:rFonts w:cstheme="minorHAnsi"/>
          <w:lang w:val="pl-PL"/>
        </w:rPr>
        <w:br/>
      </w:r>
      <w:r w:rsidRPr="00733091">
        <w:rPr>
          <w:rFonts w:cstheme="minorHAnsi"/>
          <w:lang w:val="pl-PL"/>
        </w:rPr>
        <w:t>i gospodarczych.</w:t>
      </w:r>
    </w:p>
    <w:p w14:paraId="3CABD09E" w14:textId="75562769" w:rsidR="00400B4E" w:rsidRPr="00733091" w:rsidRDefault="00400B4E" w:rsidP="002E24A9">
      <w:pPr>
        <w:pStyle w:val="Legenda"/>
        <w:rPr>
          <w:lang w:val="pl-PL"/>
        </w:rPr>
      </w:pPr>
      <w:bookmarkStart w:id="31" w:name="_Toc69723253"/>
      <w:r w:rsidRPr="00733091">
        <w:rPr>
          <w:lang w:val="pl-PL"/>
        </w:rPr>
        <w:t xml:space="preserve">Tabela </w:t>
      </w:r>
      <w:r w:rsidR="00733091">
        <w:fldChar w:fldCharType="begin"/>
      </w:r>
      <w:r w:rsidR="00733091" w:rsidRPr="00733091">
        <w:rPr>
          <w:lang w:val="pl-PL"/>
        </w:rPr>
        <w:instrText xml:space="preserve"> SEQ Tabela \* ARABIC </w:instrText>
      </w:r>
      <w:r w:rsidR="00733091">
        <w:fldChar w:fldCharType="separate"/>
      </w:r>
      <w:r w:rsidR="00B14787">
        <w:rPr>
          <w:noProof/>
          <w:lang w:val="pl-PL"/>
        </w:rPr>
        <w:t>4</w:t>
      </w:r>
      <w:r w:rsidR="00733091">
        <w:rPr>
          <w:noProof/>
        </w:rPr>
        <w:fldChar w:fldCharType="end"/>
      </w:r>
      <w:r w:rsidRPr="00733091">
        <w:rPr>
          <w:lang w:val="pl-PL"/>
        </w:rPr>
        <w:t>: Wskaźnik bilansu usług i zatrudnienia dla JST wchodzących w skład Partnerstwa</w:t>
      </w:r>
      <w:bookmarkEnd w:id="31"/>
    </w:p>
    <w:tbl>
      <w:tblPr>
        <w:tblStyle w:val="CWD"/>
        <w:tblW w:w="8939" w:type="dxa"/>
        <w:tblLook w:val="04A0" w:firstRow="1" w:lastRow="0" w:firstColumn="1" w:lastColumn="0" w:noHBand="0" w:noVBand="1"/>
      </w:tblPr>
      <w:tblGrid>
        <w:gridCol w:w="3114"/>
        <w:gridCol w:w="1417"/>
        <w:gridCol w:w="2282"/>
        <w:gridCol w:w="2126"/>
      </w:tblGrid>
      <w:tr w:rsidR="00400B4E" w:rsidRPr="001F171F" w14:paraId="4D1D2C7A" w14:textId="77777777" w:rsidTr="00E70191">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114" w:type="dxa"/>
          </w:tcPr>
          <w:p w14:paraId="266F2267" w14:textId="77777777" w:rsidR="00400B4E" w:rsidRPr="00A139DC" w:rsidRDefault="00400B4E" w:rsidP="00BA1554">
            <w:pPr>
              <w:ind w:left="0"/>
              <w:contextualSpacing/>
              <w:rPr>
                <w:rStyle w:val="Pogrubienie"/>
                <w:b/>
                <w:bCs/>
              </w:rPr>
            </w:pPr>
            <w:r w:rsidRPr="00A139DC">
              <w:rPr>
                <w:rStyle w:val="Pogrubienie"/>
                <w:b/>
                <w:bCs/>
              </w:rPr>
              <w:t>Nazwa JST</w:t>
            </w:r>
          </w:p>
        </w:tc>
        <w:tc>
          <w:tcPr>
            <w:tcW w:w="1417" w:type="dxa"/>
          </w:tcPr>
          <w:p w14:paraId="10879D91" w14:textId="77777777" w:rsidR="00400B4E" w:rsidRPr="00A139DC" w:rsidRDefault="00400B4E" w:rsidP="00BA1554">
            <w:pPr>
              <w:ind w:left="0"/>
              <w:contextualSpacing/>
              <w:cnfStyle w:val="100000000000" w:firstRow="1" w:lastRow="0" w:firstColumn="0" w:lastColumn="0" w:oddVBand="0" w:evenVBand="0" w:oddHBand="0" w:evenHBand="0" w:firstRowFirstColumn="0" w:firstRowLastColumn="0" w:lastRowFirstColumn="0" w:lastRowLastColumn="0"/>
              <w:rPr>
                <w:rStyle w:val="Pogrubienie"/>
                <w:b/>
                <w:bCs/>
              </w:rPr>
            </w:pPr>
            <w:r w:rsidRPr="00A139DC">
              <w:rPr>
                <w:rStyle w:val="Pogrubienie"/>
                <w:b/>
                <w:bCs/>
              </w:rPr>
              <w:t>Uśredniony wskaźnik bilansu usług</w:t>
            </w:r>
            <w:r w:rsidRPr="00A53827">
              <w:rPr>
                <w:rStyle w:val="Pogrubienie"/>
                <w:b/>
                <w:bCs/>
                <w:vertAlign w:val="superscript"/>
              </w:rPr>
              <w:footnoteReference w:id="27"/>
            </w:r>
          </w:p>
        </w:tc>
        <w:tc>
          <w:tcPr>
            <w:tcW w:w="2282" w:type="dxa"/>
          </w:tcPr>
          <w:p w14:paraId="3DB4767A" w14:textId="77777777" w:rsidR="00400B4E" w:rsidRPr="00A139DC" w:rsidRDefault="00400B4E" w:rsidP="00BA1554">
            <w:pPr>
              <w:ind w:left="0"/>
              <w:contextualSpacing/>
              <w:cnfStyle w:val="100000000000" w:firstRow="1" w:lastRow="0" w:firstColumn="0" w:lastColumn="0" w:oddVBand="0" w:evenVBand="0" w:oddHBand="0" w:evenHBand="0" w:firstRowFirstColumn="0" w:firstRowLastColumn="0" w:lastRowFirstColumn="0" w:lastRowLastColumn="0"/>
              <w:rPr>
                <w:rStyle w:val="Pogrubienie"/>
                <w:b/>
                <w:bCs/>
              </w:rPr>
            </w:pPr>
            <w:r w:rsidRPr="00A139DC">
              <w:rPr>
                <w:rStyle w:val="Pogrubienie"/>
                <w:b/>
                <w:bCs/>
              </w:rPr>
              <w:t>Nazwa JST</w:t>
            </w:r>
          </w:p>
        </w:tc>
        <w:tc>
          <w:tcPr>
            <w:tcW w:w="2126" w:type="dxa"/>
          </w:tcPr>
          <w:p w14:paraId="4F320601" w14:textId="77777777" w:rsidR="00400B4E" w:rsidRPr="00A139DC" w:rsidRDefault="00400B4E" w:rsidP="00BA1554">
            <w:pPr>
              <w:ind w:left="0"/>
              <w:contextualSpacing/>
              <w:cnfStyle w:val="100000000000" w:firstRow="1" w:lastRow="0" w:firstColumn="0" w:lastColumn="0" w:oddVBand="0" w:evenVBand="0" w:oddHBand="0" w:evenHBand="0" w:firstRowFirstColumn="0" w:firstRowLastColumn="0" w:lastRowFirstColumn="0" w:lastRowLastColumn="0"/>
              <w:rPr>
                <w:rStyle w:val="Pogrubienie"/>
                <w:b/>
                <w:bCs/>
              </w:rPr>
            </w:pPr>
            <w:r w:rsidRPr="00A139DC">
              <w:rPr>
                <w:rStyle w:val="Pogrubienie"/>
                <w:b/>
                <w:bCs/>
              </w:rPr>
              <w:t>Uśredniony wskaźnik bilansu zatrudnienia</w:t>
            </w:r>
            <w:r w:rsidRPr="00A53827">
              <w:rPr>
                <w:rStyle w:val="Pogrubienie"/>
                <w:b/>
                <w:bCs/>
                <w:vertAlign w:val="superscript"/>
              </w:rPr>
              <w:footnoteReference w:id="28"/>
            </w:r>
          </w:p>
        </w:tc>
      </w:tr>
      <w:tr w:rsidR="00400B4E" w:rsidRPr="001F171F" w14:paraId="2602C78B" w14:textId="77777777" w:rsidTr="00745CDB">
        <w:tc>
          <w:tcPr>
            <w:cnfStyle w:val="001000000000" w:firstRow="0" w:lastRow="0" w:firstColumn="1" w:lastColumn="0" w:oddVBand="0" w:evenVBand="0" w:oddHBand="0" w:evenHBand="0" w:firstRowFirstColumn="0" w:firstRowLastColumn="0" w:lastRowFirstColumn="0" w:lastRowLastColumn="0"/>
            <w:tcW w:w="3114" w:type="dxa"/>
          </w:tcPr>
          <w:p w14:paraId="73403589" w14:textId="77777777" w:rsidR="00400B4E" w:rsidRPr="00745CDB" w:rsidRDefault="00400B4E" w:rsidP="00BA1554">
            <w:pPr>
              <w:ind w:left="0"/>
              <w:contextualSpacing/>
              <w:rPr>
                <w:rStyle w:val="Pogrubienie"/>
              </w:rPr>
            </w:pPr>
            <w:r w:rsidRPr="00745CDB">
              <w:rPr>
                <w:rStyle w:val="Pogrubienie"/>
              </w:rPr>
              <w:t>Szczytno – gmina miejska</w:t>
            </w:r>
          </w:p>
        </w:tc>
        <w:tc>
          <w:tcPr>
            <w:tcW w:w="1417" w:type="dxa"/>
          </w:tcPr>
          <w:p w14:paraId="0152B439" w14:textId="77777777" w:rsidR="00400B4E" w:rsidRPr="00CB5808"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rsidRPr="00CB5808">
              <w:t>26%</w:t>
            </w:r>
          </w:p>
        </w:tc>
        <w:tc>
          <w:tcPr>
            <w:tcW w:w="2282" w:type="dxa"/>
            <w:shd w:val="clear" w:color="auto" w:fill="D9D9D9" w:themeFill="background1" w:themeFillShade="D9"/>
          </w:tcPr>
          <w:p w14:paraId="5CD88E1A" w14:textId="77777777" w:rsidR="00400B4E" w:rsidRPr="00FB0F55"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rsidRPr="00FB0F55">
              <w:t xml:space="preserve">Szczytno – </w:t>
            </w:r>
            <w:r>
              <w:t>gmina miejska</w:t>
            </w:r>
          </w:p>
        </w:tc>
        <w:tc>
          <w:tcPr>
            <w:tcW w:w="2126" w:type="dxa"/>
          </w:tcPr>
          <w:p w14:paraId="7AD05967" w14:textId="77777777" w:rsidR="00400B4E" w:rsidRPr="00FB0F55"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rsidRPr="00FB0F55">
              <w:t>13%</w:t>
            </w:r>
          </w:p>
        </w:tc>
      </w:tr>
      <w:tr w:rsidR="00400B4E" w:rsidRPr="001F171F" w14:paraId="2E38A04B" w14:textId="77777777" w:rsidTr="00745CDB">
        <w:tc>
          <w:tcPr>
            <w:cnfStyle w:val="001000000000" w:firstRow="0" w:lastRow="0" w:firstColumn="1" w:lastColumn="0" w:oddVBand="0" w:evenVBand="0" w:oddHBand="0" w:evenHBand="0" w:firstRowFirstColumn="0" w:firstRowLastColumn="0" w:lastRowFirstColumn="0" w:lastRowLastColumn="0"/>
            <w:tcW w:w="3114" w:type="dxa"/>
          </w:tcPr>
          <w:p w14:paraId="53ADF48A" w14:textId="77777777" w:rsidR="00400B4E" w:rsidRPr="00745CDB" w:rsidRDefault="00400B4E" w:rsidP="00BA1554">
            <w:pPr>
              <w:ind w:left="0"/>
              <w:contextualSpacing/>
              <w:rPr>
                <w:rStyle w:val="Pogrubienie"/>
              </w:rPr>
            </w:pPr>
            <w:r w:rsidRPr="00745CDB">
              <w:rPr>
                <w:rStyle w:val="Pogrubienie"/>
              </w:rPr>
              <w:t>Szczytno – gmina wiejska</w:t>
            </w:r>
          </w:p>
        </w:tc>
        <w:tc>
          <w:tcPr>
            <w:tcW w:w="1417" w:type="dxa"/>
          </w:tcPr>
          <w:p w14:paraId="538B3231" w14:textId="77777777" w:rsidR="00400B4E" w:rsidRPr="001F171F"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t>0</w:t>
            </w:r>
            <w:r w:rsidRPr="00BA0767">
              <w:t>%</w:t>
            </w:r>
          </w:p>
        </w:tc>
        <w:tc>
          <w:tcPr>
            <w:tcW w:w="2282" w:type="dxa"/>
            <w:shd w:val="clear" w:color="auto" w:fill="D9D9D9" w:themeFill="background1" w:themeFillShade="D9"/>
          </w:tcPr>
          <w:p w14:paraId="1E115666" w14:textId="17C04C9F" w:rsidR="00400B4E" w:rsidRPr="00F758B9"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rsidRPr="00F758B9">
              <w:t xml:space="preserve">Szczytno </w:t>
            </w:r>
            <w:r w:rsidR="0029554C">
              <w:t>–</w:t>
            </w:r>
            <w:r w:rsidRPr="00F758B9">
              <w:t xml:space="preserve"> gmina</w:t>
            </w:r>
            <w:r w:rsidR="0029554C">
              <w:t xml:space="preserve"> </w:t>
            </w:r>
            <w:r>
              <w:t>wiejska</w:t>
            </w:r>
          </w:p>
        </w:tc>
        <w:tc>
          <w:tcPr>
            <w:tcW w:w="2126" w:type="dxa"/>
          </w:tcPr>
          <w:p w14:paraId="1A2C3D4E" w14:textId="77777777" w:rsidR="00400B4E" w:rsidRPr="00F758B9"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t>0%</w:t>
            </w:r>
          </w:p>
        </w:tc>
      </w:tr>
      <w:tr w:rsidR="00400B4E" w:rsidRPr="001F171F" w14:paraId="3C5B053E" w14:textId="77777777" w:rsidTr="00745CDB">
        <w:tc>
          <w:tcPr>
            <w:cnfStyle w:val="001000000000" w:firstRow="0" w:lastRow="0" w:firstColumn="1" w:lastColumn="0" w:oddVBand="0" w:evenVBand="0" w:oddHBand="0" w:evenHBand="0" w:firstRowFirstColumn="0" w:firstRowLastColumn="0" w:lastRowFirstColumn="0" w:lastRowLastColumn="0"/>
            <w:tcW w:w="3114" w:type="dxa"/>
          </w:tcPr>
          <w:p w14:paraId="4D6A379C" w14:textId="77777777" w:rsidR="00400B4E" w:rsidRPr="00745CDB" w:rsidRDefault="00400B4E" w:rsidP="00BA1554">
            <w:pPr>
              <w:ind w:left="0"/>
              <w:contextualSpacing/>
              <w:rPr>
                <w:rStyle w:val="Pogrubienie"/>
              </w:rPr>
            </w:pPr>
            <w:r w:rsidRPr="00745CDB">
              <w:rPr>
                <w:rStyle w:val="Pogrubienie"/>
              </w:rPr>
              <w:t>Pasym</w:t>
            </w:r>
          </w:p>
        </w:tc>
        <w:tc>
          <w:tcPr>
            <w:tcW w:w="1417" w:type="dxa"/>
          </w:tcPr>
          <w:p w14:paraId="7EE437C1" w14:textId="77777777" w:rsidR="00400B4E" w:rsidRPr="001F171F"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t>0</w:t>
            </w:r>
            <w:r w:rsidRPr="00BA0767">
              <w:t>%</w:t>
            </w:r>
          </w:p>
        </w:tc>
        <w:tc>
          <w:tcPr>
            <w:tcW w:w="2282" w:type="dxa"/>
            <w:shd w:val="clear" w:color="auto" w:fill="D9D9D9" w:themeFill="background1" w:themeFillShade="D9"/>
          </w:tcPr>
          <w:p w14:paraId="143BF063" w14:textId="77777777" w:rsidR="00400B4E" w:rsidRPr="00F758B9"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rsidRPr="00F758B9">
              <w:t>Pasym</w:t>
            </w:r>
          </w:p>
        </w:tc>
        <w:tc>
          <w:tcPr>
            <w:tcW w:w="2126" w:type="dxa"/>
          </w:tcPr>
          <w:p w14:paraId="5A81B073" w14:textId="77777777" w:rsidR="00400B4E" w:rsidRPr="00F758B9"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t>0%</w:t>
            </w:r>
          </w:p>
        </w:tc>
      </w:tr>
      <w:tr w:rsidR="00400B4E" w:rsidRPr="001F171F" w14:paraId="1B24E1C0" w14:textId="77777777" w:rsidTr="00745CDB">
        <w:tc>
          <w:tcPr>
            <w:cnfStyle w:val="001000000000" w:firstRow="0" w:lastRow="0" w:firstColumn="1" w:lastColumn="0" w:oddVBand="0" w:evenVBand="0" w:oddHBand="0" w:evenHBand="0" w:firstRowFirstColumn="0" w:firstRowLastColumn="0" w:lastRowFirstColumn="0" w:lastRowLastColumn="0"/>
            <w:tcW w:w="3114" w:type="dxa"/>
          </w:tcPr>
          <w:p w14:paraId="0AE4F0B8" w14:textId="77777777" w:rsidR="00400B4E" w:rsidRPr="00745CDB" w:rsidRDefault="00400B4E" w:rsidP="00BA1554">
            <w:pPr>
              <w:ind w:left="0"/>
              <w:contextualSpacing/>
              <w:rPr>
                <w:rStyle w:val="Pogrubienie"/>
              </w:rPr>
            </w:pPr>
            <w:r w:rsidRPr="00745CDB">
              <w:rPr>
                <w:rStyle w:val="Pogrubienie"/>
              </w:rPr>
              <w:t>Wielbark</w:t>
            </w:r>
          </w:p>
        </w:tc>
        <w:tc>
          <w:tcPr>
            <w:tcW w:w="1417" w:type="dxa"/>
          </w:tcPr>
          <w:p w14:paraId="0BF38A7B" w14:textId="77777777" w:rsidR="00400B4E" w:rsidRPr="001F171F"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t>0</w:t>
            </w:r>
            <w:r w:rsidRPr="00BA0767">
              <w:t>%</w:t>
            </w:r>
          </w:p>
        </w:tc>
        <w:tc>
          <w:tcPr>
            <w:tcW w:w="2282" w:type="dxa"/>
            <w:shd w:val="clear" w:color="auto" w:fill="D9D9D9" w:themeFill="background1" w:themeFillShade="D9"/>
          </w:tcPr>
          <w:p w14:paraId="191436AD" w14:textId="77777777" w:rsidR="00400B4E" w:rsidRPr="00FB0F55"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rsidRPr="00FB0F55">
              <w:t>Wielbark</w:t>
            </w:r>
          </w:p>
        </w:tc>
        <w:tc>
          <w:tcPr>
            <w:tcW w:w="2126" w:type="dxa"/>
          </w:tcPr>
          <w:p w14:paraId="378241D9" w14:textId="77777777" w:rsidR="00400B4E" w:rsidRPr="00FB0F55"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rsidRPr="00FB0F55">
              <w:t>5%</w:t>
            </w:r>
          </w:p>
        </w:tc>
      </w:tr>
      <w:tr w:rsidR="00400B4E" w:rsidRPr="001F171F" w14:paraId="76633F80" w14:textId="77777777" w:rsidTr="00745CDB">
        <w:tc>
          <w:tcPr>
            <w:cnfStyle w:val="001000000000" w:firstRow="0" w:lastRow="0" w:firstColumn="1" w:lastColumn="0" w:oddVBand="0" w:evenVBand="0" w:oddHBand="0" w:evenHBand="0" w:firstRowFirstColumn="0" w:firstRowLastColumn="0" w:lastRowFirstColumn="0" w:lastRowLastColumn="0"/>
            <w:tcW w:w="3114" w:type="dxa"/>
          </w:tcPr>
          <w:p w14:paraId="70F533E6" w14:textId="77777777" w:rsidR="00400B4E" w:rsidRPr="00745CDB" w:rsidRDefault="00400B4E" w:rsidP="00BA1554">
            <w:pPr>
              <w:ind w:left="0"/>
              <w:contextualSpacing/>
              <w:rPr>
                <w:rStyle w:val="Pogrubienie"/>
              </w:rPr>
            </w:pPr>
            <w:r w:rsidRPr="00745CDB">
              <w:rPr>
                <w:rStyle w:val="Pogrubienie"/>
              </w:rPr>
              <w:t>Dźwierzuty</w:t>
            </w:r>
          </w:p>
        </w:tc>
        <w:tc>
          <w:tcPr>
            <w:tcW w:w="1417" w:type="dxa"/>
          </w:tcPr>
          <w:p w14:paraId="09D504C1" w14:textId="77777777" w:rsidR="00400B4E" w:rsidRPr="001F171F"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t>0</w:t>
            </w:r>
            <w:r w:rsidRPr="00BA0767">
              <w:t>%</w:t>
            </w:r>
          </w:p>
        </w:tc>
        <w:tc>
          <w:tcPr>
            <w:tcW w:w="2282" w:type="dxa"/>
            <w:shd w:val="clear" w:color="auto" w:fill="D9D9D9" w:themeFill="background1" w:themeFillShade="D9"/>
          </w:tcPr>
          <w:p w14:paraId="4C241FE0" w14:textId="77777777" w:rsidR="00400B4E" w:rsidRPr="00F758B9"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rsidRPr="00F758B9">
              <w:t>Dźwierzuty</w:t>
            </w:r>
          </w:p>
        </w:tc>
        <w:tc>
          <w:tcPr>
            <w:tcW w:w="2126" w:type="dxa"/>
          </w:tcPr>
          <w:p w14:paraId="20E7C452" w14:textId="77777777" w:rsidR="00400B4E" w:rsidRPr="00F758B9"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t>0%</w:t>
            </w:r>
          </w:p>
        </w:tc>
      </w:tr>
      <w:tr w:rsidR="00400B4E" w:rsidRPr="001F171F" w14:paraId="4B81E8EC" w14:textId="77777777" w:rsidTr="00745CDB">
        <w:tc>
          <w:tcPr>
            <w:cnfStyle w:val="001000000000" w:firstRow="0" w:lastRow="0" w:firstColumn="1" w:lastColumn="0" w:oddVBand="0" w:evenVBand="0" w:oddHBand="0" w:evenHBand="0" w:firstRowFirstColumn="0" w:firstRowLastColumn="0" w:lastRowFirstColumn="0" w:lastRowLastColumn="0"/>
            <w:tcW w:w="3114" w:type="dxa"/>
          </w:tcPr>
          <w:p w14:paraId="5887F6CD" w14:textId="77777777" w:rsidR="00400B4E" w:rsidRPr="00745CDB" w:rsidRDefault="00400B4E" w:rsidP="00BA1554">
            <w:pPr>
              <w:ind w:left="0"/>
              <w:contextualSpacing/>
              <w:rPr>
                <w:rStyle w:val="Pogrubienie"/>
              </w:rPr>
            </w:pPr>
            <w:r w:rsidRPr="00745CDB">
              <w:rPr>
                <w:rStyle w:val="Pogrubienie"/>
              </w:rPr>
              <w:t>Jedwabno</w:t>
            </w:r>
          </w:p>
        </w:tc>
        <w:tc>
          <w:tcPr>
            <w:tcW w:w="1417" w:type="dxa"/>
          </w:tcPr>
          <w:p w14:paraId="7314067D" w14:textId="77777777" w:rsidR="00400B4E" w:rsidRPr="001F171F"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t>0</w:t>
            </w:r>
            <w:r w:rsidRPr="00BA0767">
              <w:t>%</w:t>
            </w:r>
          </w:p>
        </w:tc>
        <w:tc>
          <w:tcPr>
            <w:tcW w:w="2282" w:type="dxa"/>
            <w:shd w:val="clear" w:color="auto" w:fill="D9D9D9" w:themeFill="background1" w:themeFillShade="D9"/>
          </w:tcPr>
          <w:p w14:paraId="6249D874" w14:textId="77777777" w:rsidR="00400B4E" w:rsidRPr="00F758B9"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rsidRPr="00F758B9">
              <w:t>Jedwabno</w:t>
            </w:r>
          </w:p>
        </w:tc>
        <w:tc>
          <w:tcPr>
            <w:tcW w:w="2126" w:type="dxa"/>
          </w:tcPr>
          <w:p w14:paraId="4601BB79" w14:textId="77777777" w:rsidR="00400B4E" w:rsidRPr="00F758B9"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t>-2%</w:t>
            </w:r>
          </w:p>
        </w:tc>
      </w:tr>
      <w:tr w:rsidR="00400B4E" w:rsidRPr="001F171F" w14:paraId="7DBE7B12" w14:textId="77777777" w:rsidTr="00745CDB">
        <w:tc>
          <w:tcPr>
            <w:cnfStyle w:val="001000000000" w:firstRow="0" w:lastRow="0" w:firstColumn="1" w:lastColumn="0" w:oddVBand="0" w:evenVBand="0" w:oddHBand="0" w:evenHBand="0" w:firstRowFirstColumn="0" w:firstRowLastColumn="0" w:lastRowFirstColumn="0" w:lastRowLastColumn="0"/>
            <w:tcW w:w="3114" w:type="dxa"/>
          </w:tcPr>
          <w:p w14:paraId="51D18903" w14:textId="77777777" w:rsidR="00400B4E" w:rsidRPr="00745CDB" w:rsidRDefault="00400B4E" w:rsidP="00BA1554">
            <w:pPr>
              <w:ind w:left="0"/>
              <w:contextualSpacing/>
              <w:rPr>
                <w:rStyle w:val="Pogrubienie"/>
              </w:rPr>
            </w:pPr>
            <w:r w:rsidRPr="00745CDB">
              <w:rPr>
                <w:rStyle w:val="Pogrubienie"/>
              </w:rPr>
              <w:t>Świętajno</w:t>
            </w:r>
          </w:p>
        </w:tc>
        <w:tc>
          <w:tcPr>
            <w:tcW w:w="1417" w:type="dxa"/>
          </w:tcPr>
          <w:p w14:paraId="6E822BC7" w14:textId="77777777" w:rsidR="00400B4E" w:rsidRPr="001F171F"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t>0</w:t>
            </w:r>
            <w:r w:rsidRPr="00BA0767">
              <w:t>%</w:t>
            </w:r>
          </w:p>
        </w:tc>
        <w:tc>
          <w:tcPr>
            <w:tcW w:w="2282" w:type="dxa"/>
            <w:shd w:val="clear" w:color="auto" w:fill="D9D9D9" w:themeFill="background1" w:themeFillShade="D9"/>
          </w:tcPr>
          <w:p w14:paraId="12D65C85" w14:textId="77777777" w:rsidR="00400B4E" w:rsidRPr="00F758B9"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rsidRPr="00F758B9">
              <w:t>Świętajno</w:t>
            </w:r>
          </w:p>
        </w:tc>
        <w:tc>
          <w:tcPr>
            <w:tcW w:w="2126" w:type="dxa"/>
          </w:tcPr>
          <w:p w14:paraId="44A80B18" w14:textId="77777777" w:rsidR="00400B4E" w:rsidRPr="00F758B9"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t>-3%</w:t>
            </w:r>
          </w:p>
        </w:tc>
      </w:tr>
      <w:tr w:rsidR="00400B4E" w:rsidRPr="001F171F" w14:paraId="0E499BB7" w14:textId="77777777" w:rsidTr="00745CDB">
        <w:tc>
          <w:tcPr>
            <w:cnfStyle w:val="001000000000" w:firstRow="0" w:lastRow="0" w:firstColumn="1" w:lastColumn="0" w:oddVBand="0" w:evenVBand="0" w:oddHBand="0" w:evenHBand="0" w:firstRowFirstColumn="0" w:firstRowLastColumn="0" w:lastRowFirstColumn="0" w:lastRowLastColumn="0"/>
            <w:tcW w:w="3114" w:type="dxa"/>
          </w:tcPr>
          <w:p w14:paraId="0F845C33" w14:textId="77777777" w:rsidR="00400B4E" w:rsidRPr="00745CDB" w:rsidRDefault="00400B4E" w:rsidP="00BA1554">
            <w:pPr>
              <w:ind w:left="0"/>
              <w:contextualSpacing/>
              <w:rPr>
                <w:rStyle w:val="Pogrubienie"/>
              </w:rPr>
            </w:pPr>
            <w:r w:rsidRPr="00745CDB">
              <w:rPr>
                <w:rStyle w:val="Pogrubienie"/>
              </w:rPr>
              <w:t>Rozogi</w:t>
            </w:r>
          </w:p>
        </w:tc>
        <w:tc>
          <w:tcPr>
            <w:tcW w:w="1417" w:type="dxa"/>
          </w:tcPr>
          <w:p w14:paraId="63D1D157" w14:textId="77777777" w:rsidR="00400B4E" w:rsidRPr="001F171F"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t>0</w:t>
            </w:r>
            <w:r w:rsidRPr="00BA0767">
              <w:t>%</w:t>
            </w:r>
          </w:p>
        </w:tc>
        <w:tc>
          <w:tcPr>
            <w:tcW w:w="2282" w:type="dxa"/>
            <w:shd w:val="clear" w:color="auto" w:fill="D9D9D9" w:themeFill="background1" w:themeFillShade="D9"/>
          </w:tcPr>
          <w:p w14:paraId="0358D505" w14:textId="77777777" w:rsidR="00400B4E" w:rsidRPr="00F758B9"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rsidRPr="00F758B9">
              <w:t>Rozogi</w:t>
            </w:r>
          </w:p>
        </w:tc>
        <w:tc>
          <w:tcPr>
            <w:tcW w:w="2126" w:type="dxa"/>
          </w:tcPr>
          <w:p w14:paraId="01F0CF33" w14:textId="77777777" w:rsidR="00400B4E" w:rsidRPr="00F758B9"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t>1%</w:t>
            </w:r>
          </w:p>
        </w:tc>
      </w:tr>
      <w:tr w:rsidR="00400B4E" w:rsidRPr="001F171F" w14:paraId="5ACCD751" w14:textId="77777777" w:rsidTr="00745CDB">
        <w:tc>
          <w:tcPr>
            <w:cnfStyle w:val="001000000000" w:firstRow="0" w:lastRow="0" w:firstColumn="1" w:lastColumn="0" w:oddVBand="0" w:evenVBand="0" w:oddHBand="0" w:evenHBand="0" w:firstRowFirstColumn="0" w:firstRowLastColumn="0" w:lastRowFirstColumn="0" w:lastRowLastColumn="0"/>
            <w:tcW w:w="3114" w:type="dxa"/>
          </w:tcPr>
          <w:p w14:paraId="38E77A33" w14:textId="77777777" w:rsidR="00400B4E" w:rsidRPr="00745CDB" w:rsidRDefault="00400B4E" w:rsidP="00BA1554">
            <w:pPr>
              <w:ind w:left="0"/>
              <w:contextualSpacing/>
              <w:rPr>
                <w:rStyle w:val="Pogrubienie"/>
              </w:rPr>
            </w:pPr>
            <w:r w:rsidRPr="00745CDB">
              <w:rPr>
                <w:rStyle w:val="Pogrubienie"/>
              </w:rPr>
              <w:t>Działdowo- gmina miejska</w:t>
            </w:r>
          </w:p>
        </w:tc>
        <w:tc>
          <w:tcPr>
            <w:tcW w:w="1417" w:type="dxa"/>
          </w:tcPr>
          <w:p w14:paraId="2347C248" w14:textId="77777777" w:rsidR="00400B4E" w:rsidRPr="00CB5808"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rsidRPr="00CB5808">
              <w:t>14%</w:t>
            </w:r>
          </w:p>
        </w:tc>
        <w:tc>
          <w:tcPr>
            <w:tcW w:w="2282" w:type="dxa"/>
            <w:shd w:val="clear" w:color="auto" w:fill="D9D9D9" w:themeFill="background1" w:themeFillShade="D9"/>
          </w:tcPr>
          <w:p w14:paraId="12F51023" w14:textId="77777777" w:rsidR="00400B4E" w:rsidRPr="00F758B9"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rsidRPr="00F758B9">
              <w:t>Działdowo-</w:t>
            </w:r>
            <w:r>
              <w:t xml:space="preserve"> gmina </w:t>
            </w:r>
            <w:r w:rsidRPr="00CB5808">
              <w:t>mi</w:t>
            </w:r>
            <w:r>
              <w:t>ejska</w:t>
            </w:r>
          </w:p>
        </w:tc>
        <w:tc>
          <w:tcPr>
            <w:tcW w:w="2126" w:type="dxa"/>
          </w:tcPr>
          <w:p w14:paraId="5E78C93B" w14:textId="77777777" w:rsidR="00400B4E" w:rsidRPr="00F758B9"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t>13%</w:t>
            </w:r>
          </w:p>
        </w:tc>
      </w:tr>
      <w:tr w:rsidR="00400B4E" w:rsidRPr="001F171F" w14:paraId="01063156" w14:textId="77777777" w:rsidTr="00745CDB">
        <w:tc>
          <w:tcPr>
            <w:cnfStyle w:val="001000000000" w:firstRow="0" w:lastRow="0" w:firstColumn="1" w:lastColumn="0" w:oddVBand="0" w:evenVBand="0" w:oddHBand="0" w:evenHBand="0" w:firstRowFirstColumn="0" w:firstRowLastColumn="0" w:lastRowFirstColumn="0" w:lastRowLastColumn="0"/>
            <w:tcW w:w="3114" w:type="dxa"/>
          </w:tcPr>
          <w:p w14:paraId="7F6D1411" w14:textId="77777777" w:rsidR="00400B4E" w:rsidRPr="00745CDB" w:rsidRDefault="00400B4E" w:rsidP="00BA1554">
            <w:pPr>
              <w:ind w:left="0"/>
              <w:contextualSpacing/>
              <w:rPr>
                <w:rStyle w:val="Pogrubienie"/>
              </w:rPr>
            </w:pPr>
            <w:r w:rsidRPr="00745CDB">
              <w:rPr>
                <w:rStyle w:val="Pogrubienie"/>
              </w:rPr>
              <w:lastRenderedPageBreak/>
              <w:t>Działdowo - gmina wiejska</w:t>
            </w:r>
          </w:p>
        </w:tc>
        <w:tc>
          <w:tcPr>
            <w:tcW w:w="1417" w:type="dxa"/>
          </w:tcPr>
          <w:p w14:paraId="16A7C19F" w14:textId="77777777" w:rsidR="00400B4E" w:rsidRPr="001F171F"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t>1</w:t>
            </w:r>
            <w:r w:rsidRPr="00BA0767">
              <w:t>%</w:t>
            </w:r>
          </w:p>
        </w:tc>
        <w:tc>
          <w:tcPr>
            <w:tcW w:w="2282" w:type="dxa"/>
            <w:shd w:val="clear" w:color="auto" w:fill="D9D9D9" w:themeFill="background1" w:themeFillShade="D9"/>
          </w:tcPr>
          <w:p w14:paraId="3CBBA48A" w14:textId="77777777" w:rsidR="00400B4E" w:rsidRPr="00F758B9"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rsidRPr="00F758B9">
              <w:t>Działdowo - gmina</w:t>
            </w:r>
            <w:r>
              <w:t xml:space="preserve"> wiejska</w:t>
            </w:r>
          </w:p>
        </w:tc>
        <w:tc>
          <w:tcPr>
            <w:tcW w:w="2126" w:type="dxa"/>
          </w:tcPr>
          <w:p w14:paraId="05A40952" w14:textId="77777777" w:rsidR="00400B4E" w:rsidRPr="00F758B9"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t>-3%</w:t>
            </w:r>
          </w:p>
        </w:tc>
      </w:tr>
      <w:tr w:rsidR="00400B4E" w:rsidRPr="001F171F" w14:paraId="34D77660" w14:textId="77777777" w:rsidTr="00745CDB">
        <w:tc>
          <w:tcPr>
            <w:cnfStyle w:val="001000000000" w:firstRow="0" w:lastRow="0" w:firstColumn="1" w:lastColumn="0" w:oddVBand="0" w:evenVBand="0" w:oddHBand="0" w:evenHBand="0" w:firstRowFirstColumn="0" w:firstRowLastColumn="0" w:lastRowFirstColumn="0" w:lastRowLastColumn="0"/>
            <w:tcW w:w="3114" w:type="dxa"/>
          </w:tcPr>
          <w:p w14:paraId="659F599A" w14:textId="77777777" w:rsidR="00400B4E" w:rsidRPr="00745CDB" w:rsidRDefault="00400B4E" w:rsidP="00BA1554">
            <w:pPr>
              <w:ind w:left="0"/>
              <w:contextualSpacing/>
              <w:rPr>
                <w:rStyle w:val="Pogrubienie"/>
              </w:rPr>
            </w:pPr>
            <w:r w:rsidRPr="00745CDB">
              <w:rPr>
                <w:rStyle w:val="Pogrubienie"/>
              </w:rPr>
              <w:t>Lidzbark</w:t>
            </w:r>
          </w:p>
        </w:tc>
        <w:tc>
          <w:tcPr>
            <w:tcW w:w="1417" w:type="dxa"/>
          </w:tcPr>
          <w:p w14:paraId="2D3D4CFA" w14:textId="77777777" w:rsidR="00400B4E" w:rsidRPr="001F171F"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t>2</w:t>
            </w:r>
            <w:r w:rsidRPr="00BA0767">
              <w:t>%</w:t>
            </w:r>
          </w:p>
        </w:tc>
        <w:tc>
          <w:tcPr>
            <w:tcW w:w="2282" w:type="dxa"/>
            <w:shd w:val="clear" w:color="auto" w:fill="D9D9D9" w:themeFill="background1" w:themeFillShade="D9"/>
          </w:tcPr>
          <w:p w14:paraId="23BEE492" w14:textId="77777777" w:rsidR="00400B4E" w:rsidRPr="00F758B9"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rsidRPr="00F758B9">
              <w:t>Lidzbark</w:t>
            </w:r>
          </w:p>
        </w:tc>
        <w:tc>
          <w:tcPr>
            <w:tcW w:w="2126" w:type="dxa"/>
          </w:tcPr>
          <w:p w14:paraId="6D536F08" w14:textId="77777777" w:rsidR="00400B4E" w:rsidRPr="00F758B9"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t>2%</w:t>
            </w:r>
          </w:p>
        </w:tc>
      </w:tr>
      <w:tr w:rsidR="00400B4E" w:rsidRPr="001F171F" w14:paraId="7525A1F1" w14:textId="77777777" w:rsidTr="00745CDB">
        <w:tc>
          <w:tcPr>
            <w:cnfStyle w:val="001000000000" w:firstRow="0" w:lastRow="0" w:firstColumn="1" w:lastColumn="0" w:oddVBand="0" w:evenVBand="0" w:oddHBand="0" w:evenHBand="0" w:firstRowFirstColumn="0" w:firstRowLastColumn="0" w:lastRowFirstColumn="0" w:lastRowLastColumn="0"/>
            <w:tcW w:w="3114" w:type="dxa"/>
          </w:tcPr>
          <w:p w14:paraId="48E50D14" w14:textId="77777777" w:rsidR="00400B4E" w:rsidRPr="00745CDB" w:rsidRDefault="00400B4E" w:rsidP="00BA1554">
            <w:pPr>
              <w:ind w:left="0"/>
              <w:contextualSpacing/>
              <w:rPr>
                <w:rStyle w:val="Pogrubienie"/>
              </w:rPr>
            </w:pPr>
            <w:r w:rsidRPr="00745CDB">
              <w:rPr>
                <w:rStyle w:val="Pogrubienie"/>
              </w:rPr>
              <w:t>Rybno</w:t>
            </w:r>
          </w:p>
        </w:tc>
        <w:tc>
          <w:tcPr>
            <w:tcW w:w="1417" w:type="dxa"/>
          </w:tcPr>
          <w:p w14:paraId="163387B1" w14:textId="77777777" w:rsidR="00400B4E" w:rsidRPr="001F171F"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t>0</w:t>
            </w:r>
            <w:r w:rsidRPr="00BA0767">
              <w:t>%</w:t>
            </w:r>
          </w:p>
        </w:tc>
        <w:tc>
          <w:tcPr>
            <w:tcW w:w="2282" w:type="dxa"/>
            <w:shd w:val="clear" w:color="auto" w:fill="D9D9D9" w:themeFill="background1" w:themeFillShade="D9"/>
          </w:tcPr>
          <w:p w14:paraId="51E95975" w14:textId="77777777" w:rsidR="00400B4E" w:rsidRPr="00F758B9"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rsidRPr="00F758B9">
              <w:t>Rybno</w:t>
            </w:r>
          </w:p>
        </w:tc>
        <w:tc>
          <w:tcPr>
            <w:tcW w:w="2126" w:type="dxa"/>
          </w:tcPr>
          <w:p w14:paraId="0019B446" w14:textId="77777777" w:rsidR="00400B4E" w:rsidRPr="00F758B9"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t>0%</w:t>
            </w:r>
          </w:p>
        </w:tc>
      </w:tr>
      <w:tr w:rsidR="00400B4E" w:rsidRPr="001F171F" w14:paraId="1C8C4ED1" w14:textId="77777777" w:rsidTr="00745CDB">
        <w:tc>
          <w:tcPr>
            <w:cnfStyle w:val="001000000000" w:firstRow="0" w:lastRow="0" w:firstColumn="1" w:lastColumn="0" w:oddVBand="0" w:evenVBand="0" w:oddHBand="0" w:evenHBand="0" w:firstRowFirstColumn="0" w:firstRowLastColumn="0" w:lastRowFirstColumn="0" w:lastRowLastColumn="0"/>
            <w:tcW w:w="3114" w:type="dxa"/>
          </w:tcPr>
          <w:p w14:paraId="3FC28374" w14:textId="77777777" w:rsidR="00400B4E" w:rsidRPr="00745CDB" w:rsidRDefault="00400B4E" w:rsidP="00BA1554">
            <w:pPr>
              <w:ind w:left="0"/>
              <w:contextualSpacing/>
              <w:rPr>
                <w:rStyle w:val="Pogrubienie"/>
              </w:rPr>
            </w:pPr>
            <w:r w:rsidRPr="00745CDB">
              <w:rPr>
                <w:rStyle w:val="Pogrubienie"/>
              </w:rPr>
              <w:t>Płośnica</w:t>
            </w:r>
          </w:p>
        </w:tc>
        <w:tc>
          <w:tcPr>
            <w:tcW w:w="1417" w:type="dxa"/>
          </w:tcPr>
          <w:p w14:paraId="2439C5CB" w14:textId="77777777" w:rsidR="00400B4E" w:rsidRPr="001F171F"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t>0</w:t>
            </w:r>
            <w:r w:rsidRPr="00BA0767">
              <w:t>%</w:t>
            </w:r>
          </w:p>
        </w:tc>
        <w:tc>
          <w:tcPr>
            <w:tcW w:w="2282" w:type="dxa"/>
            <w:shd w:val="clear" w:color="auto" w:fill="D9D9D9" w:themeFill="background1" w:themeFillShade="D9"/>
          </w:tcPr>
          <w:p w14:paraId="5765CF9E" w14:textId="77777777" w:rsidR="00400B4E" w:rsidRPr="00F758B9"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rsidRPr="00F758B9">
              <w:t>Płośnica</w:t>
            </w:r>
          </w:p>
        </w:tc>
        <w:tc>
          <w:tcPr>
            <w:tcW w:w="2126" w:type="dxa"/>
          </w:tcPr>
          <w:p w14:paraId="77DAB630" w14:textId="77777777" w:rsidR="00400B4E" w:rsidRPr="00F758B9"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t>-1%</w:t>
            </w:r>
          </w:p>
        </w:tc>
      </w:tr>
      <w:tr w:rsidR="00400B4E" w:rsidRPr="001F171F" w14:paraId="7ED13FDC" w14:textId="77777777" w:rsidTr="00745CDB">
        <w:tc>
          <w:tcPr>
            <w:cnfStyle w:val="001000000000" w:firstRow="0" w:lastRow="0" w:firstColumn="1" w:lastColumn="0" w:oddVBand="0" w:evenVBand="0" w:oddHBand="0" w:evenHBand="0" w:firstRowFirstColumn="0" w:firstRowLastColumn="0" w:lastRowFirstColumn="0" w:lastRowLastColumn="0"/>
            <w:tcW w:w="3114" w:type="dxa"/>
          </w:tcPr>
          <w:p w14:paraId="4DB879AC" w14:textId="77777777" w:rsidR="00400B4E" w:rsidRPr="00745CDB" w:rsidRDefault="00400B4E" w:rsidP="00BA1554">
            <w:pPr>
              <w:ind w:left="0"/>
              <w:contextualSpacing/>
              <w:rPr>
                <w:rStyle w:val="Pogrubienie"/>
              </w:rPr>
            </w:pPr>
            <w:r w:rsidRPr="00745CDB">
              <w:rPr>
                <w:rStyle w:val="Pogrubienie"/>
              </w:rPr>
              <w:t>Iłowo-Osada</w:t>
            </w:r>
          </w:p>
        </w:tc>
        <w:tc>
          <w:tcPr>
            <w:tcW w:w="1417" w:type="dxa"/>
          </w:tcPr>
          <w:p w14:paraId="39209BD8" w14:textId="77777777" w:rsidR="00400B4E" w:rsidRPr="001F171F"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t>1</w:t>
            </w:r>
            <w:r w:rsidRPr="00BA0767">
              <w:t>%</w:t>
            </w:r>
          </w:p>
        </w:tc>
        <w:tc>
          <w:tcPr>
            <w:tcW w:w="2282" w:type="dxa"/>
            <w:shd w:val="clear" w:color="auto" w:fill="D9D9D9" w:themeFill="background1" w:themeFillShade="D9"/>
          </w:tcPr>
          <w:p w14:paraId="33077793" w14:textId="77777777" w:rsidR="00400B4E" w:rsidRPr="00F758B9"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rsidRPr="00F758B9">
              <w:t>Iłowo-Osada</w:t>
            </w:r>
          </w:p>
        </w:tc>
        <w:tc>
          <w:tcPr>
            <w:tcW w:w="2126" w:type="dxa"/>
          </w:tcPr>
          <w:p w14:paraId="40830E88" w14:textId="77777777" w:rsidR="00400B4E" w:rsidRPr="00F758B9"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t>2%</w:t>
            </w:r>
          </w:p>
        </w:tc>
      </w:tr>
      <w:tr w:rsidR="00400B4E" w:rsidRPr="001F171F" w14:paraId="1E8C6E71" w14:textId="77777777" w:rsidTr="00745CDB">
        <w:tc>
          <w:tcPr>
            <w:cnfStyle w:val="001000000000" w:firstRow="0" w:lastRow="0" w:firstColumn="1" w:lastColumn="0" w:oddVBand="0" w:evenVBand="0" w:oddHBand="0" w:evenHBand="0" w:firstRowFirstColumn="0" w:firstRowLastColumn="0" w:lastRowFirstColumn="0" w:lastRowLastColumn="0"/>
            <w:tcW w:w="3114" w:type="dxa"/>
          </w:tcPr>
          <w:p w14:paraId="3C8BCD90" w14:textId="77777777" w:rsidR="00400B4E" w:rsidRPr="00745CDB" w:rsidRDefault="00400B4E" w:rsidP="00BA1554">
            <w:pPr>
              <w:ind w:left="0"/>
              <w:contextualSpacing/>
              <w:rPr>
                <w:rStyle w:val="Pogrubienie"/>
              </w:rPr>
            </w:pPr>
            <w:r w:rsidRPr="00745CDB">
              <w:rPr>
                <w:rStyle w:val="Pogrubienie"/>
              </w:rPr>
              <w:t>Nidzica</w:t>
            </w:r>
          </w:p>
        </w:tc>
        <w:tc>
          <w:tcPr>
            <w:tcW w:w="1417" w:type="dxa"/>
          </w:tcPr>
          <w:p w14:paraId="5A59E3DA" w14:textId="77777777" w:rsidR="00400B4E" w:rsidRPr="00330107"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rsidRPr="00330107">
              <w:t>3%</w:t>
            </w:r>
          </w:p>
        </w:tc>
        <w:tc>
          <w:tcPr>
            <w:tcW w:w="2282" w:type="dxa"/>
            <w:shd w:val="clear" w:color="auto" w:fill="D9D9D9" w:themeFill="background1" w:themeFillShade="D9"/>
          </w:tcPr>
          <w:p w14:paraId="45871A88" w14:textId="77777777" w:rsidR="00400B4E" w:rsidRPr="00F758B9"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rsidRPr="00F758B9">
              <w:t>Nidzica</w:t>
            </w:r>
          </w:p>
        </w:tc>
        <w:tc>
          <w:tcPr>
            <w:tcW w:w="2126" w:type="dxa"/>
          </w:tcPr>
          <w:p w14:paraId="6B11A24E" w14:textId="77777777" w:rsidR="00400B4E" w:rsidRPr="00F758B9"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t>1%</w:t>
            </w:r>
          </w:p>
        </w:tc>
      </w:tr>
      <w:tr w:rsidR="00400B4E" w:rsidRPr="001F171F" w14:paraId="01358CDA" w14:textId="77777777" w:rsidTr="00745CDB">
        <w:tc>
          <w:tcPr>
            <w:cnfStyle w:val="001000000000" w:firstRow="0" w:lastRow="0" w:firstColumn="1" w:lastColumn="0" w:oddVBand="0" w:evenVBand="0" w:oddHBand="0" w:evenHBand="0" w:firstRowFirstColumn="0" w:firstRowLastColumn="0" w:lastRowFirstColumn="0" w:lastRowLastColumn="0"/>
            <w:tcW w:w="3114" w:type="dxa"/>
          </w:tcPr>
          <w:p w14:paraId="0C75B24E" w14:textId="77777777" w:rsidR="00400B4E" w:rsidRPr="00745CDB" w:rsidRDefault="00400B4E" w:rsidP="00BA1554">
            <w:pPr>
              <w:ind w:left="0"/>
              <w:contextualSpacing/>
              <w:rPr>
                <w:rStyle w:val="Pogrubienie"/>
              </w:rPr>
            </w:pPr>
            <w:r w:rsidRPr="00745CDB">
              <w:rPr>
                <w:rStyle w:val="Pogrubienie"/>
              </w:rPr>
              <w:t>Janowo</w:t>
            </w:r>
          </w:p>
        </w:tc>
        <w:tc>
          <w:tcPr>
            <w:tcW w:w="1417" w:type="dxa"/>
          </w:tcPr>
          <w:p w14:paraId="1A46183B" w14:textId="77777777" w:rsidR="00400B4E" w:rsidRPr="001F171F"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t>0</w:t>
            </w:r>
            <w:r w:rsidRPr="00BA0767">
              <w:t>%</w:t>
            </w:r>
          </w:p>
        </w:tc>
        <w:tc>
          <w:tcPr>
            <w:tcW w:w="2282" w:type="dxa"/>
            <w:shd w:val="clear" w:color="auto" w:fill="D9D9D9" w:themeFill="background1" w:themeFillShade="D9"/>
          </w:tcPr>
          <w:p w14:paraId="0E1C4443" w14:textId="77777777" w:rsidR="00400B4E" w:rsidRPr="00F758B9"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rsidRPr="00F758B9">
              <w:t>Janowo</w:t>
            </w:r>
          </w:p>
        </w:tc>
        <w:tc>
          <w:tcPr>
            <w:tcW w:w="2126" w:type="dxa"/>
          </w:tcPr>
          <w:p w14:paraId="6D7373FC" w14:textId="77777777" w:rsidR="00400B4E" w:rsidRPr="00F758B9"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t>-1%</w:t>
            </w:r>
          </w:p>
        </w:tc>
      </w:tr>
      <w:tr w:rsidR="00400B4E" w:rsidRPr="001F171F" w14:paraId="247E44AB" w14:textId="77777777" w:rsidTr="00745CDB">
        <w:tc>
          <w:tcPr>
            <w:cnfStyle w:val="001000000000" w:firstRow="0" w:lastRow="0" w:firstColumn="1" w:lastColumn="0" w:oddVBand="0" w:evenVBand="0" w:oddHBand="0" w:evenHBand="0" w:firstRowFirstColumn="0" w:firstRowLastColumn="0" w:lastRowFirstColumn="0" w:lastRowLastColumn="0"/>
            <w:tcW w:w="3114" w:type="dxa"/>
          </w:tcPr>
          <w:p w14:paraId="7E6935DF" w14:textId="77777777" w:rsidR="00400B4E" w:rsidRPr="00745CDB" w:rsidRDefault="00400B4E" w:rsidP="00BA1554">
            <w:pPr>
              <w:ind w:left="0"/>
              <w:contextualSpacing/>
              <w:rPr>
                <w:rStyle w:val="Pogrubienie"/>
              </w:rPr>
            </w:pPr>
            <w:r w:rsidRPr="00745CDB">
              <w:rPr>
                <w:rStyle w:val="Pogrubienie"/>
              </w:rPr>
              <w:t>Kozłowo</w:t>
            </w:r>
          </w:p>
        </w:tc>
        <w:tc>
          <w:tcPr>
            <w:tcW w:w="1417" w:type="dxa"/>
          </w:tcPr>
          <w:p w14:paraId="2544B270" w14:textId="77777777" w:rsidR="00400B4E" w:rsidRPr="001F171F"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t>2</w:t>
            </w:r>
            <w:r w:rsidRPr="00BA0767">
              <w:t>%</w:t>
            </w:r>
          </w:p>
        </w:tc>
        <w:tc>
          <w:tcPr>
            <w:tcW w:w="2282" w:type="dxa"/>
            <w:shd w:val="clear" w:color="auto" w:fill="D9D9D9" w:themeFill="background1" w:themeFillShade="D9"/>
          </w:tcPr>
          <w:p w14:paraId="577E2C75" w14:textId="77777777" w:rsidR="00400B4E" w:rsidRPr="00F758B9"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rsidRPr="00F758B9">
              <w:t>Kozłowo</w:t>
            </w:r>
          </w:p>
        </w:tc>
        <w:tc>
          <w:tcPr>
            <w:tcW w:w="2126" w:type="dxa"/>
          </w:tcPr>
          <w:p w14:paraId="1E7C6012" w14:textId="77777777" w:rsidR="00400B4E" w:rsidRPr="00F758B9"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t>-17%</w:t>
            </w:r>
          </w:p>
        </w:tc>
      </w:tr>
      <w:tr w:rsidR="00400B4E" w:rsidRPr="001F171F" w14:paraId="65350264" w14:textId="77777777" w:rsidTr="00745CDB">
        <w:tc>
          <w:tcPr>
            <w:cnfStyle w:val="001000000000" w:firstRow="0" w:lastRow="0" w:firstColumn="1" w:lastColumn="0" w:oddVBand="0" w:evenVBand="0" w:oddHBand="0" w:evenHBand="0" w:firstRowFirstColumn="0" w:firstRowLastColumn="0" w:lastRowFirstColumn="0" w:lastRowLastColumn="0"/>
            <w:tcW w:w="3114" w:type="dxa"/>
          </w:tcPr>
          <w:p w14:paraId="1B1D1B75" w14:textId="77777777" w:rsidR="00400B4E" w:rsidRPr="00745CDB" w:rsidRDefault="00400B4E" w:rsidP="00BA1554">
            <w:pPr>
              <w:ind w:left="0"/>
              <w:contextualSpacing/>
              <w:rPr>
                <w:rStyle w:val="Pogrubienie"/>
              </w:rPr>
            </w:pPr>
            <w:r w:rsidRPr="00745CDB">
              <w:rPr>
                <w:rStyle w:val="Pogrubienie"/>
              </w:rPr>
              <w:t>Janowiec Kościelny</w:t>
            </w:r>
          </w:p>
        </w:tc>
        <w:tc>
          <w:tcPr>
            <w:tcW w:w="1417" w:type="dxa"/>
          </w:tcPr>
          <w:p w14:paraId="46B307FC" w14:textId="77777777" w:rsidR="00400B4E" w:rsidRPr="001F171F"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t>2</w:t>
            </w:r>
            <w:r w:rsidRPr="00BA0767">
              <w:t>%</w:t>
            </w:r>
          </w:p>
        </w:tc>
        <w:tc>
          <w:tcPr>
            <w:tcW w:w="2282" w:type="dxa"/>
            <w:shd w:val="clear" w:color="auto" w:fill="D9D9D9" w:themeFill="background1" w:themeFillShade="D9"/>
          </w:tcPr>
          <w:p w14:paraId="5D461607" w14:textId="77777777" w:rsidR="00400B4E" w:rsidRPr="00F758B9"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rsidRPr="00F758B9">
              <w:t>Janowiec Kościelny</w:t>
            </w:r>
          </w:p>
        </w:tc>
        <w:tc>
          <w:tcPr>
            <w:tcW w:w="2126" w:type="dxa"/>
          </w:tcPr>
          <w:p w14:paraId="64C7EF52" w14:textId="77777777" w:rsidR="00400B4E" w:rsidRPr="00F758B9"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t>-14%</w:t>
            </w:r>
          </w:p>
        </w:tc>
      </w:tr>
      <w:tr w:rsidR="00400B4E" w:rsidRPr="001F171F" w14:paraId="5DA78C5D" w14:textId="77777777" w:rsidTr="00745CDB">
        <w:tc>
          <w:tcPr>
            <w:cnfStyle w:val="001000000000" w:firstRow="0" w:lastRow="0" w:firstColumn="1" w:lastColumn="0" w:oddVBand="0" w:evenVBand="0" w:oddHBand="0" w:evenHBand="0" w:firstRowFirstColumn="0" w:firstRowLastColumn="0" w:lastRowFirstColumn="0" w:lastRowLastColumn="0"/>
            <w:tcW w:w="3114" w:type="dxa"/>
          </w:tcPr>
          <w:p w14:paraId="3DA99BDB" w14:textId="77777777" w:rsidR="00400B4E" w:rsidRPr="00745CDB" w:rsidRDefault="00400B4E" w:rsidP="00BA1554">
            <w:pPr>
              <w:ind w:left="0"/>
              <w:contextualSpacing/>
              <w:rPr>
                <w:rStyle w:val="Pogrubienie"/>
              </w:rPr>
            </w:pPr>
            <w:r w:rsidRPr="00745CDB">
              <w:rPr>
                <w:rStyle w:val="Pogrubienie"/>
              </w:rPr>
              <w:t>Pisz</w:t>
            </w:r>
          </w:p>
        </w:tc>
        <w:tc>
          <w:tcPr>
            <w:tcW w:w="1417" w:type="dxa"/>
          </w:tcPr>
          <w:p w14:paraId="2ECCFF1F" w14:textId="77777777" w:rsidR="00400B4E" w:rsidRPr="00330107"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rsidRPr="00330107">
              <w:t>8%</w:t>
            </w:r>
          </w:p>
        </w:tc>
        <w:tc>
          <w:tcPr>
            <w:tcW w:w="2282" w:type="dxa"/>
            <w:shd w:val="clear" w:color="auto" w:fill="D9D9D9" w:themeFill="background1" w:themeFillShade="D9"/>
          </w:tcPr>
          <w:p w14:paraId="09640495" w14:textId="77777777" w:rsidR="00400B4E" w:rsidRPr="00F758B9"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rsidRPr="00F758B9">
              <w:t>Pisz</w:t>
            </w:r>
          </w:p>
        </w:tc>
        <w:tc>
          <w:tcPr>
            <w:tcW w:w="2126" w:type="dxa"/>
          </w:tcPr>
          <w:p w14:paraId="5D108412" w14:textId="77777777" w:rsidR="00400B4E" w:rsidRPr="00F758B9"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t>-1%</w:t>
            </w:r>
          </w:p>
        </w:tc>
      </w:tr>
      <w:tr w:rsidR="00400B4E" w:rsidRPr="001F171F" w14:paraId="24D345BB" w14:textId="77777777" w:rsidTr="00745CDB">
        <w:tc>
          <w:tcPr>
            <w:cnfStyle w:val="001000000000" w:firstRow="0" w:lastRow="0" w:firstColumn="1" w:lastColumn="0" w:oddVBand="0" w:evenVBand="0" w:oddHBand="0" w:evenHBand="0" w:firstRowFirstColumn="0" w:firstRowLastColumn="0" w:lastRowFirstColumn="0" w:lastRowLastColumn="0"/>
            <w:tcW w:w="3114" w:type="dxa"/>
          </w:tcPr>
          <w:p w14:paraId="7FC0C637" w14:textId="77777777" w:rsidR="00400B4E" w:rsidRPr="00745CDB" w:rsidRDefault="00400B4E" w:rsidP="00BA1554">
            <w:pPr>
              <w:ind w:left="0"/>
              <w:contextualSpacing/>
              <w:rPr>
                <w:rStyle w:val="Pogrubienie"/>
              </w:rPr>
            </w:pPr>
            <w:r w:rsidRPr="00745CDB">
              <w:rPr>
                <w:rStyle w:val="Pogrubienie"/>
              </w:rPr>
              <w:t>Biała Piska</w:t>
            </w:r>
          </w:p>
        </w:tc>
        <w:tc>
          <w:tcPr>
            <w:tcW w:w="1417" w:type="dxa"/>
          </w:tcPr>
          <w:p w14:paraId="2181248B" w14:textId="77777777" w:rsidR="00400B4E" w:rsidRPr="001F171F"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t>1</w:t>
            </w:r>
            <w:r w:rsidRPr="00BA0767">
              <w:t>%</w:t>
            </w:r>
          </w:p>
        </w:tc>
        <w:tc>
          <w:tcPr>
            <w:tcW w:w="2282" w:type="dxa"/>
            <w:shd w:val="clear" w:color="auto" w:fill="D9D9D9" w:themeFill="background1" w:themeFillShade="D9"/>
          </w:tcPr>
          <w:p w14:paraId="7263A602" w14:textId="77777777" w:rsidR="00400B4E" w:rsidRPr="00F758B9"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rsidRPr="00F758B9">
              <w:t>Biała Piska</w:t>
            </w:r>
          </w:p>
        </w:tc>
        <w:tc>
          <w:tcPr>
            <w:tcW w:w="2126" w:type="dxa"/>
          </w:tcPr>
          <w:p w14:paraId="73E49FCC" w14:textId="77777777" w:rsidR="00400B4E" w:rsidRPr="00F758B9"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t>-11%</w:t>
            </w:r>
          </w:p>
        </w:tc>
      </w:tr>
      <w:tr w:rsidR="00400B4E" w:rsidRPr="001F171F" w14:paraId="27932AE6" w14:textId="77777777" w:rsidTr="00745CDB">
        <w:tc>
          <w:tcPr>
            <w:cnfStyle w:val="001000000000" w:firstRow="0" w:lastRow="0" w:firstColumn="1" w:lastColumn="0" w:oddVBand="0" w:evenVBand="0" w:oddHBand="0" w:evenHBand="0" w:firstRowFirstColumn="0" w:firstRowLastColumn="0" w:lastRowFirstColumn="0" w:lastRowLastColumn="0"/>
            <w:tcW w:w="3114" w:type="dxa"/>
          </w:tcPr>
          <w:p w14:paraId="5826CAB5" w14:textId="77777777" w:rsidR="00400B4E" w:rsidRPr="00745CDB" w:rsidRDefault="00400B4E" w:rsidP="00BA1554">
            <w:pPr>
              <w:ind w:left="0"/>
              <w:contextualSpacing/>
              <w:rPr>
                <w:rStyle w:val="Pogrubienie"/>
              </w:rPr>
            </w:pPr>
            <w:r w:rsidRPr="00745CDB">
              <w:rPr>
                <w:rStyle w:val="Pogrubienie"/>
              </w:rPr>
              <w:t>Orzysz</w:t>
            </w:r>
          </w:p>
        </w:tc>
        <w:tc>
          <w:tcPr>
            <w:tcW w:w="1417" w:type="dxa"/>
          </w:tcPr>
          <w:p w14:paraId="633B6F4C" w14:textId="77777777" w:rsidR="00400B4E" w:rsidRPr="00330107"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rsidRPr="00330107">
              <w:t>3%</w:t>
            </w:r>
          </w:p>
        </w:tc>
        <w:tc>
          <w:tcPr>
            <w:tcW w:w="2282" w:type="dxa"/>
            <w:shd w:val="clear" w:color="auto" w:fill="D9D9D9" w:themeFill="background1" w:themeFillShade="D9"/>
          </w:tcPr>
          <w:p w14:paraId="7A29A5E0" w14:textId="77777777" w:rsidR="00400B4E" w:rsidRPr="00FB0F55"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rsidRPr="00FB0F55">
              <w:t>Orzysz</w:t>
            </w:r>
          </w:p>
        </w:tc>
        <w:tc>
          <w:tcPr>
            <w:tcW w:w="2126" w:type="dxa"/>
          </w:tcPr>
          <w:p w14:paraId="2ACD7877" w14:textId="77777777" w:rsidR="00400B4E" w:rsidRPr="00FB0F55"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rsidRPr="00FB0F55">
              <w:t>0%</w:t>
            </w:r>
          </w:p>
        </w:tc>
      </w:tr>
      <w:tr w:rsidR="00400B4E" w:rsidRPr="001F171F" w14:paraId="32EFB3D9" w14:textId="77777777" w:rsidTr="00745CDB">
        <w:tc>
          <w:tcPr>
            <w:cnfStyle w:val="001000000000" w:firstRow="0" w:lastRow="0" w:firstColumn="1" w:lastColumn="0" w:oddVBand="0" w:evenVBand="0" w:oddHBand="0" w:evenHBand="0" w:firstRowFirstColumn="0" w:firstRowLastColumn="0" w:lastRowFirstColumn="0" w:lastRowLastColumn="0"/>
            <w:tcW w:w="3114" w:type="dxa"/>
          </w:tcPr>
          <w:p w14:paraId="53E17FD6" w14:textId="77777777" w:rsidR="00400B4E" w:rsidRPr="00745CDB" w:rsidRDefault="00400B4E" w:rsidP="00BA1554">
            <w:pPr>
              <w:ind w:left="0"/>
              <w:contextualSpacing/>
              <w:rPr>
                <w:rStyle w:val="Pogrubienie"/>
              </w:rPr>
            </w:pPr>
            <w:r w:rsidRPr="00745CDB">
              <w:rPr>
                <w:rStyle w:val="Pogrubienie"/>
              </w:rPr>
              <w:t>Ruciane-Nida</w:t>
            </w:r>
          </w:p>
        </w:tc>
        <w:tc>
          <w:tcPr>
            <w:tcW w:w="1417" w:type="dxa"/>
          </w:tcPr>
          <w:p w14:paraId="0CF21D1F" w14:textId="77777777" w:rsidR="00400B4E" w:rsidRPr="001F171F"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t>1</w:t>
            </w:r>
            <w:r w:rsidRPr="00BA0767">
              <w:t>%</w:t>
            </w:r>
          </w:p>
        </w:tc>
        <w:tc>
          <w:tcPr>
            <w:tcW w:w="2282" w:type="dxa"/>
            <w:shd w:val="clear" w:color="auto" w:fill="D9D9D9" w:themeFill="background1" w:themeFillShade="D9"/>
          </w:tcPr>
          <w:p w14:paraId="3F53E2B6" w14:textId="77777777" w:rsidR="00400B4E" w:rsidRPr="00F758B9"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rsidRPr="00F758B9">
              <w:t>Ruciane-Nida</w:t>
            </w:r>
          </w:p>
        </w:tc>
        <w:tc>
          <w:tcPr>
            <w:tcW w:w="2126" w:type="dxa"/>
          </w:tcPr>
          <w:p w14:paraId="102D3FA7" w14:textId="77777777" w:rsidR="00400B4E" w:rsidRPr="00F758B9"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t>1%</w:t>
            </w:r>
          </w:p>
        </w:tc>
      </w:tr>
    </w:tbl>
    <w:p w14:paraId="201AE58C" w14:textId="30EFE774" w:rsidR="00BA1554" w:rsidRPr="00BB7F69" w:rsidRDefault="00400B4E" w:rsidP="00BB7F69">
      <w:pPr>
        <w:pStyle w:val="podpiselementu"/>
        <w:spacing w:after="240"/>
        <w:rPr>
          <w:rFonts w:eastAsia="Times New Roman"/>
          <w:lang w:val="pl-PL" w:eastAsia="pl-PL"/>
        </w:rPr>
      </w:pPr>
      <w:r w:rsidRPr="00733091">
        <w:rPr>
          <w:lang w:val="pl-PL"/>
        </w:rPr>
        <w:t xml:space="preserve">Źródło: opracowanie ZMP na podstawie badania </w:t>
      </w:r>
      <w:r w:rsidRPr="00733091">
        <w:rPr>
          <w:rFonts w:eastAsia="Times New Roman"/>
          <w:lang w:val="pl-PL" w:eastAsia="pl-PL"/>
        </w:rPr>
        <w:t>członków Partnerstwa</w:t>
      </w:r>
    </w:p>
    <w:p w14:paraId="307222C3" w14:textId="3FDBD255" w:rsidR="00400B4E" w:rsidRPr="00733091" w:rsidRDefault="00400B4E" w:rsidP="002E24A9">
      <w:pPr>
        <w:pStyle w:val="Legenda"/>
        <w:rPr>
          <w:rFonts w:cstheme="minorHAnsi"/>
          <w:lang w:val="pl-PL"/>
        </w:rPr>
      </w:pPr>
      <w:bookmarkStart w:id="32" w:name="_Toc69723254"/>
      <w:r w:rsidRPr="00733091">
        <w:rPr>
          <w:lang w:val="pl-PL"/>
        </w:rPr>
        <w:t xml:space="preserve">Tabela </w:t>
      </w:r>
      <w:r w:rsidR="00733091">
        <w:fldChar w:fldCharType="begin"/>
      </w:r>
      <w:r w:rsidR="00733091" w:rsidRPr="00733091">
        <w:rPr>
          <w:lang w:val="pl-PL"/>
        </w:rPr>
        <w:instrText xml:space="preserve"> SEQ Tabela \* ARABIC </w:instrText>
      </w:r>
      <w:r w:rsidR="00733091">
        <w:fldChar w:fldCharType="separate"/>
      </w:r>
      <w:r w:rsidR="00B14787">
        <w:rPr>
          <w:noProof/>
          <w:lang w:val="pl-PL"/>
        </w:rPr>
        <w:t>5</w:t>
      </w:r>
      <w:r w:rsidR="00733091">
        <w:rPr>
          <w:noProof/>
        </w:rPr>
        <w:fldChar w:fldCharType="end"/>
      </w:r>
      <w:r w:rsidRPr="00733091">
        <w:rPr>
          <w:lang w:val="pl-PL"/>
        </w:rPr>
        <w:t>: Wskaźnik bilansu usług dla centrów usług w Partnerstwie</w:t>
      </w:r>
      <w:bookmarkEnd w:id="32"/>
    </w:p>
    <w:tbl>
      <w:tblPr>
        <w:tblStyle w:val="CWD"/>
        <w:tblW w:w="8926" w:type="dxa"/>
        <w:tblLook w:val="04A0" w:firstRow="1" w:lastRow="0" w:firstColumn="1" w:lastColumn="0" w:noHBand="0" w:noVBand="1"/>
      </w:tblPr>
      <w:tblGrid>
        <w:gridCol w:w="4710"/>
        <w:gridCol w:w="1060"/>
        <w:gridCol w:w="1239"/>
        <w:gridCol w:w="931"/>
        <w:gridCol w:w="986"/>
      </w:tblGrid>
      <w:tr w:rsidR="00400B4E" w:rsidRPr="00AD30B2" w14:paraId="22AFDFA9" w14:textId="77777777" w:rsidTr="00E70191">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4977" w:type="dxa"/>
            <w:vMerge w:val="restart"/>
            <w:shd w:val="clear" w:color="auto" w:fill="FFC000"/>
          </w:tcPr>
          <w:p w14:paraId="25AC65B6" w14:textId="77777777" w:rsidR="00400B4E" w:rsidRPr="00E70191" w:rsidRDefault="00400B4E" w:rsidP="00E70191">
            <w:pPr>
              <w:ind w:left="0"/>
              <w:contextualSpacing/>
              <w:jc w:val="center"/>
              <w:rPr>
                <w:rStyle w:val="Pogrubienie"/>
                <w:b/>
                <w:bCs/>
              </w:rPr>
            </w:pPr>
            <w:r w:rsidRPr="00E70191">
              <w:rPr>
                <w:rStyle w:val="Pogrubienie"/>
                <w:b/>
                <w:bCs/>
              </w:rPr>
              <w:t>Nazwa usługi</w:t>
            </w:r>
          </w:p>
        </w:tc>
        <w:tc>
          <w:tcPr>
            <w:tcW w:w="3949" w:type="dxa"/>
            <w:gridSpan w:val="4"/>
            <w:shd w:val="clear" w:color="auto" w:fill="FFC000"/>
          </w:tcPr>
          <w:p w14:paraId="61C6CCE9" w14:textId="77777777" w:rsidR="00400B4E" w:rsidRPr="00E70191" w:rsidRDefault="00400B4E" w:rsidP="00E70191">
            <w:pPr>
              <w:ind w:left="0"/>
              <w:contextualSpacing/>
              <w:jc w:val="center"/>
              <w:cnfStyle w:val="100000000000" w:firstRow="1" w:lastRow="0" w:firstColumn="0" w:lastColumn="0" w:oddVBand="0" w:evenVBand="0" w:oddHBand="0" w:evenHBand="0" w:firstRowFirstColumn="0" w:firstRowLastColumn="0" w:lastRowFirstColumn="0" w:lastRowLastColumn="0"/>
              <w:rPr>
                <w:rStyle w:val="Pogrubienie"/>
                <w:b/>
                <w:bCs/>
              </w:rPr>
            </w:pPr>
            <w:r w:rsidRPr="00E70191">
              <w:rPr>
                <w:rStyle w:val="Pogrubienie"/>
                <w:b/>
                <w:bCs/>
              </w:rPr>
              <w:t>Wskaźnik bilansu usług</w:t>
            </w:r>
          </w:p>
        </w:tc>
      </w:tr>
      <w:tr w:rsidR="00400B4E" w:rsidRPr="00AD30B2" w14:paraId="1BEC72A9" w14:textId="77777777" w:rsidTr="00E70191">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4977" w:type="dxa"/>
            <w:vMerge/>
            <w:shd w:val="clear" w:color="auto" w:fill="FFC000"/>
          </w:tcPr>
          <w:p w14:paraId="50242824" w14:textId="77777777" w:rsidR="00400B4E" w:rsidRPr="00E70191" w:rsidRDefault="00400B4E" w:rsidP="00E70191">
            <w:pPr>
              <w:ind w:left="0"/>
              <w:contextualSpacing/>
              <w:jc w:val="center"/>
              <w:rPr>
                <w:rStyle w:val="Pogrubienie"/>
                <w:b/>
                <w:bCs/>
              </w:rPr>
            </w:pPr>
          </w:p>
        </w:tc>
        <w:tc>
          <w:tcPr>
            <w:tcW w:w="988" w:type="dxa"/>
            <w:shd w:val="clear" w:color="auto" w:fill="FFC000"/>
          </w:tcPr>
          <w:p w14:paraId="1624CD70" w14:textId="77777777" w:rsidR="00400B4E" w:rsidRPr="00E70191" w:rsidRDefault="00400B4E" w:rsidP="00E70191">
            <w:pPr>
              <w:pStyle w:val="elementgraficznytabela"/>
              <w:spacing w:after="240"/>
              <w:contextualSpacing/>
              <w:jc w:val="center"/>
              <w:cnfStyle w:val="100000000000" w:firstRow="1" w:lastRow="0" w:firstColumn="0" w:lastColumn="0" w:oddVBand="0" w:evenVBand="0" w:oddHBand="0" w:evenHBand="0" w:firstRowFirstColumn="0" w:firstRowLastColumn="0" w:lastRowFirstColumn="0" w:lastRowLastColumn="0"/>
              <w:rPr>
                <w:b w:val="0"/>
                <w:bCs/>
              </w:rPr>
            </w:pPr>
            <w:r w:rsidRPr="00E70191">
              <w:rPr>
                <w:b w:val="0"/>
                <w:bCs/>
              </w:rPr>
              <w:t>Szczytno</w:t>
            </w:r>
          </w:p>
        </w:tc>
        <w:tc>
          <w:tcPr>
            <w:tcW w:w="1006" w:type="dxa"/>
            <w:shd w:val="clear" w:color="auto" w:fill="FFC000"/>
          </w:tcPr>
          <w:p w14:paraId="1CEA0BCB" w14:textId="77777777" w:rsidR="00400B4E" w:rsidRPr="00E70191" w:rsidRDefault="00400B4E" w:rsidP="00E70191">
            <w:pPr>
              <w:pStyle w:val="elementgraficznytabela"/>
              <w:spacing w:after="240"/>
              <w:contextualSpacing/>
              <w:jc w:val="center"/>
              <w:cnfStyle w:val="100000000000" w:firstRow="1" w:lastRow="0" w:firstColumn="0" w:lastColumn="0" w:oddVBand="0" w:evenVBand="0" w:oddHBand="0" w:evenHBand="0" w:firstRowFirstColumn="0" w:firstRowLastColumn="0" w:lastRowFirstColumn="0" w:lastRowLastColumn="0"/>
              <w:rPr>
                <w:b w:val="0"/>
                <w:bCs/>
              </w:rPr>
            </w:pPr>
            <w:r w:rsidRPr="00E70191">
              <w:rPr>
                <w:b w:val="0"/>
                <w:bCs/>
              </w:rPr>
              <w:t>Działdowo</w:t>
            </w:r>
          </w:p>
        </w:tc>
        <w:tc>
          <w:tcPr>
            <w:tcW w:w="962" w:type="dxa"/>
            <w:shd w:val="clear" w:color="auto" w:fill="FFC000"/>
          </w:tcPr>
          <w:p w14:paraId="59D336DF" w14:textId="77777777" w:rsidR="00400B4E" w:rsidRPr="00E70191" w:rsidRDefault="00400B4E" w:rsidP="00E70191">
            <w:pPr>
              <w:pStyle w:val="elementgraficznytabela"/>
              <w:spacing w:after="240"/>
              <w:contextualSpacing/>
              <w:jc w:val="center"/>
              <w:cnfStyle w:val="100000000000" w:firstRow="1" w:lastRow="0" w:firstColumn="0" w:lastColumn="0" w:oddVBand="0" w:evenVBand="0" w:oddHBand="0" w:evenHBand="0" w:firstRowFirstColumn="0" w:firstRowLastColumn="0" w:lastRowFirstColumn="0" w:lastRowLastColumn="0"/>
              <w:rPr>
                <w:b w:val="0"/>
                <w:bCs/>
              </w:rPr>
            </w:pPr>
            <w:r w:rsidRPr="00E70191">
              <w:rPr>
                <w:b w:val="0"/>
                <w:bCs/>
              </w:rPr>
              <w:t>Pisz</w:t>
            </w:r>
          </w:p>
        </w:tc>
        <w:tc>
          <w:tcPr>
            <w:tcW w:w="989" w:type="dxa"/>
            <w:shd w:val="clear" w:color="auto" w:fill="FFC000"/>
          </w:tcPr>
          <w:p w14:paraId="16ECF7D5" w14:textId="77777777" w:rsidR="00400B4E" w:rsidRPr="00E70191" w:rsidRDefault="00400B4E" w:rsidP="00E70191">
            <w:pPr>
              <w:pStyle w:val="elementgraficznytabela"/>
              <w:spacing w:after="240"/>
              <w:contextualSpacing/>
              <w:jc w:val="center"/>
              <w:cnfStyle w:val="100000000000" w:firstRow="1" w:lastRow="0" w:firstColumn="0" w:lastColumn="0" w:oddVBand="0" w:evenVBand="0" w:oddHBand="0" w:evenHBand="0" w:firstRowFirstColumn="0" w:firstRowLastColumn="0" w:lastRowFirstColumn="0" w:lastRowLastColumn="0"/>
              <w:rPr>
                <w:b w:val="0"/>
                <w:bCs/>
              </w:rPr>
            </w:pPr>
            <w:r w:rsidRPr="00E70191">
              <w:rPr>
                <w:b w:val="0"/>
                <w:bCs/>
              </w:rPr>
              <w:t>Nidzica</w:t>
            </w:r>
          </w:p>
        </w:tc>
      </w:tr>
      <w:tr w:rsidR="00400B4E" w:rsidRPr="00AD30B2" w14:paraId="458531C2" w14:textId="77777777" w:rsidTr="00A139DC">
        <w:tc>
          <w:tcPr>
            <w:cnfStyle w:val="001000000000" w:firstRow="0" w:lastRow="0" w:firstColumn="1" w:lastColumn="0" w:oddVBand="0" w:evenVBand="0" w:oddHBand="0" w:evenHBand="0" w:firstRowFirstColumn="0" w:firstRowLastColumn="0" w:lastRowFirstColumn="0" w:lastRowLastColumn="0"/>
            <w:tcW w:w="4977" w:type="dxa"/>
          </w:tcPr>
          <w:p w14:paraId="58F76D6C" w14:textId="77777777" w:rsidR="00400B4E" w:rsidRPr="00745CDB" w:rsidRDefault="00400B4E" w:rsidP="00BA1554">
            <w:pPr>
              <w:ind w:left="0"/>
              <w:contextualSpacing/>
              <w:rPr>
                <w:rStyle w:val="Pogrubienie"/>
              </w:rPr>
            </w:pPr>
            <w:r w:rsidRPr="00745CDB">
              <w:rPr>
                <w:rStyle w:val="Pogrubienie"/>
              </w:rPr>
              <w:t>Żłobki</w:t>
            </w:r>
          </w:p>
        </w:tc>
        <w:tc>
          <w:tcPr>
            <w:tcW w:w="988" w:type="dxa"/>
          </w:tcPr>
          <w:p w14:paraId="272DB2A2" w14:textId="77777777" w:rsidR="00400B4E" w:rsidRPr="002445B0"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rsidRPr="002445B0">
              <w:rPr>
                <w:rFonts w:cs="Arial"/>
              </w:rPr>
              <w:t>31%</w:t>
            </w:r>
          </w:p>
        </w:tc>
        <w:tc>
          <w:tcPr>
            <w:tcW w:w="1006" w:type="dxa"/>
          </w:tcPr>
          <w:p w14:paraId="1F2AC7FF" w14:textId="77777777" w:rsidR="00400B4E" w:rsidRPr="00752E20"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rsidRPr="00752E20">
              <w:rPr>
                <w:rFonts w:cs="Arial"/>
              </w:rPr>
              <w:t>33%</w:t>
            </w:r>
          </w:p>
        </w:tc>
        <w:tc>
          <w:tcPr>
            <w:tcW w:w="962" w:type="dxa"/>
          </w:tcPr>
          <w:p w14:paraId="47473EA1" w14:textId="77777777" w:rsidR="00400B4E" w:rsidRPr="002445B0"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rsidRPr="002445B0">
              <w:rPr>
                <w:rFonts w:cs="Arial"/>
              </w:rPr>
              <w:t>0%</w:t>
            </w:r>
          </w:p>
        </w:tc>
        <w:tc>
          <w:tcPr>
            <w:tcW w:w="989" w:type="dxa"/>
          </w:tcPr>
          <w:p w14:paraId="133A7AC9" w14:textId="77777777" w:rsidR="00400B4E" w:rsidRPr="002445B0"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rsidRPr="002445B0">
              <w:rPr>
                <w:rFonts w:cs="Arial"/>
              </w:rPr>
              <w:t>3%</w:t>
            </w:r>
          </w:p>
        </w:tc>
      </w:tr>
      <w:tr w:rsidR="00400B4E" w:rsidRPr="00AD30B2" w14:paraId="66CEA3FC" w14:textId="77777777" w:rsidTr="00A139DC">
        <w:tc>
          <w:tcPr>
            <w:cnfStyle w:val="001000000000" w:firstRow="0" w:lastRow="0" w:firstColumn="1" w:lastColumn="0" w:oddVBand="0" w:evenVBand="0" w:oddHBand="0" w:evenHBand="0" w:firstRowFirstColumn="0" w:firstRowLastColumn="0" w:lastRowFirstColumn="0" w:lastRowLastColumn="0"/>
            <w:tcW w:w="4977" w:type="dxa"/>
          </w:tcPr>
          <w:p w14:paraId="21D2B6EC" w14:textId="77777777" w:rsidR="00400B4E" w:rsidRPr="00745CDB" w:rsidRDefault="00400B4E" w:rsidP="00BA1554">
            <w:pPr>
              <w:ind w:left="0"/>
              <w:contextualSpacing/>
              <w:rPr>
                <w:rStyle w:val="Pogrubienie"/>
              </w:rPr>
            </w:pPr>
            <w:r w:rsidRPr="00745CDB">
              <w:rPr>
                <w:rStyle w:val="Pogrubienie"/>
              </w:rPr>
              <w:t>Przedszkola</w:t>
            </w:r>
          </w:p>
        </w:tc>
        <w:tc>
          <w:tcPr>
            <w:tcW w:w="988" w:type="dxa"/>
          </w:tcPr>
          <w:p w14:paraId="2BC02E3D" w14:textId="77777777" w:rsidR="00400B4E" w:rsidRPr="00752E20"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rsidRPr="00752E20">
              <w:rPr>
                <w:rFonts w:cs="Arial"/>
              </w:rPr>
              <w:t>29%</w:t>
            </w:r>
          </w:p>
        </w:tc>
        <w:tc>
          <w:tcPr>
            <w:tcW w:w="1006" w:type="dxa"/>
          </w:tcPr>
          <w:p w14:paraId="06BA9DF9" w14:textId="77777777" w:rsidR="00400B4E" w:rsidRPr="002445B0"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rsidRPr="002445B0">
              <w:rPr>
                <w:rFonts w:cs="Arial"/>
              </w:rPr>
              <w:t>27%</w:t>
            </w:r>
          </w:p>
        </w:tc>
        <w:tc>
          <w:tcPr>
            <w:tcW w:w="962" w:type="dxa"/>
          </w:tcPr>
          <w:p w14:paraId="404B1BB2" w14:textId="77777777" w:rsidR="00400B4E" w:rsidRPr="002445B0"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rsidRPr="002445B0">
              <w:rPr>
                <w:rFonts w:cs="Arial"/>
              </w:rPr>
              <w:t>10%</w:t>
            </w:r>
          </w:p>
        </w:tc>
        <w:tc>
          <w:tcPr>
            <w:tcW w:w="989" w:type="dxa"/>
          </w:tcPr>
          <w:p w14:paraId="1C724505" w14:textId="77777777" w:rsidR="00400B4E" w:rsidRPr="002445B0"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rsidRPr="002445B0">
              <w:rPr>
                <w:rFonts w:cs="Arial"/>
              </w:rPr>
              <w:t>3%</w:t>
            </w:r>
          </w:p>
        </w:tc>
      </w:tr>
      <w:tr w:rsidR="00400B4E" w:rsidRPr="00AD30B2" w14:paraId="5FBB64E7" w14:textId="77777777" w:rsidTr="00A139DC">
        <w:tc>
          <w:tcPr>
            <w:cnfStyle w:val="001000000000" w:firstRow="0" w:lastRow="0" w:firstColumn="1" w:lastColumn="0" w:oddVBand="0" w:evenVBand="0" w:oddHBand="0" w:evenHBand="0" w:firstRowFirstColumn="0" w:firstRowLastColumn="0" w:lastRowFirstColumn="0" w:lastRowLastColumn="0"/>
            <w:tcW w:w="4977" w:type="dxa"/>
          </w:tcPr>
          <w:p w14:paraId="2075EC37" w14:textId="77777777" w:rsidR="00400B4E" w:rsidRPr="00745CDB" w:rsidRDefault="00400B4E" w:rsidP="00BA1554">
            <w:pPr>
              <w:ind w:left="0"/>
              <w:contextualSpacing/>
              <w:rPr>
                <w:rStyle w:val="Pogrubienie"/>
              </w:rPr>
            </w:pPr>
            <w:r w:rsidRPr="00745CDB">
              <w:rPr>
                <w:rStyle w:val="Pogrubienie"/>
              </w:rPr>
              <w:t>Szkoły podstawowe</w:t>
            </w:r>
          </w:p>
        </w:tc>
        <w:tc>
          <w:tcPr>
            <w:tcW w:w="988" w:type="dxa"/>
          </w:tcPr>
          <w:p w14:paraId="66F3C282" w14:textId="77777777" w:rsidR="00400B4E" w:rsidRPr="00752E20"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rsidRPr="00752E20">
              <w:rPr>
                <w:rFonts w:cs="Arial"/>
              </w:rPr>
              <w:t>26%</w:t>
            </w:r>
          </w:p>
        </w:tc>
        <w:tc>
          <w:tcPr>
            <w:tcW w:w="1006" w:type="dxa"/>
          </w:tcPr>
          <w:p w14:paraId="3079EED6" w14:textId="77777777" w:rsidR="00400B4E" w:rsidRPr="002445B0"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rsidRPr="002445B0">
              <w:rPr>
                <w:rFonts w:cs="Arial"/>
              </w:rPr>
              <w:t>15%</w:t>
            </w:r>
          </w:p>
        </w:tc>
        <w:tc>
          <w:tcPr>
            <w:tcW w:w="962" w:type="dxa"/>
          </w:tcPr>
          <w:p w14:paraId="50CC5A03" w14:textId="77777777" w:rsidR="00400B4E" w:rsidRPr="002445B0"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rsidRPr="002445B0">
              <w:rPr>
                <w:rFonts w:cs="Arial"/>
              </w:rPr>
              <w:t>18%</w:t>
            </w:r>
          </w:p>
        </w:tc>
        <w:tc>
          <w:tcPr>
            <w:tcW w:w="989" w:type="dxa"/>
          </w:tcPr>
          <w:p w14:paraId="4AA60FDD" w14:textId="77777777" w:rsidR="00400B4E" w:rsidRPr="002445B0"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rsidRPr="002445B0">
              <w:rPr>
                <w:rFonts w:cs="Arial"/>
              </w:rPr>
              <w:t>0%</w:t>
            </w:r>
          </w:p>
        </w:tc>
      </w:tr>
      <w:tr w:rsidR="00400B4E" w:rsidRPr="00AD30B2" w14:paraId="0C1031A1" w14:textId="77777777" w:rsidTr="00A139DC">
        <w:tc>
          <w:tcPr>
            <w:cnfStyle w:val="001000000000" w:firstRow="0" w:lastRow="0" w:firstColumn="1" w:lastColumn="0" w:oddVBand="0" w:evenVBand="0" w:oddHBand="0" w:evenHBand="0" w:firstRowFirstColumn="0" w:firstRowLastColumn="0" w:lastRowFirstColumn="0" w:lastRowLastColumn="0"/>
            <w:tcW w:w="4977" w:type="dxa"/>
          </w:tcPr>
          <w:p w14:paraId="331AE708" w14:textId="77777777" w:rsidR="00400B4E" w:rsidRPr="00745CDB" w:rsidRDefault="00400B4E" w:rsidP="00BA1554">
            <w:pPr>
              <w:ind w:left="0"/>
              <w:contextualSpacing/>
              <w:rPr>
                <w:rStyle w:val="Pogrubienie"/>
              </w:rPr>
            </w:pPr>
            <w:r w:rsidRPr="00745CDB">
              <w:rPr>
                <w:rStyle w:val="Pogrubienie"/>
              </w:rPr>
              <w:t>Szkoły ogólnokształcące</w:t>
            </w:r>
          </w:p>
        </w:tc>
        <w:tc>
          <w:tcPr>
            <w:tcW w:w="988" w:type="dxa"/>
          </w:tcPr>
          <w:p w14:paraId="2A1DF413" w14:textId="77777777" w:rsidR="00400B4E" w:rsidRPr="00752E20"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rsidRPr="00752E20">
              <w:rPr>
                <w:rFonts w:cs="Arial"/>
              </w:rPr>
              <w:t>25%</w:t>
            </w:r>
          </w:p>
        </w:tc>
        <w:tc>
          <w:tcPr>
            <w:tcW w:w="1006" w:type="dxa"/>
          </w:tcPr>
          <w:p w14:paraId="5A295265" w14:textId="77777777" w:rsidR="00400B4E" w:rsidRPr="002445B0"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rsidRPr="002445B0">
              <w:rPr>
                <w:rFonts w:cs="Arial"/>
              </w:rPr>
              <w:t>17%</w:t>
            </w:r>
          </w:p>
        </w:tc>
        <w:tc>
          <w:tcPr>
            <w:tcW w:w="962" w:type="dxa"/>
          </w:tcPr>
          <w:p w14:paraId="7E4AD031" w14:textId="77777777" w:rsidR="00400B4E" w:rsidRPr="002445B0"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rsidRPr="002445B0">
              <w:rPr>
                <w:rFonts w:cs="Arial"/>
              </w:rPr>
              <w:t>8%</w:t>
            </w:r>
          </w:p>
        </w:tc>
        <w:tc>
          <w:tcPr>
            <w:tcW w:w="989" w:type="dxa"/>
          </w:tcPr>
          <w:p w14:paraId="1721F066" w14:textId="77777777" w:rsidR="00400B4E" w:rsidRPr="002445B0"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rsidRPr="002445B0">
              <w:rPr>
                <w:rFonts w:cs="Arial"/>
              </w:rPr>
              <w:t>4%</w:t>
            </w:r>
          </w:p>
        </w:tc>
      </w:tr>
      <w:tr w:rsidR="00400B4E" w:rsidRPr="00AD30B2" w14:paraId="31C0EC08" w14:textId="77777777" w:rsidTr="00A139DC">
        <w:tc>
          <w:tcPr>
            <w:cnfStyle w:val="001000000000" w:firstRow="0" w:lastRow="0" w:firstColumn="1" w:lastColumn="0" w:oddVBand="0" w:evenVBand="0" w:oddHBand="0" w:evenHBand="0" w:firstRowFirstColumn="0" w:firstRowLastColumn="0" w:lastRowFirstColumn="0" w:lastRowLastColumn="0"/>
            <w:tcW w:w="4977" w:type="dxa"/>
          </w:tcPr>
          <w:p w14:paraId="644CA648" w14:textId="77777777" w:rsidR="00400B4E" w:rsidRPr="00745CDB" w:rsidRDefault="00400B4E" w:rsidP="00BA1554">
            <w:pPr>
              <w:ind w:left="0"/>
              <w:contextualSpacing/>
              <w:rPr>
                <w:rStyle w:val="Pogrubienie"/>
              </w:rPr>
            </w:pPr>
            <w:r w:rsidRPr="00745CDB">
              <w:rPr>
                <w:rStyle w:val="Pogrubienie"/>
              </w:rPr>
              <w:lastRenderedPageBreak/>
              <w:t>Technika</w:t>
            </w:r>
          </w:p>
        </w:tc>
        <w:tc>
          <w:tcPr>
            <w:tcW w:w="988" w:type="dxa"/>
          </w:tcPr>
          <w:p w14:paraId="6B940C38" w14:textId="77777777" w:rsidR="00400B4E" w:rsidRPr="00752E20"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rsidRPr="00752E20">
              <w:rPr>
                <w:rFonts w:cs="Arial"/>
              </w:rPr>
              <w:t>23%</w:t>
            </w:r>
          </w:p>
        </w:tc>
        <w:tc>
          <w:tcPr>
            <w:tcW w:w="1006" w:type="dxa"/>
          </w:tcPr>
          <w:p w14:paraId="29A5A80C" w14:textId="77777777" w:rsidR="00400B4E" w:rsidRPr="002445B0"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rsidRPr="002445B0">
              <w:rPr>
                <w:rFonts w:cs="Arial"/>
              </w:rPr>
              <w:t>19%</w:t>
            </w:r>
          </w:p>
        </w:tc>
        <w:tc>
          <w:tcPr>
            <w:tcW w:w="962" w:type="dxa"/>
          </w:tcPr>
          <w:p w14:paraId="532C96D2" w14:textId="77777777" w:rsidR="00400B4E" w:rsidRPr="002445B0"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rsidRPr="002445B0">
              <w:rPr>
                <w:rFonts w:cs="Arial"/>
              </w:rPr>
              <w:t>9%</w:t>
            </w:r>
          </w:p>
        </w:tc>
        <w:tc>
          <w:tcPr>
            <w:tcW w:w="989" w:type="dxa"/>
          </w:tcPr>
          <w:p w14:paraId="70A2D48C" w14:textId="77777777" w:rsidR="00400B4E" w:rsidRPr="002445B0"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rsidRPr="002445B0">
              <w:rPr>
                <w:rFonts w:cs="Arial"/>
              </w:rPr>
              <w:t>2%</w:t>
            </w:r>
          </w:p>
        </w:tc>
      </w:tr>
      <w:tr w:rsidR="00400B4E" w:rsidRPr="00AD30B2" w14:paraId="44088C7C" w14:textId="77777777" w:rsidTr="00A139DC">
        <w:tc>
          <w:tcPr>
            <w:cnfStyle w:val="001000000000" w:firstRow="0" w:lastRow="0" w:firstColumn="1" w:lastColumn="0" w:oddVBand="0" w:evenVBand="0" w:oddHBand="0" w:evenHBand="0" w:firstRowFirstColumn="0" w:firstRowLastColumn="0" w:lastRowFirstColumn="0" w:lastRowLastColumn="0"/>
            <w:tcW w:w="4977" w:type="dxa"/>
          </w:tcPr>
          <w:p w14:paraId="512BBB68" w14:textId="77777777" w:rsidR="00400B4E" w:rsidRPr="00745CDB" w:rsidRDefault="00400B4E" w:rsidP="00BA1554">
            <w:pPr>
              <w:ind w:left="0"/>
              <w:contextualSpacing/>
              <w:rPr>
                <w:rStyle w:val="Pogrubienie"/>
              </w:rPr>
            </w:pPr>
            <w:r w:rsidRPr="00745CDB">
              <w:rPr>
                <w:rStyle w:val="Pogrubienie"/>
              </w:rPr>
              <w:t>Szkoły branżowe i zawodowe</w:t>
            </w:r>
          </w:p>
        </w:tc>
        <w:tc>
          <w:tcPr>
            <w:tcW w:w="988" w:type="dxa"/>
          </w:tcPr>
          <w:p w14:paraId="15C17015" w14:textId="77777777" w:rsidR="00400B4E" w:rsidRPr="00752E20"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rsidRPr="00752E20">
              <w:rPr>
                <w:rFonts w:cs="Arial"/>
              </w:rPr>
              <w:t>28%</w:t>
            </w:r>
          </w:p>
        </w:tc>
        <w:tc>
          <w:tcPr>
            <w:tcW w:w="1006" w:type="dxa"/>
          </w:tcPr>
          <w:p w14:paraId="38F58D4D" w14:textId="77777777" w:rsidR="00400B4E" w:rsidRPr="002445B0"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rsidRPr="002445B0">
              <w:rPr>
                <w:rFonts w:cs="Arial"/>
              </w:rPr>
              <w:t>18%</w:t>
            </w:r>
          </w:p>
        </w:tc>
        <w:tc>
          <w:tcPr>
            <w:tcW w:w="962" w:type="dxa"/>
          </w:tcPr>
          <w:p w14:paraId="3F3A9B3D" w14:textId="77777777" w:rsidR="00400B4E" w:rsidRPr="002445B0"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rsidRPr="002445B0">
              <w:rPr>
                <w:rFonts w:cs="Arial"/>
              </w:rPr>
              <w:t>11%</w:t>
            </w:r>
          </w:p>
        </w:tc>
        <w:tc>
          <w:tcPr>
            <w:tcW w:w="989" w:type="dxa"/>
          </w:tcPr>
          <w:p w14:paraId="46624BF3" w14:textId="77777777" w:rsidR="00400B4E" w:rsidRPr="002445B0"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rsidRPr="002445B0">
              <w:rPr>
                <w:rFonts w:cs="Arial"/>
              </w:rPr>
              <w:t>2%</w:t>
            </w:r>
          </w:p>
        </w:tc>
      </w:tr>
      <w:tr w:rsidR="00400B4E" w:rsidRPr="00AD30B2" w14:paraId="5AE8097B" w14:textId="77777777" w:rsidTr="00A139DC">
        <w:tc>
          <w:tcPr>
            <w:cnfStyle w:val="001000000000" w:firstRow="0" w:lastRow="0" w:firstColumn="1" w:lastColumn="0" w:oddVBand="0" w:evenVBand="0" w:oddHBand="0" w:evenHBand="0" w:firstRowFirstColumn="0" w:firstRowLastColumn="0" w:lastRowFirstColumn="0" w:lastRowLastColumn="0"/>
            <w:tcW w:w="4977" w:type="dxa"/>
          </w:tcPr>
          <w:p w14:paraId="17023768" w14:textId="77777777" w:rsidR="00400B4E" w:rsidRPr="00745CDB" w:rsidRDefault="00400B4E" w:rsidP="00BA1554">
            <w:pPr>
              <w:ind w:left="0"/>
              <w:contextualSpacing/>
              <w:rPr>
                <w:rStyle w:val="Pogrubienie"/>
              </w:rPr>
            </w:pPr>
            <w:r w:rsidRPr="00745CDB">
              <w:rPr>
                <w:rStyle w:val="Pogrubienie"/>
              </w:rPr>
              <w:t>Szkoły specjalne</w:t>
            </w:r>
          </w:p>
        </w:tc>
        <w:tc>
          <w:tcPr>
            <w:tcW w:w="988" w:type="dxa"/>
          </w:tcPr>
          <w:p w14:paraId="4B1459C3" w14:textId="77777777" w:rsidR="00400B4E" w:rsidRPr="00752E20"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rsidRPr="00752E20">
              <w:rPr>
                <w:rFonts w:cs="Arial"/>
              </w:rPr>
              <w:t>42%</w:t>
            </w:r>
          </w:p>
        </w:tc>
        <w:tc>
          <w:tcPr>
            <w:tcW w:w="1006" w:type="dxa"/>
          </w:tcPr>
          <w:p w14:paraId="66C46488" w14:textId="77777777" w:rsidR="00400B4E" w:rsidRPr="002445B0"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rsidRPr="002445B0">
              <w:rPr>
                <w:rFonts w:cs="Arial"/>
              </w:rPr>
              <w:t>13%</w:t>
            </w:r>
          </w:p>
        </w:tc>
        <w:tc>
          <w:tcPr>
            <w:tcW w:w="962" w:type="dxa"/>
          </w:tcPr>
          <w:p w14:paraId="17519551" w14:textId="77777777" w:rsidR="00400B4E" w:rsidRPr="002445B0"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rsidRPr="002445B0">
              <w:rPr>
                <w:rFonts w:cs="Arial"/>
              </w:rPr>
              <w:t>17%</w:t>
            </w:r>
          </w:p>
        </w:tc>
        <w:tc>
          <w:tcPr>
            <w:tcW w:w="989" w:type="dxa"/>
          </w:tcPr>
          <w:p w14:paraId="2FDA0B16" w14:textId="77777777" w:rsidR="00400B4E" w:rsidRPr="002445B0"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rsidRPr="002445B0">
              <w:rPr>
                <w:rFonts w:cs="Arial"/>
              </w:rPr>
              <w:t>4%</w:t>
            </w:r>
          </w:p>
        </w:tc>
      </w:tr>
      <w:tr w:rsidR="00400B4E" w:rsidRPr="00AD30B2" w14:paraId="0FF130F8" w14:textId="77777777" w:rsidTr="00A139DC">
        <w:tc>
          <w:tcPr>
            <w:cnfStyle w:val="001000000000" w:firstRow="0" w:lastRow="0" w:firstColumn="1" w:lastColumn="0" w:oddVBand="0" w:evenVBand="0" w:oddHBand="0" w:evenHBand="0" w:firstRowFirstColumn="0" w:firstRowLastColumn="0" w:lastRowFirstColumn="0" w:lastRowLastColumn="0"/>
            <w:tcW w:w="4977" w:type="dxa"/>
          </w:tcPr>
          <w:p w14:paraId="12C0A042" w14:textId="77777777" w:rsidR="00400B4E" w:rsidRPr="00745CDB" w:rsidRDefault="00400B4E" w:rsidP="00BA1554">
            <w:pPr>
              <w:ind w:left="0"/>
              <w:contextualSpacing/>
              <w:rPr>
                <w:rStyle w:val="Pogrubienie"/>
                <w:lang w:val="pl-PL"/>
              </w:rPr>
            </w:pPr>
            <w:r w:rsidRPr="00745CDB">
              <w:rPr>
                <w:rStyle w:val="Pogrubienie"/>
                <w:lang w:val="pl-PL"/>
              </w:rPr>
              <w:t>Szkoły policealne, Lokalne Ośrodki Wiedzy i Edukacji</w:t>
            </w:r>
          </w:p>
        </w:tc>
        <w:tc>
          <w:tcPr>
            <w:tcW w:w="988" w:type="dxa"/>
          </w:tcPr>
          <w:p w14:paraId="02D0BF06" w14:textId="77777777" w:rsidR="00400B4E" w:rsidRPr="00752E20"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rsidRPr="00752E20">
              <w:rPr>
                <w:rFonts w:cs="Arial"/>
              </w:rPr>
              <w:t>30%</w:t>
            </w:r>
          </w:p>
        </w:tc>
        <w:tc>
          <w:tcPr>
            <w:tcW w:w="1006" w:type="dxa"/>
          </w:tcPr>
          <w:p w14:paraId="1D3D01C1" w14:textId="77777777" w:rsidR="00400B4E" w:rsidRPr="002445B0"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rsidRPr="002445B0">
              <w:rPr>
                <w:rFonts w:cs="Arial"/>
              </w:rPr>
              <w:t>12%</w:t>
            </w:r>
          </w:p>
        </w:tc>
        <w:tc>
          <w:tcPr>
            <w:tcW w:w="962" w:type="dxa"/>
          </w:tcPr>
          <w:p w14:paraId="487901E9" w14:textId="77777777" w:rsidR="00400B4E" w:rsidRPr="002445B0"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rsidRPr="002445B0">
              <w:rPr>
                <w:rFonts w:cs="Arial"/>
              </w:rPr>
              <w:t>13%</w:t>
            </w:r>
          </w:p>
        </w:tc>
        <w:tc>
          <w:tcPr>
            <w:tcW w:w="989" w:type="dxa"/>
          </w:tcPr>
          <w:p w14:paraId="654B2C59" w14:textId="77777777" w:rsidR="00400B4E" w:rsidRPr="002445B0"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rsidRPr="002445B0">
              <w:rPr>
                <w:rFonts w:cs="Arial"/>
              </w:rPr>
              <w:t>3%</w:t>
            </w:r>
          </w:p>
        </w:tc>
      </w:tr>
      <w:tr w:rsidR="00400B4E" w:rsidRPr="00AD30B2" w14:paraId="7650226D" w14:textId="77777777" w:rsidTr="00A139DC">
        <w:tc>
          <w:tcPr>
            <w:cnfStyle w:val="001000000000" w:firstRow="0" w:lastRow="0" w:firstColumn="1" w:lastColumn="0" w:oddVBand="0" w:evenVBand="0" w:oddHBand="0" w:evenHBand="0" w:firstRowFirstColumn="0" w:firstRowLastColumn="0" w:lastRowFirstColumn="0" w:lastRowLastColumn="0"/>
            <w:tcW w:w="4977" w:type="dxa"/>
          </w:tcPr>
          <w:p w14:paraId="32F05D61" w14:textId="77777777" w:rsidR="00400B4E" w:rsidRPr="00745CDB" w:rsidRDefault="00400B4E" w:rsidP="00BA1554">
            <w:pPr>
              <w:ind w:left="0"/>
              <w:contextualSpacing/>
              <w:rPr>
                <w:rStyle w:val="Pogrubienie"/>
              </w:rPr>
            </w:pPr>
            <w:r w:rsidRPr="00745CDB">
              <w:rPr>
                <w:rStyle w:val="Pogrubienie"/>
              </w:rPr>
              <w:t>Podstawowa opieka zdrowotna</w:t>
            </w:r>
          </w:p>
        </w:tc>
        <w:tc>
          <w:tcPr>
            <w:tcW w:w="988" w:type="dxa"/>
          </w:tcPr>
          <w:p w14:paraId="4A3B306C" w14:textId="77777777" w:rsidR="00400B4E" w:rsidRPr="002445B0"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rsidRPr="002445B0">
              <w:rPr>
                <w:rFonts w:cs="Arial"/>
              </w:rPr>
              <w:t>17%</w:t>
            </w:r>
          </w:p>
        </w:tc>
        <w:tc>
          <w:tcPr>
            <w:tcW w:w="1006" w:type="dxa"/>
          </w:tcPr>
          <w:p w14:paraId="5BBD856F" w14:textId="77777777" w:rsidR="00400B4E" w:rsidRPr="002445B0"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rsidRPr="002445B0">
              <w:rPr>
                <w:rFonts w:cs="Arial"/>
              </w:rPr>
              <w:t>15%</w:t>
            </w:r>
          </w:p>
        </w:tc>
        <w:tc>
          <w:tcPr>
            <w:tcW w:w="962" w:type="dxa"/>
          </w:tcPr>
          <w:p w14:paraId="10B4EA3D" w14:textId="77777777" w:rsidR="00400B4E" w:rsidRPr="00752E20"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rsidRPr="00752E20">
              <w:rPr>
                <w:rFonts w:cs="Arial"/>
              </w:rPr>
              <w:t>20%</w:t>
            </w:r>
          </w:p>
        </w:tc>
        <w:tc>
          <w:tcPr>
            <w:tcW w:w="989" w:type="dxa"/>
          </w:tcPr>
          <w:p w14:paraId="078AE3C1" w14:textId="77777777" w:rsidR="00400B4E" w:rsidRPr="002445B0"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rsidRPr="002445B0">
              <w:rPr>
                <w:rFonts w:cs="Arial"/>
              </w:rPr>
              <w:t>10%</w:t>
            </w:r>
          </w:p>
        </w:tc>
      </w:tr>
      <w:tr w:rsidR="00400B4E" w:rsidRPr="00AD30B2" w14:paraId="56939557" w14:textId="77777777" w:rsidTr="00A139DC">
        <w:tc>
          <w:tcPr>
            <w:cnfStyle w:val="001000000000" w:firstRow="0" w:lastRow="0" w:firstColumn="1" w:lastColumn="0" w:oddVBand="0" w:evenVBand="0" w:oddHBand="0" w:evenHBand="0" w:firstRowFirstColumn="0" w:firstRowLastColumn="0" w:lastRowFirstColumn="0" w:lastRowLastColumn="0"/>
            <w:tcW w:w="4977" w:type="dxa"/>
          </w:tcPr>
          <w:p w14:paraId="7B459C17" w14:textId="77777777" w:rsidR="00400B4E" w:rsidRPr="00745CDB" w:rsidRDefault="00400B4E" w:rsidP="00BA1554">
            <w:pPr>
              <w:ind w:left="0"/>
              <w:contextualSpacing/>
              <w:rPr>
                <w:rStyle w:val="Pogrubienie"/>
                <w:lang w:val="pl-PL"/>
              </w:rPr>
            </w:pPr>
            <w:r w:rsidRPr="00745CDB">
              <w:rPr>
                <w:rStyle w:val="Pogrubienie"/>
                <w:lang w:val="pl-PL"/>
              </w:rPr>
              <w:t>Specjalistyczna opieka zdrowotna (w tym szpitale)</w:t>
            </w:r>
          </w:p>
        </w:tc>
        <w:tc>
          <w:tcPr>
            <w:tcW w:w="988" w:type="dxa"/>
          </w:tcPr>
          <w:p w14:paraId="38821F28" w14:textId="77777777" w:rsidR="00400B4E" w:rsidRPr="00752E20"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rsidRPr="00752E20">
              <w:rPr>
                <w:rFonts w:cs="Arial"/>
              </w:rPr>
              <w:t>25%</w:t>
            </w:r>
          </w:p>
        </w:tc>
        <w:tc>
          <w:tcPr>
            <w:tcW w:w="1006" w:type="dxa"/>
          </w:tcPr>
          <w:p w14:paraId="72F224A9" w14:textId="77777777" w:rsidR="00400B4E" w:rsidRPr="002445B0"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rsidRPr="002445B0">
              <w:rPr>
                <w:rFonts w:cs="Arial"/>
              </w:rPr>
              <w:t>21%</w:t>
            </w:r>
          </w:p>
        </w:tc>
        <w:tc>
          <w:tcPr>
            <w:tcW w:w="962" w:type="dxa"/>
          </w:tcPr>
          <w:p w14:paraId="4E754D26" w14:textId="77777777" w:rsidR="00400B4E" w:rsidRPr="002445B0"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rsidRPr="002445B0">
              <w:rPr>
                <w:rFonts w:cs="Arial"/>
              </w:rPr>
              <w:t>9%</w:t>
            </w:r>
          </w:p>
        </w:tc>
        <w:tc>
          <w:tcPr>
            <w:tcW w:w="989" w:type="dxa"/>
          </w:tcPr>
          <w:p w14:paraId="051D780F" w14:textId="77777777" w:rsidR="00400B4E" w:rsidRPr="002445B0"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rsidRPr="002445B0">
              <w:rPr>
                <w:rFonts w:cs="Arial"/>
              </w:rPr>
              <w:t>6%</w:t>
            </w:r>
          </w:p>
        </w:tc>
      </w:tr>
      <w:tr w:rsidR="00400B4E" w:rsidRPr="00AD30B2" w14:paraId="5E817EDC" w14:textId="77777777" w:rsidTr="00A139DC">
        <w:tc>
          <w:tcPr>
            <w:cnfStyle w:val="001000000000" w:firstRow="0" w:lastRow="0" w:firstColumn="1" w:lastColumn="0" w:oddVBand="0" w:evenVBand="0" w:oddHBand="0" w:evenHBand="0" w:firstRowFirstColumn="0" w:firstRowLastColumn="0" w:lastRowFirstColumn="0" w:lastRowLastColumn="0"/>
            <w:tcW w:w="4977" w:type="dxa"/>
          </w:tcPr>
          <w:p w14:paraId="76D505CA" w14:textId="77777777" w:rsidR="00400B4E" w:rsidRPr="00745CDB" w:rsidRDefault="00400B4E" w:rsidP="00BA1554">
            <w:pPr>
              <w:ind w:left="0"/>
              <w:contextualSpacing/>
              <w:rPr>
                <w:rStyle w:val="Pogrubienie"/>
                <w:lang w:val="pl-PL"/>
              </w:rPr>
            </w:pPr>
            <w:r w:rsidRPr="00745CDB">
              <w:rPr>
                <w:rStyle w:val="Pogrubienie"/>
                <w:lang w:val="pl-PL"/>
              </w:rPr>
              <w:t>Dzienne domy pobytu dla osób starszych</w:t>
            </w:r>
          </w:p>
        </w:tc>
        <w:tc>
          <w:tcPr>
            <w:tcW w:w="988" w:type="dxa"/>
          </w:tcPr>
          <w:p w14:paraId="654C18C2" w14:textId="77777777" w:rsidR="00400B4E" w:rsidRPr="00752E20"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rsidRPr="00752E20">
              <w:rPr>
                <w:rFonts w:cs="Arial"/>
              </w:rPr>
              <w:t>27%</w:t>
            </w:r>
          </w:p>
        </w:tc>
        <w:tc>
          <w:tcPr>
            <w:tcW w:w="1006" w:type="dxa"/>
          </w:tcPr>
          <w:p w14:paraId="335EA66A" w14:textId="77777777" w:rsidR="00400B4E" w:rsidRPr="002445B0"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rsidRPr="002445B0">
              <w:rPr>
                <w:rFonts w:cs="Arial"/>
              </w:rPr>
              <w:t>2%</w:t>
            </w:r>
          </w:p>
        </w:tc>
        <w:tc>
          <w:tcPr>
            <w:tcW w:w="962" w:type="dxa"/>
          </w:tcPr>
          <w:p w14:paraId="5123057A" w14:textId="77777777" w:rsidR="00400B4E" w:rsidRPr="002445B0"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rsidRPr="002445B0">
              <w:rPr>
                <w:rFonts w:cs="Arial"/>
              </w:rPr>
              <w:t>0%</w:t>
            </w:r>
          </w:p>
        </w:tc>
        <w:tc>
          <w:tcPr>
            <w:tcW w:w="989" w:type="dxa"/>
          </w:tcPr>
          <w:p w14:paraId="4795F269" w14:textId="77777777" w:rsidR="00400B4E" w:rsidRPr="002445B0"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rsidRPr="002445B0">
              <w:rPr>
                <w:rFonts w:cs="Arial"/>
              </w:rPr>
              <w:t>1%</w:t>
            </w:r>
          </w:p>
        </w:tc>
      </w:tr>
      <w:tr w:rsidR="00400B4E" w:rsidRPr="00AD30B2" w14:paraId="362A058A" w14:textId="77777777" w:rsidTr="00A139DC">
        <w:tc>
          <w:tcPr>
            <w:cnfStyle w:val="001000000000" w:firstRow="0" w:lastRow="0" w:firstColumn="1" w:lastColumn="0" w:oddVBand="0" w:evenVBand="0" w:oddHBand="0" w:evenHBand="0" w:firstRowFirstColumn="0" w:firstRowLastColumn="0" w:lastRowFirstColumn="0" w:lastRowLastColumn="0"/>
            <w:tcW w:w="4977" w:type="dxa"/>
          </w:tcPr>
          <w:p w14:paraId="28EC9A29" w14:textId="77777777" w:rsidR="00400B4E" w:rsidRPr="00745CDB" w:rsidRDefault="00400B4E" w:rsidP="00BA1554">
            <w:pPr>
              <w:ind w:left="0"/>
              <w:contextualSpacing/>
              <w:rPr>
                <w:rStyle w:val="Pogrubienie"/>
                <w:lang w:val="pl-PL"/>
              </w:rPr>
            </w:pPr>
            <w:r w:rsidRPr="00745CDB">
              <w:rPr>
                <w:rStyle w:val="Pogrubienie"/>
                <w:lang w:val="pl-PL"/>
              </w:rPr>
              <w:t>Całodobowe domy opieki dla osób starszych i niepełnosprawnych</w:t>
            </w:r>
          </w:p>
        </w:tc>
        <w:tc>
          <w:tcPr>
            <w:tcW w:w="988" w:type="dxa"/>
          </w:tcPr>
          <w:p w14:paraId="17E2E160" w14:textId="77777777" w:rsidR="00400B4E" w:rsidRPr="00752E20"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rsidRPr="00752E20">
              <w:rPr>
                <w:rFonts w:cs="Arial"/>
              </w:rPr>
              <w:t>23%</w:t>
            </w:r>
          </w:p>
        </w:tc>
        <w:tc>
          <w:tcPr>
            <w:tcW w:w="1006" w:type="dxa"/>
          </w:tcPr>
          <w:p w14:paraId="75ECE87A" w14:textId="77777777" w:rsidR="00400B4E" w:rsidRPr="002445B0"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rsidRPr="002445B0">
              <w:rPr>
                <w:rFonts w:cs="Arial"/>
              </w:rPr>
              <w:t>9%</w:t>
            </w:r>
          </w:p>
        </w:tc>
        <w:tc>
          <w:tcPr>
            <w:tcW w:w="962" w:type="dxa"/>
          </w:tcPr>
          <w:p w14:paraId="1C9F90E6" w14:textId="77777777" w:rsidR="00400B4E" w:rsidRPr="002445B0"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rsidRPr="002445B0">
              <w:rPr>
                <w:rFonts w:cs="Arial"/>
              </w:rPr>
              <w:t>0%</w:t>
            </w:r>
          </w:p>
        </w:tc>
        <w:tc>
          <w:tcPr>
            <w:tcW w:w="989" w:type="dxa"/>
          </w:tcPr>
          <w:p w14:paraId="308695B5" w14:textId="77777777" w:rsidR="00400B4E" w:rsidRPr="002445B0"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rsidRPr="002445B0">
              <w:rPr>
                <w:rFonts w:cs="Arial"/>
              </w:rPr>
              <w:t>0%</w:t>
            </w:r>
          </w:p>
        </w:tc>
      </w:tr>
      <w:tr w:rsidR="00400B4E" w:rsidRPr="00AD30B2" w14:paraId="02BC35B1" w14:textId="77777777" w:rsidTr="00A139DC">
        <w:tc>
          <w:tcPr>
            <w:cnfStyle w:val="001000000000" w:firstRow="0" w:lastRow="0" w:firstColumn="1" w:lastColumn="0" w:oddVBand="0" w:evenVBand="0" w:oddHBand="0" w:evenHBand="0" w:firstRowFirstColumn="0" w:firstRowLastColumn="0" w:lastRowFirstColumn="0" w:lastRowLastColumn="0"/>
            <w:tcW w:w="4977" w:type="dxa"/>
          </w:tcPr>
          <w:p w14:paraId="05234F3C" w14:textId="77777777" w:rsidR="00400B4E" w:rsidRPr="00745CDB" w:rsidRDefault="00400B4E" w:rsidP="00BA1554">
            <w:pPr>
              <w:ind w:left="0"/>
              <w:contextualSpacing/>
              <w:rPr>
                <w:rStyle w:val="Pogrubienie"/>
                <w:lang w:val="pl-PL"/>
              </w:rPr>
            </w:pPr>
            <w:r w:rsidRPr="00745CDB">
              <w:rPr>
                <w:rStyle w:val="Pogrubienie"/>
                <w:lang w:val="pl-PL"/>
              </w:rPr>
              <w:t>Placówki opiekuńcze dla dzieci i młodzieży</w:t>
            </w:r>
          </w:p>
        </w:tc>
        <w:tc>
          <w:tcPr>
            <w:tcW w:w="988" w:type="dxa"/>
          </w:tcPr>
          <w:p w14:paraId="36A36AF1" w14:textId="77777777" w:rsidR="00400B4E" w:rsidRPr="00752E20"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rsidRPr="00752E20">
              <w:rPr>
                <w:rFonts w:cs="Arial"/>
              </w:rPr>
              <w:t>25%</w:t>
            </w:r>
          </w:p>
        </w:tc>
        <w:tc>
          <w:tcPr>
            <w:tcW w:w="1006" w:type="dxa"/>
          </w:tcPr>
          <w:p w14:paraId="364A7798" w14:textId="77777777" w:rsidR="00400B4E" w:rsidRPr="002445B0"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rsidRPr="002445B0">
              <w:rPr>
                <w:rFonts w:cs="Arial"/>
              </w:rPr>
              <w:t>0%</w:t>
            </w:r>
          </w:p>
        </w:tc>
        <w:tc>
          <w:tcPr>
            <w:tcW w:w="962" w:type="dxa"/>
          </w:tcPr>
          <w:p w14:paraId="61DAC61A" w14:textId="77777777" w:rsidR="00400B4E" w:rsidRPr="002445B0"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rsidRPr="002445B0">
              <w:rPr>
                <w:rFonts w:cs="Arial"/>
              </w:rPr>
              <w:t>2%</w:t>
            </w:r>
          </w:p>
        </w:tc>
        <w:tc>
          <w:tcPr>
            <w:tcW w:w="989" w:type="dxa"/>
          </w:tcPr>
          <w:p w14:paraId="20EEC304" w14:textId="77777777" w:rsidR="00400B4E" w:rsidRPr="002445B0"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rsidRPr="002445B0">
              <w:rPr>
                <w:rFonts w:cs="Arial"/>
              </w:rPr>
              <w:t>0%</w:t>
            </w:r>
          </w:p>
        </w:tc>
      </w:tr>
      <w:tr w:rsidR="00400B4E" w:rsidRPr="00AD30B2" w14:paraId="698CDF63" w14:textId="77777777" w:rsidTr="00A139DC">
        <w:trPr>
          <w:trHeight w:val="314"/>
        </w:trPr>
        <w:tc>
          <w:tcPr>
            <w:cnfStyle w:val="001000000000" w:firstRow="0" w:lastRow="0" w:firstColumn="1" w:lastColumn="0" w:oddVBand="0" w:evenVBand="0" w:oddHBand="0" w:evenHBand="0" w:firstRowFirstColumn="0" w:firstRowLastColumn="0" w:lastRowFirstColumn="0" w:lastRowLastColumn="0"/>
            <w:tcW w:w="4977" w:type="dxa"/>
          </w:tcPr>
          <w:p w14:paraId="0964747C" w14:textId="77777777" w:rsidR="00400B4E" w:rsidRPr="00745CDB" w:rsidRDefault="00400B4E" w:rsidP="00BA1554">
            <w:pPr>
              <w:ind w:left="0"/>
              <w:contextualSpacing/>
              <w:rPr>
                <w:rStyle w:val="Pogrubienie"/>
                <w:lang w:val="pl-PL"/>
              </w:rPr>
            </w:pPr>
            <w:r w:rsidRPr="00745CDB">
              <w:rPr>
                <w:rStyle w:val="Pogrubienie"/>
                <w:lang w:val="pl-PL"/>
              </w:rPr>
              <w:t>Placówki oferujące usługi edukacyjne pozaszkolne (kursy, szkolenia, koła zainteresowań)</w:t>
            </w:r>
          </w:p>
        </w:tc>
        <w:tc>
          <w:tcPr>
            <w:tcW w:w="988" w:type="dxa"/>
          </w:tcPr>
          <w:p w14:paraId="6DD580D4" w14:textId="77777777" w:rsidR="00400B4E" w:rsidRPr="00752E20"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rFonts w:cs="Arial"/>
              </w:rPr>
            </w:pPr>
            <w:r w:rsidRPr="00752E20">
              <w:rPr>
                <w:rFonts w:cs="Arial"/>
              </w:rPr>
              <w:t>25%</w:t>
            </w:r>
          </w:p>
        </w:tc>
        <w:tc>
          <w:tcPr>
            <w:tcW w:w="1006" w:type="dxa"/>
          </w:tcPr>
          <w:p w14:paraId="32BC364D" w14:textId="77777777" w:rsidR="00400B4E" w:rsidRPr="002445B0"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rFonts w:cs="Arial"/>
              </w:rPr>
            </w:pPr>
            <w:r w:rsidRPr="002445B0">
              <w:rPr>
                <w:rFonts w:cs="Arial"/>
              </w:rPr>
              <w:t>17%</w:t>
            </w:r>
          </w:p>
        </w:tc>
        <w:tc>
          <w:tcPr>
            <w:tcW w:w="962" w:type="dxa"/>
          </w:tcPr>
          <w:p w14:paraId="797BE4E3" w14:textId="77777777" w:rsidR="00400B4E" w:rsidRPr="002445B0"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rFonts w:cs="Arial"/>
              </w:rPr>
            </w:pPr>
            <w:r w:rsidRPr="002445B0">
              <w:rPr>
                <w:rFonts w:cs="Arial"/>
              </w:rPr>
              <w:t>10%</w:t>
            </w:r>
          </w:p>
        </w:tc>
        <w:tc>
          <w:tcPr>
            <w:tcW w:w="989" w:type="dxa"/>
          </w:tcPr>
          <w:p w14:paraId="2108CC28" w14:textId="77777777" w:rsidR="00400B4E" w:rsidRPr="002445B0"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rsidRPr="002445B0">
              <w:rPr>
                <w:rFonts w:cs="Arial"/>
              </w:rPr>
              <w:t>3%</w:t>
            </w:r>
          </w:p>
        </w:tc>
      </w:tr>
      <w:tr w:rsidR="00400B4E" w:rsidRPr="00AD30B2" w14:paraId="0BCCEA47" w14:textId="77777777" w:rsidTr="00A139DC">
        <w:trPr>
          <w:trHeight w:val="314"/>
        </w:trPr>
        <w:tc>
          <w:tcPr>
            <w:cnfStyle w:val="001000000000" w:firstRow="0" w:lastRow="0" w:firstColumn="1" w:lastColumn="0" w:oddVBand="0" w:evenVBand="0" w:oddHBand="0" w:evenHBand="0" w:firstRowFirstColumn="0" w:firstRowLastColumn="0" w:lastRowFirstColumn="0" w:lastRowLastColumn="0"/>
            <w:tcW w:w="4977" w:type="dxa"/>
          </w:tcPr>
          <w:p w14:paraId="5C62D665" w14:textId="77777777" w:rsidR="00400B4E" w:rsidRPr="00745CDB" w:rsidRDefault="00400B4E" w:rsidP="00BA1554">
            <w:pPr>
              <w:ind w:left="0"/>
              <w:contextualSpacing/>
              <w:rPr>
                <w:rStyle w:val="Pogrubienie"/>
                <w:lang w:val="pl-PL"/>
              </w:rPr>
            </w:pPr>
            <w:r w:rsidRPr="00745CDB">
              <w:rPr>
                <w:rStyle w:val="Pogrubienie"/>
                <w:lang w:val="pl-PL"/>
              </w:rPr>
              <w:t>Usługi rehabilitacyjno-opiekuńcze nad osobami starszymi i niepełnosprawnymi</w:t>
            </w:r>
          </w:p>
        </w:tc>
        <w:tc>
          <w:tcPr>
            <w:tcW w:w="988" w:type="dxa"/>
          </w:tcPr>
          <w:p w14:paraId="56C7BD14" w14:textId="77777777" w:rsidR="00400B4E" w:rsidRPr="00752E20"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rFonts w:cs="Arial"/>
              </w:rPr>
            </w:pPr>
            <w:r w:rsidRPr="00752E20">
              <w:rPr>
                <w:rFonts w:cs="Arial"/>
              </w:rPr>
              <w:t>40%</w:t>
            </w:r>
          </w:p>
        </w:tc>
        <w:tc>
          <w:tcPr>
            <w:tcW w:w="1006" w:type="dxa"/>
          </w:tcPr>
          <w:p w14:paraId="47AD80AE" w14:textId="77777777" w:rsidR="00400B4E" w:rsidRPr="002445B0"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rFonts w:cs="Arial"/>
              </w:rPr>
            </w:pPr>
            <w:r w:rsidRPr="002445B0">
              <w:rPr>
                <w:rFonts w:cs="Arial"/>
              </w:rPr>
              <w:t>14%</w:t>
            </w:r>
          </w:p>
        </w:tc>
        <w:tc>
          <w:tcPr>
            <w:tcW w:w="962" w:type="dxa"/>
          </w:tcPr>
          <w:p w14:paraId="662E79F0" w14:textId="77777777" w:rsidR="00400B4E" w:rsidRPr="002445B0"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rFonts w:cs="Arial"/>
              </w:rPr>
            </w:pPr>
            <w:r w:rsidRPr="002445B0">
              <w:rPr>
                <w:rFonts w:cs="Arial"/>
              </w:rPr>
              <w:t>3%</w:t>
            </w:r>
          </w:p>
        </w:tc>
        <w:tc>
          <w:tcPr>
            <w:tcW w:w="989" w:type="dxa"/>
          </w:tcPr>
          <w:p w14:paraId="2008C727" w14:textId="77777777" w:rsidR="00400B4E" w:rsidRPr="002445B0"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rsidRPr="002445B0">
              <w:rPr>
                <w:rFonts w:cs="Arial"/>
              </w:rPr>
              <w:t>1%</w:t>
            </w:r>
          </w:p>
        </w:tc>
      </w:tr>
      <w:tr w:rsidR="00400B4E" w:rsidRPr="00AD30B2" w14:paraId="3869293A" w14:textId="77777777" w:rsidTr="00A139DC">
        <w:trPr>
          <w:trHeight w:val="160"/>
        </w:trPr>
        <w:tc>
          <w:tcPr>
            <w:cnfStyle w:val="001000000000" w:firstRow="0" w:lastRow="0" w:firstColumn="1" w:lastColumn="0" w:oddVBand="0" w:evenVBand="0" w:oddHBand="0" w:evenHBand="0" w:firstRowFirstColumn="0" w:firstRowLastColumn="0" w:lastRowFirstColumn="0" w:lastRowLastColumn="0"/>
            <w:tcW w:w="4977" w:type="dxa"/>
          </w:tcPr>
          <w:p w14:paraId="4F4467BB" w14:textId="77777777" w:rsidR="00400B4E" w:rsidRPr="00745CDB" w:rsidRDefault="00400B4E" w:rsidP="00BA1554">
            <w:pPr>
              <w:ind w:left="0"/>
              <w:contextualSpacing/>
              <w:rPr>
                <w:rStyle w:val="Pogrubienie"/>
              </w:rPr>
            </w:pPr>
            <w:r w:rsidRPr="00745CDB">
              <w:rPr>
                <w:rStyle w:val="Pogrubienie"/>
                <w:lang w:val="pl-PL"/>
              </w:rPr>
              <w:t xml:space="preserve">Wydarzenia z zakresu pop-kultury (gł. </w:t>
            </w:r>
            <w:r w:rsidRPr="00745CDB">
              <w:rPr>
                <w:rStyle w:val="Pogrubienie"/>
              </w:rPr>
              <w:t>Stałe, cykliczne i masowe)</w:t>
            </w:r>
          </w:p>
        </w:tc>
        <w:tc>
          <w:tcPr>
            <w:tcW w:w="988" w:type="dxa"/>
          </w:tcPr>
          <w:p w14:paraId="0E4C44C8" w14:textId="77777777" w:rsidR="00400B4E" w:rsidRPr="00752E20"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rsidRPr="00752E20">
              <w:rPr>
                <w:rFonts w:cs="Arial"/>
              </w:rPr>
              <w:t>10%</w:t>
            </w:r>
          </w:p>
        </w:tc>
        <w:tc>
          <w:tcPr>
            <w:tcW w:w="1006" w:type="dxa"/>
          </w:tcPr>
          <w:p w14:paraId="14A85916" w14:textId="136176A6" w:rsidR="00400B4E" w:rsidRPr="00A139DC"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rFonts w:cs="Arial"/>
              </w:rPr>
            </w:pPr>
            <w:r w:rsidRPr="002445B0">
              <w:rPr>
                <w:rFonts w:cs="Arial"/>
              </w:rPr>
              <w:t>9%</w:t>
            </w:r>
          </w:p>
        </w:tc>
        <w:tc>
          <w:tcPr>
            <w:tcW w:w="962" w:type="dxa"/>
          </w:tcPr>
          <w:p w14:paraId="382FB6D4" w14:textId="1D118A5C" w:rsidR="00400B4E" w:rsidRPr="00A139DC"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rFonts w:cs="Arial"/>
              </w:rPr>
            </w:pPr>
            <w:r w:rsidRPr="002445B0">
              <w:rPr>
                <w:rFonts w:cs="Arial"/>
              </w:rPr>
              <w:t>3%</w:t>
            </w:r>
          </w:p>
        </w:tc>
        <w:tc>
          <w:tcPr>
            <w:tcW w:w="989" w:type="dxa"/>
          </w:tcPr>
          <w:p w14:paraId="1985ADCC" w14:textId="77777777" w:rsidR="00400B4E" w:rsidRPr="002445B0"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rsidRPr="002445B0">
              <w:t>0%</w:t>
            </w:r>
          </w:p>
        </w:tc>
      </w:tr>
      <w:tr w:rsidR="00400B4E" w:rsidRPr="00AD30B2" w14:paraId="48617AD4" w14:textId="77777777" w:rsidTr="00A139DC">
        <w:tc>
          <w:tcPr>
            <w:cnfStyle w:val="001000000000" w:firstRow="0" w:lastRow="0" w:firstColumn="1" w:lastColumn="0" w:oddVBand="0" w:evenVBand="0" w:oddHBand="0" w:evenHBand="0" w:firstRowFirstColumn="0" w:firstRowLastColumn="0" w:lastRowFirstColumn="0" w:lastRowLastColumn="0"/>
            <w:tcW w:w="4977" w:type="dxa"/>
          </w:tcPr>
          <w:p w14:paraId="355F5FCD" w14:textId="77777777" w:rsidR="00400B4E" w:rsidRPr="00745CDB" w:rsidRDefault="00400B4E" w:rsidP="00943A9D">
            <w:pPr>
              <w:ind w:left="0"/>
              <w:contextualSpacing/>
              <w:rPr>
                <w:rStyle w:val="Pogrubienie"/>
                <w:szCs w:val="24"/>
                <w:lang w:val="pl-PL"/>
              </w:rPr>
            </w:pPr>
            <w:r w:rsidRPr="00745CDB">
              <w:rPr>
                <w:rStyle w:val="Pogrubienie"/>
                <w:szCs w:val="24"/>
                <w:lang w:val="pl-PL"/>
              </w:rPr>
              <w:t>Powszechnie dostępne miejsca do uprawiania sportu i rekreacji indywidualnej (boiska, place zabaw, siłownie zewnętrzne)</w:t>
            </w:r>
          </w:p>
        </w:tc>
        <w:tc>
          <w:tcPr>
            <w:tcW w:w="988" w:type="dxa"/>
          </w:tcPr>
          <w:p w14:paraId="26EB0B20" w14:textId="77777777" w:rsidR="00400B4E" w:rsidRPr="00752E20"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rFonts w:cs="Arial"/>
              </w:rPr>
            </w:pPr>
            <w:r w:rsidRPr="00752E20">
              <w:rPr>
                <w:rFonts w:cs="Arial"/>
              </w:rPr>
              <w:t>21%</w:t>
            </w:r>
          </w:p>
        </w:tc>
        <w:tc>
          <w:tcPr>
            <w:tcW w:w="1006" w:type="dxa"/>
          </w:tcPr>
          <w:p w14:paraId="22168153" w14:textId="77777777" w:rsidR="00400B4E" w:rsidRPr="002445B0"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rsidRPr="002445B0">
              <w:rPr>
                <w:rFonts w:cs="Arial"/>
              </w:rPr>
              <w:t>12%</w:t>
            </w:r>
          </w:p>
        </w:tc>
        <w:tc>
          <w:tcPr>
            <w:tcW w:w="962" w:type="dxa"/>
          </w:tcPr>
          <w:p w14:paraId="546C178E" w14:textId="77777777" w:rsidR="00400B4E" w:rsidRPr="002445B0"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rsidRPr="002445B0">
              <w:rPr>
                <w:rFonts w:cs="Arial"/>
              </w:rPr>
              <w:t>7%</w:t>
            </w:r>
          </w:p>
        </w:tc>
        <w:tc>
          <w:tcPr>
            <w:tcW w:w="989" w:type="dxa"/>
          </w:tcPr>
          <w:p w14:paraId="51D08A96" w14:textId="77777777" w:rsidR="00400B4E" w:rsidRPr="002445B0"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rsidRPr="002445B0">
              <w:rPr>
                <w:rFonts w:cs="Arial"/>
              </w:rPr>
              <w:t>1%</w:t>
            </w:r>
          </w:p>
        </w:tc>
      </w:tr>
      <w:tr w:rsidR="00400B4E" w:rsidRPr="00AD30B2" w14:paraId="7C82AFCF" w14:textId="77777777" w:rsidTr="00A139DC">
        <w:tc>
          <w:tcPr>
            <w:cnfStyle w:val="001000000000" w:firstRow="0" w:lastRow="0" w:firstColumn="1" w:lastColumn="0" w:oddVBand="0" w:evenVBand="0" w:oddHBand="0" w:evenHBand="0" w:firstRowFirstColumn="0" w:firstRowLastColumn="0" w:lastRowFirstColumn="0" w:lastRowLastColumn="0"/>
            <w:tcW w:w="4977" w:type="dxa"/>
          </w:tcPr>
          <w:p w14:paraId="5EB1E4CA" w14:textId="77777777" w:rsidR="00400B4E" w:rsidRPr="00745CDB" w:rsidRDefault="00400B4E" w:rsidP="00943A9D">
            <w:pPr>
              <w:ind w:left="0"/>
              <w:contextualSpacing/>
              <w:rPr>
                <w:rStyle w:val="Pogrubienie"/>
                <w:szCs w:val="24"/>
                <w:lang w:val="pl-PL"/>
              </w:rPr>
            </w:pPr>
            <w:r w:rsidRPr="00745CDB">
              <w:rPr>
                <w:rStyle w:val="Pogrubienie"/>
                <w:szCs w:val="24"/>
                <w:lang w:val="pl-PL"/>
              </w:rPr>
              <w:t>Placówki oferujące aktywność sportową (basen, fitness, kluby sportowe, siłownie itp.)</w:t>
            </w:r>
          </w:p>
        </w:tc>
        <w:tc>
          <w:tcPr>
            <w:tcW w:w="988" w:type="dxa"/>
          </w:tcPr>
          <w:p w14:paraId="69A3080D" w14:textId="77777777" w:rsidR="00400B4E" w:rsidRPr="00752E20"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rsidRPr="00752E20">
              <w:rPr>
                <w:rFonts w:cs="Arial"/>
              </w:rPr>
              <w:t>21%</w:t>
            </w:r>
          </w:p>
        </w:tc>
        <w:tc>
          <w:tcPr>
            <w:tcW w:w="1006" w:type="dxa"/>
          </w:tcPr>
          <w:p w14:paraId="2E78BF6D" w14:textId="77777777" w:rsidR="00400B4E" w:rsidRPr="002445B0"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rsidRPr="002445B0">
              <w:rPr>
                <w:rFonts w:cs="Arial"/>
              </w:rPr>
              <w:t>16%</w:t>
            </w:r>
          </w:p>
        </w:tc>
        <w:tc>
          <w:tcPr>
            <w:tcW w:w="962" w:type="dxa"/>
          </w:tcPr>
          <w:p w14:paraId="6954973B" w14:textId="77777777" w:rsidR="00400B4E" w:rsidRPr="002445B0"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rsidRPr="002445B0">
              <w:rPr>
                <w:rFonts w:cs="Arial"/>
              </w:rPr>
              <w:t>6%</w:t>
            </w:r>
          </w:p>
        </w:tc>
        <w:tc>
          <w:tcPr>
            <w:tcW w:w="989" w:type="dxa"/>
          </w:tcPr>
          <w:p w14:paraId="6D3A9C14" w14:textId="77777777" w:rsidR="00400B4E" w:rsidRPr="002445B0"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rsidRPr="002445B0">
              <w:rPr>
                <w:rFonts w:cs="Arial"/>
              </w:rPr>
              <w:t>0%</w:t>
            </w:r>
          </w:p>
        </w:tc>
      </w:tr>
      <w:tr w:rsidR="00400B4E" w:rsidRPr="00AD30B2" w14:paraId="66FCCA11" w14:textId="77777777" w:rsidTr="00A139DC">
        <w:tc>
          <w:tcPr>
            <w:cnfStyle w:val="001000000000" w:firstRow="0" w:lastRow="0" w:firstColumn="1" w:lastColumn="0" w:oddVBand="0" w:evenVBand="0" w:oddHBand="0" w:evenHBand="0" w:firstRowFirstColumn="0" w:firstRowLastColumn="0" w:lastRowFirstColumn="0" w:lastRowLastColumn="0"/>
            <w:tcW w:w="4977" w:type="dxa"/>
          </w:tcPr>
          <w:p w14:paraId="3C9FA4D7" w14:textId="77777777" w:rsidR="00400B4E" w:rsidRPr="00745CDB" w:rsidRDefault="00400B4E" w:rsidP="00943A9D">
            <w:pPr>
              <w:ind w:left="0"/>
              <w:contextualSpacing/>
              <w:rPr>
                <w:rStyle w:val="Pogrubienie"/>
                <w:szCs w:val="24"/>
              </w:rPr>
            </w:pPr>
            <w:r w:rsidRPr="00745CDB">
              <w:rPr>
                <w:rStyle w:val="Pogrubienie"/>
                <w:szCs w:val="24"/>
              </w:rPr>
              <w:t>Imprezy i wydarzenia sportowe</w:t>
            </w:r>
          </w:p>
        </w:tc>
        <w:tc>
          <w:tcPr>
            <w:tcW w:w="988" w:type="dxa"/>
          </w:tcPr>
          <w:p w14:paraId="5383A3B2" w14:textId="77777777" w:rsidR="00400B4E" w:rsidRPr="00752E20"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rsidRPr="00752E20">
              <w:rPr>
                <w:rFonts w:cs="Arial"/>
              </w:rPr>
              <w:t>19%</w:t>
            </w:r>
          </w:p>
        </w:tc>
        <w:tc>
          <w:tcPr>
            <w:tcW w:w="1006" w:type="dxa"/>
          </w:tcPr>
          <w:p w14:paraId="7C2BCA76" w14:textId="77777777" w:rsidR="00400B4E" w:rsidRPr="002445B0"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rsidRPr="002445B0">
              <w:rPr>
                <w:rFonts w:cs="Arial"/>
              </w:rPr>
              <w:t>1%</w:t>
            </w:r>
          </w:p>
        </w:tc>
        <w:tc>
          <w:tcPr>
            <w:tcW w:w="962" w:type="dxa"/>
          </w:tcPr>
          <w:p w14:paraId="3703192A" w14:textId="77777777" w:rsidR="00400B4E" w:rsidRPr="002445B0"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rsidRPr="002445B0">
              <w:rPr>
                <w:rFonts w:cs="Arial"/>
              </w:rPr>
              <w:t>9%</w:t>
            </w:r>
          </w:p>
        </w:tc>
        <w:tc>
          <w:tcPr>
            <w:tcW w:w="989" w:type="dxa"/>
          </w:tcPr>
          <w:p w14:paraId="0CE92352" w14:textId="77777777" w:rsidR="00400B4E" w:rsidRPr="002445B0"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rsidRPr="002445B0">
              <w:rPr>
                <w:rFonts w:cs="Arial"/>
              </w:rPr>
              <w:t>0%</w:t>
            </w:r>
          </w:p>
        </w:tc>
      </w:tr>
      <w:tr w:rsidR="00400B4E" w:rsidRPr="00AD30B2" w14:paraId="3B28B9E0" w14:textId="77777777" w:rsidTr="00A139DC">
        <w:tc>
          <w:tcPr>
            <w:cnfStyle w:val="001000000000" w:firstRow="0" w:lastRow="0" w:firstColumn="1" w:lastColumn="0" w:oddVBand="0" w:evenVBand="0" w:oddHBand="0" w:evenHBand="0" w:firstRowFirstColumn="0" w:firstRowLastColumn="0" w:lastRowFirstColumn="0" w:lastRowLastColumn="0"/>
            <w:tcW w:w="4977" w:type="dxa"/>
          </w:tcPr>
          <w:p w14:paraId="0AE0E0BF" w14:textId="77777777" w:rsidR="00400B4E" w:rsidRPr="00745CDB" w:rsidRDefault="00400B4E" w:rsidP="00943A9D">
            <w:pPr>
              <w:ind w:left="0"/>
              <w:contextualSpacing/>
              <w:rPr>
                <w:rStyle w:val="Pogrubienie"/>
                <w:szCs w:val="24"/>
              </w:rPr>
            </w:pPr>
            <w:r w:rsidRPr="00745CDB">
              <w:rPr>
                <w:rStyle w:val="Pogrubienie"/>
                <w:szCs w:val="24"/>
              </w:rPr>
              <w:t>Handlowe (sieci handlowe)</w:t>
            </w:r>
          </w:p>
        </w:tc>
        <w:tc>
          <w:tcPr>
            <w:tcW w:w="988" w:type="dxa"/>
          </w:tcPr>
          <w:p w14:paraId="701AA872" w14:textId="77777777" w:rsidR="00400B4E" w:rsidRPr="00752E20"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rsidRPr="00752E20">
              <w:rPr>
                <w:rFonts w:cs="Arial"/>
              </w:rPr>
              <w:t>19%</w:t>
            </w:r>
          </w:p>
        </w:tc>
        <w:tc>
          <w:tcPr>
            <w:tcW w:w="1006" w:type="dxa"/>
          </w:tcPr>
          <w:p w14:paraId="49BD0BEF" w14:textId="77777777" w:rsidR="00400B4E" w:rsidRPr="002445B0"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rsidRPr="002445B0">
              <w:rPr>
                <w:rFonts w:cs="Arial"/>
              </w:rPr>
              <w:t>12%</w:t>
            </w:r>
          </w:p>
        </w:tc>
        <w:tc>
          <w:tcPr>
            <w:tcW w:w="962" w:type="dxa"/>
          </w:tcPr>
          <w:p w14:paraId="747FA6AA" w14:textId="77777777" w:rsidR="00400B4E" w:rsidRPr="002445B0"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rsidRPr="002445B0">
              <w:rPr>
                <w:rFonts w:cs="Arial"/>
              </w:rPr>
              <w:t>4%</w:t>
            </w:r>
          </w:p>
        </w:tc>
        <w:tc>
          <w:tcPr>
            <w:tcW w:w="989" w:type="dxa"/>
          </w:tcPr>
          <w:p w14:paraId="6029B59A" w14:textId="77777777" w:rsidR="00400B4E" w:rsidRPr="002445B0"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rsidRPr="002445B0">
              <w:rPr>
                <w:rFonts w:cs="Arial"/>
              </w:rPr>
              <w:t>4%</w:t>
            </w:r>
          </w:p>
        </w:tc>
      </w:tr>
      <w:tr w:rsidR="00400B4E" w:rsidRPr="00AD30B2" w14:paraId="233B80BC" w14:textId="77777777" w:rsidTr="00A139DC">
        <w:tc>
          <w:tcPr>
            <w:cnfStyle w:val="001000000000" w:firstRow="0" w:lastRow="0" w:firstColumn="1" w:lastColumn="0" w:oddVBand="0" w:evenVBand="0" w:oddHBand="0" w:evenHBand="0" w:firstRowFirstColumn="0" w:firstRowLastColumn="0" w:lastRowFirstColumn="0" w:lastRowLastColumn="0"/>
            <w:tcW w:w="4977" w:type="dxa"/>
          </w:tcPr>
          <w:p w14:paraId="246F938E" w14:textId="77777777" w:rsidR="00400B4E" w:rsidRPr="00745CDB" w:rsidRDefault="00400B4E" w:rsidP="00943A9D">
            <w:pPr>
              <w:ind w:left="0"/>
              <w:contextualSpacing/>
              <w:rPr>
                <w:rStyle w:val="Pogrubienie"/>
                <w:szCs w:val="24"/>
              </w:rPr>
            </w:pPr>
            <w:r w:rsidRPr="00745CDB">
              <w:rPr>
                <w:rStyle w:val="Pogrubienie"/>
                <w:szCs w:val="24"/>
              </w:rPr>
              <w:lastRenderedPageBreak/>
              <w:t>Handlowe (targowiska)</w:t>
            </w:r>
          </w:p>
        </w:tc>
        <w:tc>
          <w:tcPr>
            <w:tcW w:w="988" w:type="dxa"/>
          </w:tcPr>
          <w:p w14:paraId="677C6582" w14:textId="77777777" w:rsidR="00400B4E" w:rsidRPr="00752E20"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rsidRPr="00752E20">
              <w:rPr>
                <w:rFonts w:cs="Arial"/>
              </w:rPr>
              <w:t>25%</w:t>
            </w:r>
          </w:p>
        </w:tc>
        <w:tc>
          <w:tcPr>
            <w:tcW w:w="1006" w:type="dxa"/>
          </w:tcPr>
          <w:p w14:paraId="2A4F0B89" w14:textId="77777777" w:rsidR="00400B4E" w:rsidRPr="002445B0"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rsidRPr="002445B0">
              <w:rPr>
                <w:rFonts w:cs="Arial"/>
              </w:rPr>
              <w:t>20%</w:t>
            </w:r>
          </w:p>
        </w:tc>
        <w:tc>
          <w:tcPr>
            <w:tcW w:w="962" w:type="dxa"/>
          </w:tcPr>
          <w:p w14:paraId="357A6268" w14:textId="77777777" w:rsidR="00400B4E" w:rsidRPr="002445B0"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rsidRPr="002445B0">
              <w:rPr>
                <w:rFonts w:cs="Arial"/>
              </w:rPr>
              <w:t>7%</w:t>
            </w:r>
          </w:p>
        </w:tc>
        <w:tc>
          <w:tcPr>
            <w:tcW w:w="989" w:type="dxa"/>
          </w:tcPr>
          <w:p w14:paraId="331E0F3E" w14:textId="77777777" w:rsidR="00400B4E" w:rsidRPr="002445B0"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rsidRPr="002445B0">
              <w:rPr>
                <w:rFonts w:cs="Arial"/>
              </w:rPr>
              <w:t>4%</w:t>
            </w:r>
          </w:p>
        </w:tc>
      </w:tr>
      <w:tr w:rsidR="00400B4E" w:rsidRPr="00AD30B2" w14:paraId="1476B1AF" w14:textId="77777777" w:rsidTr="00A139DC">
        <w:tc>
          <w:tcPr>
            <w:cnfStyle w:val="001000000000" w:firstRow="0" w:lastRow="0" w:firstColumn="1" w:lastColumn="0" w:oddVBand="0" w:evenVBand="0" w:oddHBand="0" w:evenHBand="0" w:firstRowFirstColumn="0" w:firstRowLastColumn="0" w:lastRowFirstColumn="0" w:lastRowLastColumn="0"/>
            <w:tcW w:w="4977" w:type="dxa"/>
          </w:tcPr>
          <w:p w14:paraId="3CC68384" w14:textId="77777777" w:rsidR="00400B4E" w:rsidRPr="00745CDB" w:rsidRDefault="00400B4E" w:rsidP="00943A9D">
            <w:pPr>
              <w:ind w:left="0"/>
              <w:contextualSpacing/>
              <w:rPr>
                <w:rStyle w:val="Pogrubienie"/>
                <w:szCs w:val="24"/>
              </w:rPr>
            </w:pPr>
            <w:r w:rsidRPr="00745CDB">
              <w:rPr>
                <w:rStyle w:val="Pogrubienie"/>
                <w:szCs w:val="24"/>
              </w:rPr>
              <w:t>Pozostałe usługi</w:t>
            </w:r>
          </w:p>
        </w:tc>
        <w:tc>
          <w:tcPr>
            <w:tcW w:w="988" w:type="dxa"/>
          </w:tcPr>
          <w:p w14:paraId="26B022EA" w14:textId="77777777" w:rsidR="00400B4E" w:rsidRPr="002445B0"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rFonts w:cs="Arial"/>
              </w:rPr>
            </w:pPr>
            <w:r w:rsidRPr="002445B0">
              <w:rPr>
                <w:rFonts w:cs="Arial"/>
              </w:rPr>
              <w:t>8%</w:t>
            </w:r>
          </w:p>
        </w:tc>
        <w:tc>
          <w:tcPr>
            <w:tcW w:w="1006" w:type="dxa"/>
          </w:tcPr>
          <w:p w14:paraId="4E383B2E" w14:textId="77777777" w:rsidR="00400B4E" w:rsidRPr="002445B0"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rFonts w:cs="Arial"/>
              </w:rPr>
            </w:pPr>
            <w:r w:rsidRPr="002445B0">
              <w:rPr>
                <w:rFonts w:cs="Arial"/>
              </w:rPr>
              <w:t>6%</w:t>
            </w:r>
          </w:p>
        </w:tc>
        <w:tc>
          <w:tcPr>
            <w:tcW w:w="962" w:type="dxa"/>
          </w:tcPr>
          <w:p w14:paraId="5E433B2F" w14:textId="77777777" w:rsidR="00400B4E" w:rsidRPr="00752E20"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rFonts w:cs="Arial"/>
              </w:rPr>
            </w:pPr>
            <w:r w:rsidRPr="00752E20">
              <w:rPr>
                <w:rFonts w:cs="Arial"/>
              </w:rPr>
              <w:t>10%</w:t>
            </w:r>
          </w:p>
        </w:tc>
        <w:tc>
          <w:tcPr>
            <w:tcW w:w="989" w:type="dxa"/>
          </w:tcPr>
          <w:p w14:paraId="5442745B" w14:textId="77777777" w:rsidR="00400B4E" w:rsidRPr="002445B0"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rFonts w:cs="Arial"/>
              </w:rPr>
            </w:pPr>
            <w:r w:rsidRPr="002445B0">
              <w:rPr>
                <w:rFonts w:cs="Arial"/>
              </w:rPr>
              <w:t>5%</w:t>
            </w:r>
          </w:p>
        </w:tc>
      </w:tr>
      <w:tr w:rsidR="00400B4E" w:rsidRPr="00AD30B2" w14:paraId="233C39AE" w14:textId="77777777" w:rsidTr="00A139DC">
        <w:tc>
          <w:tcPr>
            <w:cnfStyle w:val="001000000000" w:firstRow="0" w:lastRow="0" w:firstColumn="1" w:lastColumn="0" w:oddVBand="0" w:evenVBand="0" w:oddHBand="0" w:evenHBand="0" w:firstRowFirstColumn="0" w:firstRowLastColumn="0" w:lastRowFirstColumn="0" w:lastRowLastColumn="0"/>
            <w:tcW w:w="4977" w:type="dxa"/>
          </w:tcPr>
          <w:p w14:paraId="288B4C42" w14:textId="77777777" w:rsidR="00400B4E" w:rsidRPr="00745CDB" w:rsidRDefault="00400B4E" w:rsidP="00943A9D">
            <w:pPr>
              <w:ind w:left="0"/>
              <w:contextualSpacing/>
              <w:rPr>
                <w:rStyle w:val="Pogrubienie"/>
                <w:szCs w:val="24"/>
              </w:rPr>
            </w:pPr>
            <w:r w:rsidRPr="00745CDB">
              <w:rPr>
                <w:rStyle w:val="Pogrubienie"/>
                <w:szCs w:val="24"/>
              </w:rPr>
              <w:t>Średnia</w:t>
            </w:r>
          </w:p>
        </w:tc>
        <w:tc>
          <w:tcPr>
            <w:tcW w:w="988" w:type="dxa"/>
          </w:tcPr>
          <w:p w14:paraId="02F956F9" w14:textId="77777777" w:rsidR="00400B4E" w:rsidRPr="002445B0"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rsidRPr="002445B0">
              <w:t>2</w:t>
            </w:r>
            <w:r>
              <w:t>6</w:t>
            </w:r>
            <w:r w:rsidRPr="002445B0">
              <w:t>%</w:t>
            </w:r>
          </w:p>
        </w:tc>
        <w:tc>
          <w:tcPr>
            <w:tcW w:w="1006" w:type="dxa"/>
          </w:tcPr>
          <w:p w14:paraId="328A3D83" w14:textId="77777777" w:rsidR="00400B4E" w:rsidRPr="002445B0"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rsidRPr="002445B0">
              <w:t>14%</w:t>
            </w:r>
          </w:p>
        </w:tc>
        <w:tc>
          <w:tcPr>
            <w:tcW w:w="962" w:type="dxa"/>
          </w:tcPr>
          <w:p w14:paraId="7C66A720" w14:textId="77777777" w:rsidR="00400B4E" w:rsidRPr="002445B0"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rsidRPr="002445B0">
              <w:t>8%</w:t>
            </w:r>
          </w:p>
        </w:tc>
        <w:tc>
          <w:tcPr>
            <w:tcW w:w="989" w:type="dxa"/>
          </w:tcPr>
          <w:p w14:paraId="092673FC" w14:textId="77777777" w:rsidR="00400B4E" w:rsidRPr="002445B0"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rsidRPr="002445B0">
              <w:t>3%</w:t>
            </w:r>
          </w:p>
        </w:tc>
      </w:tr>
    </w:tbl>
    <w:p w14:paraId="587D855A" w14:textId="77777777" w:rsidR="00400B4E" w:rsidRPr="00733091" w:rsidRDefault="00400B4E" w:rsidP="00733091">
      <w:pPr>
        <w:pStyle w:val="podpiselementu"/>
        <w:spacing w:after="240"/>
        <w:rPr>
          <w:rFonts w:eastAsia="Times New Roman"/>
          <w:lang w:val="pl-PL" w:eastAsia="pl-PL"/>
        </w:rPr>
      </w:pPr>
      <w:r w:rsidRPr="00733091">
        <w:rPr>
          <w:lang w:val="pl-PL"/>
        </w:rPr>
        <w:t xml:space="preserve">Źródło: opracowanie ZMP na podstawie badania </w:t>
      </w:r>
      <w:r w:rsidRPr="00733091">
        <w:rPr>
          <w:rFonts w:eastAsia="Times New Roman"/>
          <w:lang w:val="pl-PL" w:eastAsia="pl-PL"/>
        </w:rPr>
        <w:t>członków Partnerstwa</w:t>
      </w:r>
    </w:p>
    <w:p w14:paraId="6271AFED" w14:textId="77777777" w:rsidR="00400B4E" w:rsidRPr="00733091" w:rsidRDefault="00400B4E" w:rsidP="00733091">
      <w:pPr>
        <w:contextualSpacing/>
        <w:rPr>
          <w:rFonts w:cstheme="minorHAnsi"/>
          <w:lang w:val="pl-PL"/>
        </w:rPr>
      </w:pPr>
    </w:p>
    <w:p w14:paraId="3E76F5F5" w14:textId="69A3C2D0" w:rsidR="00400B4E" w:rsidRPr="00733091" w:rsidRDefault="00400B4E" w:rsidP="00733091">
      <w:pPr>
        <w:rPr>
          <w:lang w:val="pl-PL"/>
        </w:rPr>
      </w:pPr>
      <w:r w:rsidRPr="00733091">
        <w:rPr>
          <w:lang w:val="pl-PL"/>
        </w:rPr>
        <w:t>Do dwóch ośrodków</w:t>
      </w:r>
      <w:r w:rsidR="006E6DDE">
        <w:rPr>
          <w:lang w:val="pl-PL"/>
        </w:rPr>
        <w:t xml:space="preserve"> (centrów usług)</w:t>
      </w:r>
      <w:r w:rsidRPr="00733091">
        <w:rPr>
          <w:lang w:val="pl-PL"/>
        </w:rPr>
        <w:t>: miasta</w:t>
      </w:r>
      <w:r w:rsidRPr="00733091">
        <w:rPr>
          <w:b/>
          <w:bCs/>
          <w:lang w:val="pl-PL"/>
        </w:rPr>
        <w:t xml:space="preserve"> Szczytna </w:t>
      </w:r>
      <w:r w:rsidRPr="00733091">
        <w:rPr>
          <w:lang w:val="pl-PL"/>
        </w:rPr>
        <w:t>i miasta</w:t>
      </w:r>
      <w:r w:rsidRPr="00733091">
        <w:rPr>
          <w:b/>
          <w:bCs/>
          <w:lang w:val="pl-PL"/>
        </w:rPr>
        <w:t xml:space="preserve"> Działdowa</w:t>
      </w:r>
      <w:r w:rsidRPr="00733091">
        <w:rPr>
          <w:lang w:val="pl-PL"/>
        </w:rPr>
        <w:t xml:space="preserve"> przyjeżdża w celu skorzystania z usług zdecydowanie więcej mieszkańców obszaru Partnerstwa niż do pozostałych dwóch centrów. Są to więc ośrodki o największej sile oddziaływania na terenie Południowych Mazur. Z analizy wynika, że miasta te są jednocześnie jednymi z głównych rynków pracy obszaru Partnerstwa (tabela 4 i tabela </w:t>
      </w:r>
      <w:r w:rsidR="0095312D">
        <w:rPr>
          <w:lang w:val="pl-PL"/>
        </w:rPr>
        <w:t>6</w:t>
      </w:r>
      <w:r w:rsidRPr="00733091">
        <w:rPr>
          <w:lang w:val="pl-PL"/>
        </w:rPr>
        <w:t>).</w:t>
      </w:r>
    </w:p>
    <w:p w14:paraId="22DB92D8" w14:textId="032B16F2" w:rsidR="00E70191" w:rsidRDefault="00400B4E" w:rsidP="00BB7F69">
      <w:pPr>
        <w:rPr>
          <w:b/>
          <w:bCs/>
          <w:lang w:val="pl-PL"/>
        </w:rPr>
      </w:pPr>
      <w:r w:rsidRPr="00733091">
        <w:rPr>
          <w:lang w:val="pl-PL"/>
        </w:rPr>
        <w:t xml:space="preserve">Fakt, że ośrodki o największej sile oddziaływania są jednocześnie największymi rynkami pracy w Partnerstwie potwierdza istnienie </w:t>
      </w:r>
      <w:r w:rsidRPr="00733091">
        <w:rPr>
          <w:b/>
          <w:bCs/>
          <w:lang w:val="pl-PL"/>
        </w:rPr>
        <w:t>silnych sprzężeń zwrotnych między rynkiem usług a rynkiem pracy.</w:t>
      </w:r>
    </w:p>
    <w:p w14:paraId="78177E30" w14:textId="77777777" w:rsidR="0095312D" w:rsidRPr="00733091" w:rsidRDefault="0095312D" w:rsidP="0095312D">
      <w:pPr>
        <w:rPr>
          <w:lang w:val="pl-PL"/>
        </w:rPr>
      </w:pPr>
      <w:r w:rsidRPr="00733091">
        <w:rPr>
          <w:lang w:val="pl-PL"/>
        </w:rPr>
        <w:t>Powiązania funkcjonalne wpływają na funkcje, jakie pełnią ośrodki osiedleńcze. Żadna ze zidentyfikowanych funkcji Partnerstwa (poza administracyjną lokalną i socjalno-bytową realizowaną przez wszystkie JST)</w:t>
      </w:r>
      <w:r w:rsidRPr="00733091">
        <w:rPr>
          <w:b/>
          <w:bCs/>
          <w:lang w:val="pl-PL"/>
        </w:rPr>
        <w:t xml:space="preserve"> nie ma charakteru dominującego</w:t>
      </w:r>
      <w:r w:rsidRPr="00733091">
        <w:rPr>
          <w:lang w:val="pl-PL"/>
        </w:rPr>
        <w:t>.</w:t>
      </w:r>
    </w:p>
    <w:p w14:paraId="4E8B13FB" w14:textId="4A7599C7" w:rsidR="0095312D" w:rsidRPr="006E6DDE" w:rsidRDefault="0095312D" w:rsidP="006E6DDE">
      <w:pPr>
        <w:rPr>
          <w:rFonts w:eastAsia="Times New Roman"/>
          <w:color w:val="44546A" w:themeColor="text2"/>
          <w:sz w:val="18"/>
          <w:szCs w:val="18"/>
          <w:lang w:val="pl-PL" w:eastAsia="pl-PL"/>
        </w:rPr>
      </w:pPr>
      <w:r w:rsidRPr="00733091">
        <w:rPr>
          <w:lang w:val="pl-PL"/>
        </w:rPr>
        <w:t>Oznacza to, że Południowe Mazury są</w:t>
      </w:r>
      <w:r w:rsidRPr="00733091">
        <w:rPr>
          <w:b/>
          <w:bCs/>
          <w:lang w:val="pl-PL"/>
        </w:rPr>
        <w:t xml:space="preserve"> obszarem wielofunkcyjnym, </w:t>
      </w:r>
      <w:r w:rsidRPr="00733091">
        <w:rPr>
          <w:lang w:val="pl-PL"/>
        </w:rPr>
        <w:t>który charakteryzuje</w:t>
      </w:r>
      <w:r w:rsidRPr="00733091">
        <w:rPr>
          <w:b/>
          <w:bCs/>
          <w:lang w:val="pl-PL"/>
        </w:rPr>
        <w:t xml:space="preserve"> wielość oraz różnorodność synergicznie powiązanych i</w:t>
      </w:r>
      <w:r w:rsidR="00745CDB">
        <w:rPr>
          <w:b/>
          <w:bCs/>
          <w:lang w:val="pl-PL"/>
        </w:rPr>
        <w:t xml:space="preserve"> </w:t>
      </w:r>
      <w:r w:rsidRPr="00733091">
        <w:rPr>
          <w:b/>
          <w:bCs/>
          <w:lang w:val="pl-PL"/>
        </w:rPr>
        <w:t>komplementarnych funkcji.</w:t>
      </w:r>
    </w:p>
    <w:p w14:paraId="05B4350B" w14:textId="4FBA7BCD" w:rsidR="0095312D" w:rsidRPr="0095312D" w:rsidRDefault="00400B4E" w:rsidP="002E24A9">
      <w:pPr>
        <w:pStyle w:val="Legenda"/>
        <w:rPr>
          <w:lang w:val="pl-PL"/>
        </w:rPr>
      </w:pPr>
      <w:bookmarkStart w:id="33" w:name="_Toc69723255"/>
      <w:r w:rsidRPr="00733091">
        <w:rPr>
          <w:lang w:val="pl-PL"/>
        </w:rPr>
        <w:t xml:space="preserve">Tabela </w:t>
      </w:r>
      <w:r w:rsidR="00733091">
        <w:fldChar w:fldCharType="begin"/>
      </w:r>
      <w:r w:rsidR="00733091" w:rsidRPr="00733091">
        <w:rPr>
          <w:lang w:val="pl-PL"/>
        </w:rPr>
        <w:instrText xml:space="preserve"> SEQ Tabela \* ARABIC </w:instrText>
      </w:r>
      <w:r w:rsidR="00733091">
        <w:fldChar w:fldCharType="separate"/>
      </w:r>
      <w:r w:rsidR="00B14787">
        <w:rPr>
          <w:noProof/>
          <w:lang w:val="pl-PL"/>
        </w:rPr>
        <w:t>6</w:t>
      </w:r>
      <w:r w:rsidR="00733091">
        <w:rPr>
          <w:noProof/>
        </w:rPr>
        <w:fldChar w:fldCharType="end"/>
      </w:r>
      <w:r w:rsidRPr="00733091">
        <w:rPr>
          <w:lang w:val="pl-PL"/>
        </w:rPr>
        <w:t>: Wskaźnik bilansu zatrudnienia dla centrów obszarów funkcjonalnych w Partnerstwie</w:t>
      </w:r>
      <w:bookmarkEnd w:id="33"/>
    </w:p>
    <w:tbl>
      <w:tblPr>
        <w:tblStyle w:val="CWD"/>
        <w:tblW w:w="8926" w:type="dxa"/>
        <w:tblLayout w:type="fixed"/>
        <w:tblLook w:val="04A0" w:firstRow="1" w:lastRow="0" w:firstColumn="1" w:lastColumn="0" w:noHBand="0" w:noVBand="1"/>
      </w:tblPr>
      <w:tblGrid>
        <w:gridCol w:w="5949"/>
        <w:gridCol w:w="1559"/>
        <w:gridCol w:w="1418"/>
      </w:tblGrid>
      <w:tr w:rsidR="00400B4E" w:rsidRPr="003C1288" w14:paraId="304CD16D" w14:textId="77777777" w:rsidTr="00A5382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49" w:type="dxa"/>
            <w:vMerge w:val="restart"/>
            <w:shd w:val="clear" w:color="auto" w:fill="FFC000"/>
          </w:tcPr>
          <w:p w14:paraId="2D846DE0" w14:textId="77777777" w:rsidR="00400B4E" w:rsidRPr="00A139DC" w:rsidRDefault="00400B4E" w:rsidP="00BA1554">
            <w:pPr>
              <w:ind w:left="0"/>
              <w:contextualSpacing/>
              <w:rPr>
                <w:rStyle w:val="Pogrubienie"/>
                <w:b/>
                <w:bCs/>
              </w:rPr>
            </w:pPr>
            <w:r w:rsidRPr="00A139DC">
              <w:rPr>
                <w:rStyle w:val="Pogrubienie"/>
                <w:b/>
                <w:bCs/>
              </w:rPr>
              <w:t>Rynek pracy</w:t>
            </w:r>
          </w:p>
        </w:tc>
        <w:tc>
          <w:tcPr>
            <w:tcW w:w="2977" w:type="dxa"/>
            <w:gridSpan w:val="2"/>
            <w:shd w:val="clear" w:color="auto" w:fill="FFC000"/>
          </w:tcPr>
          <w:p w14:paraId="4C77F05C" w14:textId="77777777" w:rsidR="00400B4E" w:rsidRPr="00A139DC" w:rsidRDefault="00400B4E" w:rsidP="00E70191">
            <w:pPr>
              <w:ind w:left="0"/>
              <w:contextualSpacing/>
              <w:jc w:val="center"/>
              <w:cnfStyle w:val="100000000000" w:firstRow="1" w:lastRow="0" w:firstColumn="0" w:lastColumn="0" w:oddVBand="0" w:evenVBand="0" w:oddHBand="0" w:evenHBand="0" w:firstRowFirstColumn="0" w:firstRowLastColumn="0" w:lastRowFirstColumn="0" w:lastRowLastColumn="0"/>
              <w:rPr>
                <w:rStyle w:val="Pogrubienie"/>
                <w:b/>
                <w:bCs/>
              </w:rPr>
            </w:pPr>
            <w:r w:rsidRPr="00A139DC">
              <w:rPr>
                <w:rStyle w:val="Pogrubienie"/>
                <w:b/>
                <w:bCs/>
              </w:rPr>
              <w:t>Wskaźnik bilansu rynku pracy</w:t>
            </w:r>
          </w:p>
        </w:tc>
      </w:tr>
      <w:tr w:rsidR="00400B4E" w:rsidRPr="003C1288" w14:paraId="692E48F5" w14:textId="77777777" w:rsidTr="002F493F">
        <w:trPr>
          <w:trHeight w:val="317"/>
        </w:trPr>
        <w:tc>
          <w:tcPr>
            <w:cnfStyle w:val="001000000000" w:firstRow="0" w:lastRow="0" w:firstColumn="1" w:lastColumn="0" w:oddVBand="0" w:evenVBand="0" w:oddHBand="0" w:evenHBand="0" w:firstRowFirstColumn="0" w:firstRowLastColumn="0" w:lastRowFirstColumn="0" w:lastRowLastColumn="0"/>
            <w:tcW w:w="5949" w:type="dxa"/>
            <w:vMerge/>
            <w:shd w:val="clear" w:color="auto" w:fill="FFC000"/>
          </w:tcPr>
          <w:p w14:paraId="0E0B1639" w14:textId="77777777" w:rsidR="00400B4E" w:rsidRPr="00A139DC" w:rsidRDefault="00400B4E" w:rsidP="00BA1554">
            <w:pPr>
              <w:ind w:left="0"/>
              <w:contextualSpacing/>
              <w:rPr>
                <w:rStyle w:val="Pogrubienie"/>
                <w:b/>
                <w:bCs/>
              </w:rPr>
            </w:pPr>
          </w:p>
        </w:tc>
        <w:tc>
          <w:tcPr>
            <w:tcW w:w="1559" w:type="dxa"/>
            <w:shd w:val="clear" w:color="auto" w:fill="FFC000"/>
          </w:tcPr>
          <w:p w14:paraId="5A603118" w14:textId="77777777" w:rsidR="00400B4E" w:rsidRPr="00A53827" w:rsidRDefault="00400B4E" w:rsidP="002F493F">
            <w:pPr>
              <w:pStyle w:val="elementgraficznytabela"/>
              <w:spacing w:after="240"/>
              <w:contextualSpacing/>
              <w:jc w:val="left"/>
              <w:cnfStyle w:val="000000000000" w:firstRow="0" w:lastRow="0" w:firstColumn="0" w:lastColumn="0" w:oddVBand="0" w:evenVBand="0" w:oddHBand="0" w:evenHBand="0" w:firstRowFirstColumn="0" w:firstRowLastColumn="0" w:lastRowFirstColumn="0" w:lastRowLastColumn="0"/>
              <w:rPr>
                <w:b/>
                <w:bCs/>
              </w:rPr>
            </w:pPr>
            <w:r w:rsidRPr="00A53827">
              <w:rPr>
                <w:b/>
                <w:bCs/>
              </w:rPr>
              <w:t>Szczytno</w:t>
            </w:r>
          </w:p>
        </w:tc>
        <w:tc>
          <w:tcPr>
            <w:tcW w:w="1418" w:type="dxa"/>
            <w:shd w:val="clear" w:color="auto" w:fill="FFC000"/>
          </w:tcPr>
          <w:p w14:paraId="37483BE3" w14:textId="40CF2AB5" w:rsidR="00400B4E" w:rsidRPr="00A53827" w:rsidRDefault="00400B4E" w:rsidP="00BA1554">
            <w:pPr>
              <w:pStyle w:val="elementgraficznytabela"/>
              <w:spacing w:after="240"/>
              <w:contextualSpacing/>
              <w:jc w:val="center"/>
              <w:cnfStyle w:val="000000000000" w:firstRow="0" w:lastRow="0" w:firstColumn="0" w:lastColumn="0" w:oddVBand="0" w:evenVBand="0" w:oddHBand="0" w:evenHBand="0" w:firstRowFirstColumn="0" w:firstRowLastColumn="0" w:lastRowFirstColumn="0" w:lastRowLastColumn="0"/>
              <w:rPr>
                <w:b/>
                <w:bCs/>
              </w:rPr>
            </w:pPr>
            <w:r w:rsidRPr="00A53827">
              <w:rPr>
                <w:b/>
                <w:bCs/>
              </w:rPr>
              <w:t>Działdowo</w:t>
            </w:r>
          </w:p>
        </w:tc>
      </w:tr>
      <w:tr w:rsidR="00400B4E" w:rsidRPr="003C1288" w14:paraId="408B01FA" w14:textId="77777777" w:rsidTr="00A139DC">
        <w:tc>
          <w:tcPr>
            <w:cnfStyle w:val="001000000000" w:firstRow="0" w:lastRow="0" w:firstColumn="1" w:lastColumn="0" w:oddVBand="0" w:evenVBand="0" w:oddHBand="0" w:evenHBand="0" w:firstRowFirstColumn="0" w:firstRowLastColumn="0" w:lastRowFirstColumn="0" w:lastRowLastColumn="0"/>
            <w:tcW w:w="5949" w:type="dxa"/>
          </w:tcPr>
          <w:p w14:paraId="2FB1C283" w14:textId="77777777" w:rsidR="00400B4E" w:rsidRPr="00745CDB" w:rsidRDefault="00400B4E" w:rsidP="00BA1554">
            <w:pPr>
              <w:ind w:left="0"/>
              <w:contextualSpacing/>
              <w:rPr>
                <w:rStyle w:val="Pogrubienie"/>
                <w:lang w:val="pl-PL"/>
              </w:rPr>
            </w:pPr>
            <w:r w:rsidRPr="00745CDB">
              <w:rPr>
                <w:rStyle w:val="Pogrubienie"/>
                <w:lang w:val="pl-PL"/>
              </w:rPr>
              <w:t>Zakłady pracy - sektor związany z produkcją leśną</w:t>
            </w:r>
          </w:p>
        </w:tc>
        <w:tc>
          <w:tcPr>
            <w:tcW w:w="1559" w:type="dxa"/>
          </w:tcPr>
          <w:p w14:paraId="517FD775" w14:textId="77777777" w:rsidR="00400B4E" w:rsidRPr="009845FA"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rFonts w:cs="Arial"/>
              </w:rPr>
            </w:pPr>
            <w:r w:rsidRPr="009845FA">
              <w:rPr>
                <w:rFonts w:cs="Arial"/>
              </w:rPr>
              <w:t>-4%</w:t>
            </w:r>
          </w:p>
        </w:tc>
        <w:tc>
          <w:tcPr>
            <w:tcW w:w="1418" w:type="dxa"/>
          </w:tcPr>
          <w:p w14:paraId="3079825D" w14:textId="77777777" w:rsidR="00400B4E" w:rsidRPr="00484D9F"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rFonts w:cs="Arial"/>
              </w:rPr>
            </w:pPr>
            <w:r w:rsidRPr="00484D9F">
              <w:rPr>
                <w:rFonts w:cs="Arial"/>
              </w:rPr>
              <w:t>2%</w:t>
            </w:r>
          </w:p>
        </w:tc>
      </w:tr>
      <w:tr w:rsidR="00400B4E" w:rsidRPr="003C1288" w14:paraId="7275225A" w14:textId="77777777" w:rsidTr="00A139DC">
        <w:tc>
          <w:tcPr>
            <w:cnfStyle w:val="001000000000" w:firstRow="0" w:lastRow="0" w:firstColumn="1" w:lastColumn="0" w:oddVBand="0" w:evenVBand="0" w:oddHBand="0" w:evenHBand="0" w:firstRowFirstColumn="0" w:firstRowLastColumn="0" w:lastRowFirstColumn="0" w:lastRowLastColumn="0"/>
            <w:tcW w:w="5949" w:type="dxa"/>
          </w:tcPr>
          <w:p w14:paraId="2FD7A5A5" w14:textId="77777777" w:rsidR="00400B4E" w:rsidRPr="00745CDB" w:rsidRDefault="00400B4E" w:rsidP="00BA1554">
            <w:pPr>
              <w:ind w:left="0"/>
              <w:contextualSpacing/>
              <w:rPr>
                <w:rStyle w:val="Pogrubienie"/>
                <w:lang w:val="pl-PL"/>
              </w:rPr>
            </w:pPr>
            <w:r w:rsidRPr="00745CDB">
              <w:rPr>
                <w:rStyle w:val="Pogrubienie"/>
                <w:lang w:val="pl-PL"/>
              </w:rPr>
              <w:t>Zakłady pracy - sektor związany z produkcją rolną</w:t>
            </w:r>
          </w:p>
        </w:tc>
        <w:tc>
          <w:tcPr>
            <w:tcW w:w="1559" w:type="dxa"/>
          </w:tcPr>
          <w:p w14:paraId="7EFA6BE7" w14:textId="77777777" w:rsidR="00400B4E" w:rsidRPr="009845FA"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rsidRPr="009845FA">
              <w:rPr>
                <w:rFonts w:cs="Arial"/>
              </w:rPr>
              <w:t>8%</w:t>
            </w:r>
          </w:p>
        </w:tc>
        <w:tc>
          <w:tcPr>
            <w:tcW w:w="1418" w:type="dxa"/>
          </w:tcPr>
          <w:p w14:paraId="680A6943" w14:textId="77777777" w:rsidR="00400B4E" w:rsidRPr="00484D9F"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rsidRPr="00484D9F">
              <w:rPr>
                <w:rFonts w:cs="Arial"/>
              </w:rPr>
              <w:t>34%</w:t>
            </w:r>
          </w:p>
        </w:tc>
      </w:tr>
      <w:tr w:rsidR="00400B4E" w:rsidRPr="003C1288" w14:paraId="44F9CF04" w14:textId="77777777" w:rsidTr="00A139DC">
        <w:tc>
          <w:tcPr>
            <w:cnfStyle w:val="001000000000" w:firstRow="0" w:lastRow="0" w:firstColumn="1" w:lastColumn="0" w:oddVBand="0" w:evenVBand="0" w:oddHBand="0" w:evenHBand="0" w:firstRowFirstColumn="0" w:firstRowLastColumn="0" w:lastRowFirstColumn="0" w:lastRowLastColumn="0"/>
            <w:tcW w:w="5949" w:type="dxa"/>
          </w:tcPr>
          <w:p w14:paraId="12B3CFEF" w14:textId="77777777" w:rsidR="00400B4E" w:rsidRPr="00745CDB" w:rsidRDefault="00400B4E" w:rsidP="00BA1554">
            <w:pPr>
              <w:ind w:left="0"/>
              <w:contextualSpacing/>
              <w:rPr>
                <w:rStyle w:val="Pogrubienie"/>
                <w:lang w:val="pl-PL"/>
              </w:rPr>
            </w:pPr>
            <w:r w:rsidRPr="00745CDB">
              <w:rPr>
                <w:rStyle w:val="Pogrubienie"/>
                <w:lang w:val="pl-PL"/>
              </w:rPr>
              <w:t>Zakłady pracy - sektor związany z turystyką</w:t>
            </w:r>
          </w:p>
        </w:tc>
        <w:tc>
          <w:tcPr>
            <w:tcW w:w="1559" w:type="dxa"/>
          </w:tcPr>
          <w:p w14:paraId="173CB368" w14:textId="77777777" w:rsidR="00400B4E" w:rsidRPr="00484D9F"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rsidRPr="00484D9F">
              <w:rPr>
                <w:rFonts w:cs="Arial"/>
              </w:rPr>
              <w:t>21%</w:t>
            </w:r>
          </w:p>
        </w:tc>
        <w:tc>
          <w:tcPr>
            <w:tcW w:w="1418" w:type="dxa"/>
          </w:tcPr>
          <w:p w14:paraId="0EBB5D5F" w14:textId="77777777" w:rsidR="00400B4E" w:rsidRPr="009845FA"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rsidRPr="009845FA">
              <w:rPr>
                <w:rFonts w:cs="Arial"/>
              </w:rPr>
              <w:t>0%</w:t>
            </w:r>
          </w:p>
        </w:tc>
      </w:tr>
      <w:tr w:rsidR="00400B4E" w:rsidRPr="003C1288" w14:paraId="5C7976E2" w14:textId="77777777" w:rsidTr="00A139DC">
        <w:tc>
          <w:tcPr>
            <w:cnfStyle w:val="001000000000" w:firstRow="0" w:lastRow="0" w:firstColumn="1" w:lastColumn="0" w:oddVBand="0" w:evenVBand="0" w:oddHBand="0" w:evenHBand="0" w:firstRowFirstColumn="0" w:firstRowLastColumn="0" w:lastRowFirstColumn="0" w:lastRowLastColumn="0"/>
            <w:tcW w:w="5949" w:type="dxa"/>
          </w:tcPr>
          <w:p w14:paraId="3E87AD90" w14:textId="77777777" w:rsidR="00400B4E" w:rsidRPr="00745CDB" w:rsidRDefault="00400B4E" w:rsidP="00BA1554">
            <w:pPr>
              <w:ind w:left="0"/>
              <w:contextualSpacing/>
              <w:rPr>
                <w:rStyle w:val="Pogrubienie"/>
                <w:lang w:val="pl-PL"/>
              </w:rPr>
            </w:pPr>
            <w:r w:rsidRPr="00745CDB">
              <w:rPr>
                <w:rStyle w:val="Pogrubienie"/>
                <w:lang w:val="pl-PL"/>
              </w:rPr>
              <w:lastRenderedPageBreak/>
              <w:t>Zakłady pracy - sektor związany z administracją</w:t>
            </w:r>
          </w:p>
        </w:tc>
        <w:tc>
          <w:tcPr>
            <w:tcW w:w="1559" w:type="dxa"/>
          </w:tcPr>
          <w:p w14:paraId="761A305F" w14:textId="77777777" w:rsidR="00400B4E" w:rsidRPr="00484D9F"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rsidRPr="00484D9F">
              <w:rPr>
                <w:rFonts w:cs="Arial"/>
              </w:rPr>
              <w:t>21%</w:t>
            </w:r>
          </w:p>
        </w:tc>
        <w:tc>
          <w:tcPr>
            <w:tcW w:w="1418" w:type="dxa"/>
          </w:tcPr>
          <w:p w14:paraId="65BE9C27" w14:textId="77777777" w:rsidR="00400B4E" w:rsidRPr="009845FA"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rsidRPr="009845FA">
              <w:rPr>
                <w:rFonts w:cs="Arial"/>
              </w:rPr>
              <w:t>17%</w:t>
            </w:r>
          </w:p>
        </w:tc>
      </w:tr>
      <w:tr w:rsidR="00400B4E" w:rsidRPr="003C1288" w14:paraId="7E142AD5" w14:textId="77777777" w:rsidTr="00A139DC">
        <w:tc>
          <w:tcPr>
            <w:cnfStyle w:val="001000000000" w:firstRow="0" w:lastRow="0" w:firstColumn="1" w:lastColumn="0" w:oddVBand="0" w:evenVBand="0" w:oddHBand="0" w:evenHBand="0" w:firstRowFirstColumn="0" w:firstRowLastColumn="0" w:lastRowFirstColumn="0" w:lastRowLastColumn="0"/>
            <w:tcW w:w="5949" w:type="dxa"/>
          </w:tcPr>
          <w:p w14:paraId="3AD29976" w14:textId="77777777" w:rsidR="00400B4E" w:rsidRPr="00745CDB" w:rsidRDefault="00400B4E" w:rsidP="00BA1554">
            <w:pPr>
              <w:ind w:left="0"/>
              <w:contextualSpacing/>
              <w:rPr>
                <w:rStyle w:val="Pogrubienie"/>
              </w:rPr>
            </w:pPr>
            <w:r w:rsidRPr="00745CDB">
              <w:rPr>
                <w:rStyle w:val="Pogrubienie"/>
              </w:rPr>
              <w:t>Zakłady pracy - pozostałe sektory</w:t>
            </w:r>
          </w:p>
        </w:tc>
        <w:tc>
          <w:tcPr>
            <w:tcW w:w="1559" w:type="dxa"/>
          </w:tcPr>
          <w:p w14:paraId="3C562A25" w14:textId="77777777" w:rsidR="00400B4E" w:rsidRPr="00484D9F"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rsidRPr="00484D9F">
              <w:rPr>
                <w:rFonts w:cs="Arial"/>
              </w:rPr>
              <w:t>19%</w:t>
            </w:r>
          </w:p>
        </w:tc>
        <w:tc>
          <w:tcPr>
            <w:tcW w:w="1418" w:type="dxa"/>
          </w:tcPr>
          <w:p w14:paraId="509BA4F5" w14:textId="77777777" w:rsidR="00400B4E" w:rsidRPr="009845FA"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rsidRPr="009845FA">
              <w:rPr>
                <w:rFonts w:cs="Arial"/>
              </w:rPr>
              <w:t>13%</w:t>
            </w:r>
          </w:p>
        </w:tc>
      </w:tr>
      <w:tr w:rsidR="00400B4E" w:rsidRPr="003C1288" w14:paraId="5F696C57" w14:textId="77777777" w:rsidTr="00A139DC">
        <w:tc>
          <w:tcPr>
            <w:cnfStyle w:val="001000000000" w:firstRow="0" w:lastRow="0" w:firstColumn="1" w:lastColumn="0" w:oddVBand="0" w:evenVBand="0" w:oddHBand="0" w:evenHBand="0" w:firstRowFirstColumn="0" w:firstRowLastColumn="0" w:lastRowFirstColumn="0" w:lastRowLastColumn="0"/>
            <w:tcW w:w="5949" w:type="dxa"/>
          </w:tcPr>
          <w:p w14:paraId="66BC39CB" w14:textId="77777777" w:rsidR="00400B4E" w:rsidRPr="00745CDB" w:rsidRDefault="00400B4E" w:rsidP="00BA1554">
            <w:pPr>
              <w:ind w:left="0"/>
              <w:contextualSpacing/>
              <w:rPr>
                <w:rStyle w:val="Pogrubienie"/>
              </w:rPr>
            </w:pPr>
            <w:r w:rsidRPr="00745CDB">
              <w:rPr>
                <w:rStyle w:val="Pogrubienie"/>
              </w:rPr>
              <w:t>Średnia</w:t>
            </w:r>
          </w:p>
        </w:tc>
        <w:tc>
          <w:tcPr>
            <w:tcW w:w="1559" w:type="dxa"/>
          </w:tcPr>
          <w:p w14:paraId="5E0209DE" w14:textId="77777777" w:rsidR="00400B4E" w:rsidRPr="009845FA"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rFonts w:cs="Arial"/>
              </w:rPr>
            </w:pPr>
            <w:r w:rsidRPr="009845FA">
              <w:rPr>
                <w:rFonts w:cs="Arial"/>
              </w:rPr>
              <w:t>1</w:t>
            </w:r>
            <w:r>
              <w:rPr>
                <w:rFonts w:cs="Arial"/>
              </w:rPr>
              <w:t>3</w:t>
            </w:r>
            <w:r w:rsidRPr="009845FA">
              <w:rPr>
                <w:rFonts w:cs="Arial"/>
              </w:rPr>
              <w:t>%</w:t>
            </w:r>
          </w:p>
        </w:tc>
        <w:tc>
          <w:tcPr>
            <w:tcW w:w="1418" w:type="dxa"/>
          </w:tcPr>
          <w:p w14:paraId="0F4183C9" w14:textId="77777777" w:rsidR="00400B4E" w:rsidRPr="009845FA" w:rsidRDefault="00400B4E" w:rsidP="00BA155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rFonts w:cs="Arial"/>
              </w:rPr>
            </w:pPr>
            <w:r w:rsidRPr="009845FA">
              <w:rPr>
                <w:rFonts w:cs="Arial"/>
              </w:rPr>
              <w:t>13%</w:t>
            </w:r>
          </w:p>
        </w:tc>
      </w:tr>
    </w:tbl>
    <w:p w14:paraId="6A6E39E4" w14:textId="77777777" w:rsidR="00400B4E" w:rsidRPr="00733091" w:rsidRDefault="00400B4E" w:rsidP="00733091">
      <w:pPr>
        <w:pStyle w:val="podpiselementu"/>
        <w:spacing w:after="240"/>
        <w:rPr>
          <w:lang w:val="pl-PL"/>
        </w:rPr>
      </w:pPr>
      <w:r w:rsidRPr="00733091">
        <w:rPr>
          <w:lang w:val="pl-PL"/>
        </w:rPr>
        <w:t>Źródło: opracowanie własne na podstawie badania Gmin wchodzących w skład Partnerstwa</w:t>
      </w:r>
    </w:p>
    <w:p w14:paraId="4DEBD219" w14:textId="77777777" w:rsidR="00400B4E" w:rsidRPr="00733091" w:rsidRDefault="00400B4E" w:rsidP="00733091">
      <w:pPr>
        <w:contextualSpacing/>
        <w:rPr>
          <w:rFonts w:cstheme="minorHAnsi"/>
          <w:color w:val="44546A" w:themeColor="text2"/>
          <w:sz w:val="18"/>
          <w:szCs w:val="18"/>
          <w:lang w:val="pl-PL"/>
        </w:rPr>
      </w:pPr>
    </w:p>
    <w:p w14:paraId="298546E1" w14:textId="7A38A6D3" w:rsidR="00284D34" w:rsidRPr="00690E7F" w:rsidRDefault="00955E2A" w:rsidP="00733091">
      <w:pPr>
        <w:pStyle w:val="Nagwek1"/>
        <w:spacing w:before="120" w:after="240"/>
        <w:rPr>
          <w:lang w:val="en-US"/>
        </w:rPr>
      </w:pPr>
      <w:bookmarkStart w:id="34" w:name="_Toc69725433"/>
      <w:r w:rsidRPr="00955E2A">
        <w:rPr>
          <w:lang w:val="en-US"/>
        </w:rPr>
        <w:lastRenderedPageBreak/>
        <w:t>PORTRET STATYSTYCZNY OBSZARU PARTNERSTWA</w:t>
      </w:r>
      <w:bookmarkEnd w:id="34"/>
    </w:p>
    <w:p w14:paraId="78FCFF33" w14:textId="037B3C4C" w:rsidR="00284D34" w:rsidRDefault="00955E2A" w:rsidP="00733091">
      <w:pPr>
        <w:pStyle w:val="Nagwek2"/>
        <w:spacing w:before="120"/>
        <w:rPr>
          <w:lang w:val="pl-PL"/>
        </w:rPr>
      </w:pPr>
      <w:bookmarkStart w:id="35" w:name="_Toc69725434"/>
      <w:r w:rsidRPr="00955E2A">
        <w:rPr>
          <w:lang w:val="pl-PL"/>
        </w:rPr>
        <w:t>Analiza ogólna obszaru Partnerstwa</w:t>
      </w:r>
      <w:bookmarkEnd w:id="35"/>
    </w:p>
    <w:p w14:paraId="71944F69" w14:textId="7AA1F384" w:rsidR="00337026" w:rsidRPr="00733091" w:rsidRDefault="00337026" w:rsidP="00733091">
      <w:pPr>
        <w:rPr>
          <w:color w:val="000000" w:themeColor="text1"/>
          <w:lang w:val="pl-PL"/>
        </w:rPr>
      </w:pPr>
      <w:r w:rsidRPr="00733091">
        <w:rPr>
          <w:lang w:val="pl-PL"/>
        </w:rPr>
        <w:t xml:space="preserve">Ogólny poziom rozwoju Południowych Mazur obrazujący sytuację rozwojową Partnerstwa w trzech wymiarach warunkujących zrównoważony rozwój: społecznym, gospodarczym i środowiskowo-przestrzennym jest </w:t>
      </w:r>
      <w:r w:rsidRPr="00733091">
        <w:rPr>
          <w:b/>
          <w:bCs/>
          <w:lang w:val="pl-PL"/>
        </w:rPr>
        <w:t>stosunkowo niski</w:t>
      </w:r>
      <w:r w:rsidRPr="00733091">
        <w:rPr>
          <w:lang w:val="pl-PL"/>
        </w:rPr>
        <w:t xml:space="preserve"> (mapa poniżej) na tle grupy porównawczej</w:t>
      </w:r>
      <w:r>
        <w:rPr>
          <w:rStyle w:val="Odwoanieprzypisudolnego"/>
        </w:rPr>
        <w:footnoteReference w:id="29"/>
      </w:r>
      <w:r w:rsidRPr="00733091">
        <w:rPr>
          <w:lang w:val="pl-PL"/>
        </w:rPr>
        <w:t xml:space="preserve">. Partnerstwo w latach 2015-2019 cechowało się </w:t>
      </w:r>
      <w:r w:rsidRPr="00733091">
        <w:rPr>
          <w:b/>
          <w:bCs/>
          <w:lang w:val="pl-PL"/>
        </w:rPr>
        <w:t>ujemnym wskaźnikiem rozwoju</w:t>
      </w:r>
      <w:r>
        <w:rPr>
          <w:rStyle w:val="Odwoanieprzypisudolnego"/>
          <w:b/>
          <w:bCs/>
        </w:rPr>
        <w:footnoteReference w:id="30"/>
      </w:r>
      <w:r w:rsidRPr="00733091">
        <w:rPr>
          <w:lang w:val="pl-PL"/>
        </w:rPr>
        <w:t xml:space="preserve">. Dynamika </w:t>
      </w:r>
      <w:r w:rsidRPr="00733091">
        <w:rPr>
          <w:color w:val="000000" w:themeColor="text1"/>
          <w:lang w:val="pl-PL"/>
        </w:rPr>
        <w:t xml:space="preserve">wzrostu wskaźnika charakteryzowała się wartością dodatnią, co oznacza, że </w:t>
      </w:r>
      <w:r w:rsidRPr="00733091">
        <w:rPr>
          <w:b/>
          <w:bCs/>
          <w:color w:val="000000" w:themeColor="text1"/>
          <w:lang w:val="pl-PL"/>
        </w:rPr>
        <w:t>sytuacja rozwojowa Partnerstwa uległa w badanym okresie nieznacznej poprawie.</w:t>
      </w:r>
    </w:p>
    <w:p w14:paraId="0FCA786E" w14:textId="5E907BC9" w:rsidR="0051246A" w:rsidRPr="00733091" w:rsidRDefault="0051246A" w:rsidP="002E24A9">
      <w:pPr>
        <w:pStyle w:val="Legenda"/>
        <w:rPr>
          <w:lang w:val="pl-PL"/>
        </w:rPr>
      </w:pPr>
      <w:bookmarkStart w:id="36" w:name="_Toc69596605"/>
      <w:r w:rsidRPr="00733091">
        <w:rPr>
          <w:lang w:val="pl-PL"/>
        </w:rPr>
        <w:t xml:space="preserve">Mapa </w:t>
      </w:r>
      <w:r w:rsidR="00733091">
        <w:fldChar w:fldCharType="begin"/>
      </w:r>
      <w:r w:rsidR="00733091" w:rsidRPr="00733091">
        <w:rPr>
          <w:lang w:val="pl-PL"/>
        </w:rPr>
        <w:instrText xml:space="preserve"> SEQ Mapa \* ARABIC </w:instrText>
      </w:r>
      <w:r w:rsidR="00733091">
        <w:fldChar w:fldCharType="separate"/>
      </w:r>
      <w:r w:rsidR="00B14787">
        <w:rPr>
          <w:noProof/>
          <w:lang w:val="pl-PL"/>
        </w:rPr>
        <w:t>5</w:t>
      </w:r>
      <w:r w:rsidR="00733091">
        <w:rPr>
          <w:noProof/>
        </w:rPr>
        <w:fldChar w:fldCharType="end"/>
      </w:r>
      <w:r w:rsidRPr="00733091">
        <w:rPr>
          <w:lang w:val="pl-PL"/>
        </w:rPr>
        <w:t>: Ogólny wskaźnik rozwoju Partnerstwa Południowe Mazury</w:t>
      </w:r>
      <w:bookmarkEnd w:id="36"/>
    </w:p>
    <w:p w14:paraId="18A134F6" w14:textId="3D13DCE2" w:rsidR="00337026" w:rsidRPr="00733091" w:rsidRDefault="00337026" w:rsidP="001C373F">
      <w:pPr>
        <w:pStyle w:val="podpiselementu"/>
        <w:spacing w:after="240"/>
        <w:rPr>
          <w:lang w:val="pl-PL"/>
        </w:rPr>
      </w:pPr>
      <w:r>
        <w:rPr>
          <w:noProof/>
        </w:rPr>
        <w:drawing>
          <wp:inline distT="0" distB="0" distL="0" distR="0" wp14:anchorId="4317C4CE" wp14:editId="4B87D02B">
            <wp:extent cx="3470910" cy="2950236"/>
            <wp:effectExtent l="19050" t="19050" r="15240" b="21590"/>
            <wp:docPr id="15" name="Obraz 15" descr="mapa Polski pokazująca ogólny wskaźnik rozwoju Partnerstwa. Czarnym konturem zaznaczony jest obszar Partnerstwa. Kolor pomarańczowy oznacza ujemny ogólny wskaźnik rozwoju Partnerst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braz 15" descr="mapa Polski pokazująca ogólny wskaźnik rozwoju Partnerstwa. Czarnym konturem zaznaczony jest obszar Partnerstwa. Kolor pomarańczowy oznacza ujemny ogólny wskaźnik rozwoju Partnerstwa"/>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653712" cy="3105615"/>
                    </a:xfrm>
                    <a:prstGeom prst="rect">
                      <a:avLst/>
                    </a:prstGeom>
                    <a:noFill/>
                    <a:ln>
                      <a:solidFill>
                        <a:schemeClr val="tx2"/>
                      </a:solidFill>
                    </a:ln>
                  </pic:spPr>
                </pic:pic>
              </a:graphicData>
            </a:graphic>
          </wp:inline>
        </w:drawing>
      </w:r>
      <w:r w:rsidRPr="00733091">
        <w:rPr>
          <w:lang w:val="pl-PL"/>
        </w:rPr>
        <w:t xml:space="preserve">: </w:t>
      </w:r>
      <w:r w:rsidRPr="00733091">
        <w:rPr>
          <w:lang w:val="pl-PL"/>
        </w:rPr>
        <w:br/>
        <w:t xml:space="preserve">Źródło: opracowanie ZMP na podstawie </w:t>
      </w:r>
      <w:r w:rsidRPr="00733091">
        <w:rPr>
          <w:u w:val="single"/>
          <w:lang w:val="pl-PL"/>
        </w:rPr>
        <w:t>https//partnerstwa.monitorozwoju.pl</w:t>
      </w:r>
      <w:r w:rsidRPr="00733091">
        <w:rPr>
          <w:lang w:val="pl-PL"/>
        </w:rPr>
        <w:br/>
      </w:r>
      <w:r w:rsidRPr="00733091">
        <w:rPr>
          <w:rFonts w:cstheme="minorHAnsi"/>
          <w:shd w:val="clear" w:color="auto" w:fill="FFFFFF"/>
          <w:lang w:val="pl-PL"/>
        </w:rPr>
        <w:lastRenderedPageBreak/>
        <w:br/>
      </w:r>
      <w:r w:rsidRPr="001C373F">
        <w:rPr>
          <w:rFonts w:asciiTheme="minorHAnsi" w:hAnsiTheme="minorHAnsi" w:cstheme="minorHAnsi"/>
          <w:lang w:val="pl-PL"/>
        </w:rPr>
        <w:t xml:space="preserve">Zmiany ogólnego wskaźnika rozwoju Partnerstwa w </w:t>
      </w:r>
      <w:r w:rsidR="00CC4485">
        <w:rPr>
          <w:rFonts w:asciiTheme="minorHAnsi" w:hAnsiTheme="minorHAnsi" w:cstheme="minorHAnsi"/>
          <w:lang w:val="pl-PL"/>
        </w:rPr>
        <w:t>latach 2015-2019</w:t>
      </w:r>
      <w:r w:rsidRPr="001C373F">
        <w:rPr>
          <w:rFonts w:asciiTheme="minorHAnsi" w:hAnsiTheme="minorHAnsi" w:cstheme="minorHAnsi"/>
          <w:lang w:val="pl-PL"/>
        </w:rPr>
        <w:t xml:space="preserve"> prezentuje poniższy wykres.</w:t>
      </w:r>
    </w:p>
    <w:p w14:paraId="3C6D445A" w14:textId="395D7CDA" w:rsidR="00F91E78" w:rsidRDefault="007D776B" w:rsidP="002E24A9">
      <w:pPr>
        <w:pStyle w:val="Legenda"/>
        <w:rPr>
          <w:lang w:val="pl-PL"/>
        </w:rPr>
      </w:pPr>
      <w:bookmarkStart w:id="37" w:name="_Toc69723165"/>
      <w:r w:rsidRPr="00733091">
        <w:rPr>
          <w:lang w:val="pl-PL"/>
        </w:rPr>
        <w:t xml:space="preserve">Wykres </w:t>
      </w:r>
      <w:r w:rsidR="00733091">
        <w:fldChar w:fldCharType="begin"/>
      </w:r>
      <w:r w:rsidR="00733091" w:rsidRPr="00733091">
        <w:rPr>
          <w:lang w:val="pl-PL"/>
        </w:rPr>
        <w:instrText xml:space="preserve"> SEQ Wykres \* ARABIC </w:instrText>
      </w:r>
      <w:r w:rsidR="00733091">
        <w:fldChar w:fldCharType="separate"/>
      </w:r>
      <w:r w:rsidR="00B14787">
        <w:rPr>
          <w:noProof/>
          <w:lang w:val="pl-PL"/>
        </w:rPr>
        <w:t>7</w:t>
      </w:r>
      <w:r w:rsidR="00733091">
        <w:rPr>
          <w:noProof/>
        </w:rPr>
        <w:fldChar w:fldCharType="end"/>
      </w:r>
      <w:r w:rsidRPr="00733091">
        <w:rPr>
          <w:lang w:val="pl-PL"/>
        </w:rPr>
        <w:t xml:space="preserve">: </w:t>
      </w:r>
      <w:r w:rsidR="00337026" w:rsidRPr="00733091">
        <w:rPr>
          <w:lang w:val="pl-PL"/>
        </w:rPr>
        <w:t>Ogólny wskaźnik rozwoju Partnerstwa</w:t>
      </w:r>
      <w:bookmarkEnd w:id="37"/>
      <w:r w:rsidR="00CC4485">
        <w:rPr>
          <w:lang w:val="pl-PL"/>
        </w:rPr>
        <w:t xml:space="preserve"> </w:t>
      </w:r>
    </w:p>
    <w:p w14:paraId="7DAF7233" w14:textId="70353CD2" w:rsidR="00337026" w:rsidRPr="00F91E78" w:rsidRDefault="00F91E78" w:rsidP="00F91E78">
      <w:pPr>
        <w:ind w:left="0"/>
        <w:rPr>
          <w:rStyle w:val="podpiselementuZnak"/>
          <w:rFonts w:asciiTheme="minorHAnsi" w:hAnsiTheme="minorHAnsi"/>
          <w:noProof w:val="0"/>
          <w:lang w:val="pl-PL"/>
        </w:rPr>
      </w:pPr>
      <w:r>
        <w:rPr>
          <w:noProof/>
        </w:rPr>
        <w:drawing>
          <wp:inline distT="0" distB="0" distL="0" distR="0" wp14:anchorId="4C43CB37" wp14:editId="6352DBB6">
            <wp:extent cx="5711190" cy="3105150"/>
            <wp:effectExtent l="19050" t="19050" r="22860" b="19050"/>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a:extLst>
                        <a:ext uri="{BEBA8EAE-BF5A-486C-A8C5-ECC9F3942E4B}">
                          <a14:imgProps xmlns:a14="http://schemas.microsoft.com/office/drawing/2010/main">
                            <a14:imgLayer r:embed="rId47">
                              <a14:imgEffect>
                                <a14:saturation sat="33000"/>
                              </a14:imgEffect>
                            </a14:imgLayer>
                          </a14:imgProps>
                        </a:ext>
                        <a:ext uri="{28A0092B-C50C-407E-A947-70E740481C1C}">
                          <a14:useLocalDpi xmlns:a14="http://schemas.microsoft.com/office/drawing/2010/main" val="0"/>
                        </a:ext>
                      </a:extLst>
                    </a:blip>
                    <a:srcRect/>
                    <a:stretch>
                      <a:fillRect/>
                    </a:stretch>
                  </pic:blipFill>
                  <pic:spPr bwMode="auto">
                    <a:xfrm>
                      <a:off x="0" y="0"/>
                      <a:ext cx="5711190" cy="3105150"/>
                    </a:xfrm>
                    <a:prstGeom prst="rect">
                      <a:avLst/>
                    </a:prstGeom>
                    <a:noFill/>
                    <a:ln>
                      <a:solidFill>
                        <a:schemeClr val="tx2"/>
                      </a:solidFill>
                    </a:ln>
                  </pic:spPr>
                </pic:pic>
              </a:graphicData>
            </a:graphic>
          </wp:inline>
        </w:drawing>
      </w:r>
      <w:r w:rsidR="00337026" w:rsidRPr="00733091">
        <w:rPr>
          <w:rStyle w:val="podpiselementuZnak"/>
          <w:lang w:val="pl-PL"/>
        </w:rPr>
        <w:t>Źródło: https//partnerstwa.monitorozwoju.pl</w:t>
      </w:r>
    </w:p>
    <w:p w14:paraId="4258D6CE" w14:textId="77777777" w:rsidR="00337026" w:rsidRPr="00733091" w:rsidRDefault="00337026" w:rsidP="00733091">
      <w:pPr>
        <w:rPr>
          <w:lang w:val="pl-PL"/>
        </w:rPr>
      </w:pPr>
      <w:r w:rsidRPr="00733091">
        <w:rPr>
          <w:lang w:val="pl-PL"/>
        </w:rPr>
        <w:t>Negatywny wpływ na rozwój Partnerstwa miały pogarszające się od 2015 r.: potencjał lokalnej gospodarki, sytuacja na rynku pracy i będąca konsekwencją tych zmian sytuacja materialna mieszkańców, a także znaczny spadek poziomu bezpieczeństwa mieszkańców.</w:t>
      </w:r>
    </w:p>
    <w:p w14:paraId="06A2ED35" w14:textId="0AE87D00" w:rsidR="00462BEC" w:rsidRDefault="00337026" w:rsidP="00462BEC">
      <w:pPr>
        <w:rPr>
          <w:lang w:val="pl-PL"/>
        </w:rPr>
      </w:pPr>
      <w:r w:rsidRPr="00733091">
        <w:rPr>
          <w:lang w:val="pl-PL"/>
        </w:rPr>
        <w:t>Pogarszająca się sytuacja we wskazanych wyżej obszarach była równoważona poprawą dostępności i jakości usług, infrastruktury oraz zasobów mieszkaniowych, a także wyższym niż w 2015 r. (choć nadal niewystarczającym) poziomem dostępności komunikacyjnej i poprawą jakości lokalnego środowiska przyrodniczego.</w:t>
      </w:r>
    </w:p>
    <w:p w14:paraId="7DFB5B39" w14:textId="0FF9E9E7" w:rsidR="00337026" w:rsidRPr="00733091" w:rsidRDefault="00337026" w:rsidP="00462BEC">
      <w:pPr>
        <w:rPr>
          <w:lang w:val="pl-PL"/>
        </w:rPr>
      </w:pPr>
      <w:r w:rsidRPr="00733091">
        <w:rPr>
          <w:lang w:val="pl-PL"/>
        </w:rPr>
        <w:t>Dynamikę zmian w poszczególnych obszarach wpływających na rozwój Partnerstwa w wymiarach społecznym, gospodarczym i środowiskowo-przestrzennym prezentuje poniższy wykres, a pogłębioną analizę Partnerstwa w ww. wymiarach – odpowiednio - rozdziały 2.2., 2.3 i 2.4</w:t>
      </w:r>
      <w:r w:rsidR="00F91E78">
        <w:rPr>
          <w:lang w:val="pl-PL"/>
        </w:rPr>
        <w:t xml:space="preserve"> niniejszego opracowania</w:t>
      </w:r>
      <w:r w:rsidRPr="00733091">
        <w:rPr>
          <w:lang w:val="pl-PL"/>
        </w:rPr>
        <w:t>.</w:t>
      </w:r>
    </w:p>
    <w:p w14:paraId="2EE7A73F" w14:textId="77777777" w:rsidR="00337026" w:rsidRPr="00733091" w:rsidRDefault="00337026" w:rsidP="00733091">
      <w:pPr>
        <w:contextualSpacing/>
        <w:rPr>
          <w:lang w:val="pl-PL"/>
        </w:rPr>
      </w:pPr>
    </w:p>
    <w:p w14:paraId="638018FF" w14:textId="2CBE4C9D" w:rsidR="00F91E78" w:rsidRPr="00F91E78" w:rsidRDefault="007D776B" w:rsidP="002E24A9">
      <w:pPr>
        <w:pStyle w:val="Legenda"/>
        <w:rPr>
          <w:lang w:val="pl-PL"/>
        </w:rPr>
      </w:pPr>
      <w:bookmarkStart w:id="38" w:name="_Toc69723166"/>
      <w:r w:rsidRPr="00733091">
        <w:rPr>
          <w:lang w:val="pl-PL"/>
        </w:rPr>
        <w:lastRenderedPageBreak/>
        <w:t xml:space="preserve">Wykres </w:t>
      </w:r>
      <w:r w:rsidR="00733091">
        <w:fldChar w:fldCharType="begin"/>
      </w:r>
      <w:r w:rsidR="00733091" w:rsidRPr="00733091">
        <w:rPr>
          <w:lang w:val="pl-PL"/>
        </w:rPr>
        <w:instrText xml:space="preserve"> SEQ Wykres \* ARABIC </w:instrText>
      </w:r>
      <w:r w:rsidR="00733091">
        <w:fldChar w:fldCharType="separate"/>
      </w:r>
      <w:r w:rsidR="00B14787">
        <w:rPr>
          <w:noProof/>
          <w:lang w:val="pl-PL"/>
        </w:rPr>
        <w:t>8</w:t>
      </w:r>
      <w:r w:rsidR="00733091">
        <w:rPr>
          <w:noProof/>
        </w:rPr>
        <w:fldChar w:fldCharType="end"/>
      </w:r>
      <w:r w:rsidRPr="00733091">
        <w:rPr>
          <w:lang w:val="pl-PL"/>
        </w:rPr>
        <w:t xml:space="preserve">: </w:t>
      </w:r>
      <w:r w:rsidR="00CC4485">
        <w:rPr>
          <w:lang w:val="pl-PL"/>
        </w:rPr>
        <w:t>Dynamika zmian w latach 2015-2019 w obszarach wpływających na rozwój Partnerstwa</w:t>
      </w:r>
      <w:bookmarkEnd w:id="38"/>
    </w:p>
    <w:p w14:paraId="10D47404" w14:textId="2A412BD4" w:rsidR="007303BC" w:rsidRDefault="00F91E78" w:rsidP="00733091">
      <w:pPr>
        <w:ind w:left="0"/>
        <w:rPr>
          <w:rStyle w:val="podpiselementuZnak"/>
          <w:lang w:val="pl-PL"/>
        </w:rPr>
      </w:pPr>
      <w:r>
        <w:rPr>
          <w:noProof/>
        </w:rPr>
        <w:drawing>
          <wp:inline distT="0" distB="0" distL="0" distR="0" wp14:anchorId="7779695A" wp14:editId="5C970FAC">
            <wp:extent cx="5759450" cy="1908810"/>
            <wp:effectExtent l="19050" t="19050" r="12700" b="15240"/>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59450" cy="1908810"/>
                    </a:xfrm>
                    <a:prstGeom prst="rect">
                      <a:avLst/>
                    </a:prstGeom>
                    <a:noFill/>
                    <a:ln>
                      <a:solidFill>
                        <a:schemeClr val="tx2"/>
                      </a:solidFill>
                    </a:ln>
                  </pic:spPr>
                </pic:pic>
              </a:graphicData>
            </a:graphic>
          </wp:inline>
        </w:drawing>
      </w:r>
      <w:r w:rsidR="00337026" w:rsidRPr="00733091">
        <w:rPr>
          <w:rStyle w:val="podpiselementuZnak"/>
          <w:lang w:val="pl-PL"/>
        </w:rPr>
        <w:t>Źródło: https//partnerstwa.monitorozwoju.pl</w:t>
      </w:r>
    </w:p>
    <w:p w14:paraId="213B1E89" w14:textId="740F4249" w:rsidR="00F91E78" w:rsidRDefault="00F91E78" w:rsidP="00733091">
      <w:pPr>
        <w:ind w:left="0"/>
        <w:rPr>
          <w:rStyle w:val="podpiselementuZnak"/>
          <w:lang w:val="pl-PL"/>
        </w:rPr>
      </w:pPr>
    </w:p>
    <w:p w14:paraId="086EE688" w14:textId="7FC837BF" w:rsidR="00F91E78" w:rsidRDefault="00F91E78" w:rsidP="00733091">
      <w:pPr>
        <w:ind w:left="0"/>
        <w:rPr>
          <w:rStyle w:val="podpiselementuZnak"/>
          <w:lang w:val="pl-PL"/>
        </w:rPr>
      </w:pPr>
    </w:p>
    <w:p w14:paraId="3F0F9259" w14:textId="44322C23" w:rsidR="00F91E78" w:rsidRDefault="00F91E78" w:rsidP="00733091">
      <w:pPr>
        <w:ind w:left="0"/>
        <w:rPr>
          <w:rStyle w:val="podpiselementuZnak"/>
          <w:lang w:val="pl-PL"/>
        </w:rPr>
      </w:pPr>
    </w:p>
    <w:p w14:paraId="53D40A96" w14:textId="0BC4E769" w:rsidR="00F91E78" w:rsidRDefault="00F91E78" w:rsidP="00733091">
      <w:pPr>
        <w:ind w:left="0"/>
        <w:rPr>
          <w:rStyle w:val="podpiselementuZnak"/>
          <w:lang w:val="pl-PL"/>
        </w:rPr>
      </w:pPr>
    </w:p>
    <w:p w14:paraId="1BEE548E" w14:textId="3288D848" w:rsidR="00F91E78" w:rsidRDefault="00F91E78" w:rsidP="00733091">
      <w:pPr>
        <w:ind w:left="0"/>
        <w:rPr>
          <w:rStyle w:val="podpiselementuZnak"/>
          <w:lang w:val="pl-PL"/>
        </w:rPr>
      </w:pPr>
    </w:p>
    <w:p w14:paraId="46DE1E9E" w14:textId="38FEF6AE" w:rsidR="00F91E78" w:rsidRDefault="00F91E78" w:rsidP="00733091">
      <w:pPr>
        <w:ind w:left="0"/>
        <w:rPr>
          <w:rStyle w:val="podpiselementuZnak"/>
          <w:lang w:val="pl-PL"/>
        </w:rPr>
      </w:pPr>
    </w:p>
    <w:p w14:paraId="284A34CC" w14:textId="4E70CEA2" w:rsidR="00F91E78" w:rsidRDefault="00F91E78" w:rsidP="00733091">
      <w:pPr>
        <w:ind w:left="0"/>
        <w:rPr>
          <w:rStyle w:val="podpiselementuZnak"/>
          <w:lang w:val="pl-PL"/>
        </w:rPr>
      </w:pPr>
    </w:p>
    <w:p w14:paraId="58B3F2B8" w14:textId="1B81BA50" w:rsidR="00F91E78" w:rsidRDefault="00F91E78" w:rsidP="00733091">
      <w:pPr>
        <w:ind w:left="0"/>
        <w:rPr>
          <w:rStyle w:val="podpiselementuZnak"/>
          <w:lang w:val="pl-PL"/>
        </w:rPr>
      </w:pPr>
    </w:p>
    <w:p w14:paraId="5AD555A5" w14:textId="51153C00" w:rsidR="00F91E78" w:rsidRDefault="00F91E78" w:rsidP="00733091">
      <w:pPr>
        <w:ind w:left="0"/>
        <w:rPr>
          <w:rStyle w:val="podpiselementuZnak"/>
          <w:lang w:val="pl-PL"/>
        </w:rPr>
      </w:pPr>
    </w:p>
    <w:p w14:paraId="36ABAE75" w14:textId="4094781E" w:rsidR="00F91E78" w:rsidRDefault="00F91E78" w:rsidP="00733091">
      <w:pPr>
        <w:ind w:left="0"/>
        <w:rPr>
          <w:rStyle w:val="podpiselementuZnak"/>
          <w:lang w:val="pl-PL"/>
        </w:rPr>
      </w:pPr>
    </w:p>
    <w:p w14:paraId="1AD0F3BD" w14:textId="64091F66" w:rsidR="00F91E78" w:rsidRDefault="00F91E78" w:rsidP="00733091">
      <w:pPr>
        <w:ind w:left="0"/>
        <w:rPr>
          <w:rStyle w:val="podpiselementuZnak"/>
          <w:lang w:val="pl-PL"/>
        </w:rPr>
      </w:pPr>
    </w:p>
    <w:p w14:paraId="4D068AC2" w14:textId="655144D5" w:rsidR="00F91E78" w:rsidRDefault="00F91E78" w:rsidP="00733091">
      <w:pPr>
        <w:ind w:left="0"/>
        <w:rPr>
          <w:rStyle w:val="podpiselementuZnak"/>
          <w:lang w:val="pl-PL"/>
        </w:rPr>
      </w:pPr>
    </w:p>
    <w:p w14:paraId="79CA8B33" w14:textId="068E4A1A" w:rsidR="00F91E78" w:rsidRDefault="00F91E78" w:rsidP="00733091">
      <w:pPr>
        <w:ind w:left="0"/>
        <w:rPr>
          <w:rStyle w:val="podpiselementuZnak"/>
          <w:lang w:val="pl-PL"/>
        </w:rPr>
      </w:pPr>
    </w:p>
    <w:p w14:paraId="1BBD89C2" w14:textId="56730A5B" w:rsidR="00F91E78" w:rsidRDefault="00F91E78" w:rsidP="00733091">
      <w:pPr>
        <w:ind w:left="0"/>
        <w:rPr>
          <w:rStyle w:val="podpiselementuZnak"/>
          <w:lang w:val="pl-PL"/>
        </w:rPr>
      </w:pPr>
    </w:p>
    <w:p w14:paraId="1661306F" w14:textId="6989D58A" w:rsidR="00F91E78" w:rsidRDefault="00F91E78" w:rsidP="00733091">
      <w:pPr>
        <w:ind w:left="0"/>
        <w:rPr>
          <w:rStyle w:val="podpiselementuZnak"/>
          <w:lang w:val="pl-PL"/>
        </w:rPr>
      </w:pPr>
    </w:p>
    <w:p w14:paraId="67D1EEF7" w14:textId="77777777" w:rsidR="00F91E78" w:rsidRPr="00F91E78" w:rsidRDefault="00F91E78" w:rsidP="00733091">
      <w:pPr>
        <w:ind w:left="0"/>
        <w:rPr>
          <w:noProof/>
          <w:lang w:val="pl-PL"/>
        </w:rPr>
      </w:pPr>
    </w:p>
    <w:p w14:paraId="09356AB4" w14:textId="66527404" w:rsidR="00284D34" w:rsidRDefault="00955E2A" w:rsidP="00733091">
      <w:pPr>
        <w:pStyle w:val="Nagwek2"/>
        <w:spacing w:before="120"/>
        <w:rPr>
          <w:lang w:val="pl-PL"/>
        </w:rPr>
      </w:pPr>
      <w:bookmarkStart w:id="39" w:name="_Toc69725435"/>
      <w:r w:rsidRPr="00955E2A">
        <w:rPr>
          <w:lang w:val="pl-PL"/>
        </w:rPr>
        <w:lastRenderedPageBreak/>
        <w:t>Analiza pogłębiona obszaru Partnerstwa - wymiar społeczny</w:t>
      </w:r>
      <w:bookmarkEnd w:id="39"/>
    </w:p>
    <w:p w14:paraId="24EED255" w14:textId="0741F88C" w:rsidR="005366B1" w:rsidRPr="00733091" w:rsidRDefault="005366B1" w:rsidP="00462BEC">
      <w:pPr>
        <w:rPr>
          <w:rFonts w:eastAsia="Times New Roman"/>
          <w:lang w:val="pl-PL" w:eastAsia="pl-PL"/>
        </w:rPr>
      </w:pPr>
      <w:bookmarkStart w:id="40" w:name="_Hlk63355379"/>
      <w:r w:rsidRPr="00733091">
        <w:rPr>
          <w:lang w:val="pl-PL"/>
        </w:rPr>
        <w:t>Diagnoza w wymiarze społecznym dotyczy jednego z kluczowych zasobów - zasobu ludzkiego oraz czynników warunkujących jego prawidłowy rozwój i funkcjonowanie. Liczba mieszkańców określonego terytorium i jej zmiany są podstawą dla szacowania aktualnego i prognozowania przyszłego popytu na usługi, infrastrukturę techniczną, nieruchomości mieszkaniowe i komercyjne, miejsca pracy. Sytuacja demograficzna wyznacza potencjalny zasób siły roboczej, a w konsekwencji zdolność do generowania podatków.</w:t>
      </w:r>
      <w:r w:rsidRPr="00733091">
        <w:rPr>
          <w:rFonts w:eastAsia="Times New Roman"/>
          <w:lang w:val="pl-PL" w:eastAsia="pl-PL"/>
        </w:rPr>
        <w:t xml:space="preserve"> Różnorodność, dostępność i jakość usług (nie tylko publicznych) oraz infrastruktury ma kluczowe znaczenie dla warunków życia mieszkańców, wpływając na atrakcyjność obszaru oraz zatrzymanie</w:t>
      </w:r>
      <w:r w:rsidR="004A4ED7">
        <w:rPr>
          <w:rFonts w:eastAsia="Times New Roman"/>
          <w:lang w:val="pl-PL" w:eastAsia="pl-PL"/>
        </w:rPr>
        <w:t xml:space="preserve"> </w:t>
      </w:r>
      <w:r w:rsidRPr="00733091">
        <w:rPr>
          <w:rFonts w:eastAsia="Times New Roman"/>
          <w:lang w:val="pl-PL" w:eastAsia="pl-PL"/>
        </w:rPr>
        <w:t>dotychczasowych (szczególnie młodych) i pozyskanie nowych mieszkańców. Istotnymi czynnikami w procesie podejmowania decyzji osiedleńczych (oprócz jakości usług i atrakcyjności terenu do zamieszkania) są także: poziom bezpieczeństwa (w tym zdrowotnego) mieszkańców oraz warunki dla budowania wspólnoty lokalnej i integracji społecznej</w:t>
      </w:r>
      <w:r w:rsidRPr="00F45D79">
        <w:rPr>
          <w:rStyle w:val="Odwoanieprzypisudolnego"/>
          <w:rFonts w:eastAsia="Times New Roman" w:cstheme="minorHAnsi"/>
          <w:lang w:eastAsia="pl-PL"/>
        </w:rPr>
        <w:footnoteReference w:id="31"/>
      </w:r>
      <w:r w:rsidRPr="00733091">
        <w:rPr>
          <w:rFonts w:eastAsia="Times New Roman"/>
          <w:lang w:val="pl-PL" w:eastAsia="pl-PL"/>
        </w:rPr>
        <w:t>.</w:t>
      </w:r>
      <w:bookmarkEnd w:id="40"/>
    </w:p>
    <w:p w14:paraId="7907DB66" w14:textId="6642931C" w:rsidR="005366B1" w:rsidRPr="00733091" w:rsidRDefault="005366B1" w:rsidP="00733091">
      <w:pPr>
        <w:rPr>
          <w:rFonts w:eastAsia="Times New Roman"/>
          <w:lang w:val="pl-PL" w:eastAsia="pl-PL"/>
        </w:rPr>
      </w:pPr>
      <w:r w:rsidRPr="00733091">
        <w:rPr>
          <w:rFonts w:eastAsia="Times New Roman"/>
          <w:lang w:val="pl-PL" w:eastAsia="pl-PL"/>
        </w:rPr>
        <w:t xml:space="preserve">Diagnoza obszaru Południowe Mazury w wymiarze społecznym obejmuje </w:t>
      </w:r>
      <w:r w:rsidR="004A4ED7">
        <w:rPr>
          <w:rFonts w:eastAsia="Times New Roman"/>
          <w:lang w:val="pl-PL" w:eastAsia="pl-PL"/>
        </w:rPr>
        <w:t>pięć</w:t>
      </w:r>
      <w:r w:rsidRPr="00733091">
        <w:rPr>
          <w:rFonts w:eastAsia="Times New Roman"/>
          <w:lang w:val="pl-PL" w:eastAsia="pl-PL"/>
        </w:rPr>
        <w:t xml:space="preserve"> obszarów: sytuację demograficzną, dostępność i jakość usług i infrastruktury, dostępność i jakość zasobów mieszkaniowych, bezpieczeństwo mieszkańców oraz zasoby instytucjonalne, integrację i kapitał społeczny, wpływających na ogólną sytuację rozwojową Partnerstwa w tym wymiarze (schemat poniżej).</w:t>
      </w:r>
    </w:p>
    <w:p w14:paraId="3D78C4B4" w14:textId="0EF852C3" w:rsidR="005366B1" w:rsidRPr="00733091" w:rsidRDefault="005366B1" w:rsidP="002E24A9">
      <w:pPr>
        <w:pStyle w:val="Legenda"/>
        <w:rPr>
          <w:rFonts w:eastAsia="Times New Roman" w:cstheme="minorHAnsi"/>
          <w:color w:val="333333"/>
          <w:lang w:val="pl-PL" w:eastAsia="pl-PL"/>
        </w:rPr>
      </w:pPr>
      <w:bookmarkStart w:id="41" w:name="_Toc67904483"/>
      <w:bookmarkStart w:id="42" w:name="_Toc67909156"/>
      <w:bookmarkStart w:id="43" w:name="_Toc68113512"/>
      <w:r w:rsidRPr="00733091">
        <w:rPr>
          <w:lang w:val="pl-PL"/>
        </w:rPr>
        <w:t xml:space="preserve">Rysunek </w:t>
      </w:r>
      <w:r w:rsidR="00733091">
        <w:fldChar w:fldCharType="begin"/>
      </w:r>
      <w:r w:rsidR="00733091" w:rsidRPr="00733091">
        <w:rPr>
          <w:lang w:val="pl-PL"/>
        </w:rPr>
        <w:instrText xml:space="preserve"> SEQ Rysunek \* ARABIC </w:instrText>
      </w:r>
      <w:r w:rsidR="00733091">
        <w:fldChar w:fldCharType="separate"/>
      </w:r>
      <w:r w:rsidR="00B14787">
        <w:rPr>
          <w:noProof/>
          <w:lang w:val="pl-PL"/>
        </w:rPr>
        <w:t>4</w:t>
      </w:r>
      <w:r w:rsidR="00733091">
        <w:rPr>
          <w:noProof/>
        </w:rPr>
        <w:fldChar w:fldCharType="end"/>
      </w:r>
      <w:r w:rsidRPr="00733091">
        <w:rPr>
          <w:lang w:val="pl-PL"/>
        </w:rPr>
        <w:t>: Wymiar społeczny diagnozy Południowych Mazur</w:t>
      </w:r>
      <w:bookmarkEnd w:id="41"/>
      <w:bookmarkEnd w:id="42"/>
      <w:bookmarkEnd w:id="43"/>
    </w:p>
    <w:p w14:paraId="5D1EEF8D" w14:textId="77777777" w:rsidR="005366B1" w:rsidRDefault="005366B1" w:rsidP="00733091">
      <w:pPr>
        <w:pStyle w:val="podpiselementu"/>
        <w:spacing w:after="240"/>
        <w:rPr>
          <w:lang w:eastAsia="pl-PL"/>
        </w:rPr>
      </w:pPr>
      <w:r>
        <w:rPr>
          <w:noProof/>
          <w:lang w:eastAsia="pl-PL"/>
        </w:rPr>
        <mc:AlternateContent>
          <mc:Choice Requires="wps">
            <w:drawing>
              <wp:anchor distT="0" distB="0" distL="114300" distR="114300" simplePos="0" relativeHeight="251658251" behindDoc="0" locked="0" layoutInCell="1" allowOverlap="1" wp14:anchorId="5C0E6F46" wp14:editId="30CFA8EC">
                <wp:simplePos x="0" y="0"/>
                <wp:positionH relativeFrom="page">
                  <wp:posOffset>4206240</wp:posOffset>
                </wp:positionH>
                <wp:positionV relativeFrom="paragraph">
                  <wp:posOffset>154940</wp:posOffset>
                </wp:positionV>
                <wp:extent cx="1539240" cy="1531620"/>
                <wp:effectExtent l="0" t="0" r="22860" b="11430"/>
                <wp:wrapNone/>
                <wp:docPr id="7" name="Owal 7"/>
                <wp:cNvGraphicFramePr/>
                <a:graphic xmlns:a="http://schemas.openxmlformats.org/drawingml/2006/main">
                  <a:graphicData uri="http://schemas.microsoft.com/office/word/2010/wordprocessingShape">
                    <wps:wsp>
                      <wps:cNvSpPr/>
                      <wps:spPr>
                        <a:xfrm>
                          <a:off x="0" y="0"/>
                          <a:ext cx="1539240" cy="1531620"/>
                        </a:xfrm>
                        <a:prstGeom prst="ellipse">
                          <a:avLst/>
                        </a:prstGeom>
                        <a:solidFill>
                          <a:schemeClr val="accent5">
                            <a:lumMod val="60000"/>
                            <a:lumOff val="40000"/>
                          </a:schemeClr>
                        </a:solidFill>
                        <a:ln w="9525">
                          <a:solidFill>
                            <a:schemeClr val="tx1"/>
                          </a:solidFill>
                        </a:ln>
                      </wps:spPr>
                      <wps:style>
                        <a:lnRef idx="2">
                          <a:schemeClr val="accent5"/>
                        </a:lnRef>
                        <a:fillRef idx="1">
                          <a:schemeClr val="lt1"/>
                        </a:fillRef>
                        <a:effectRef idx="0">
                          <a:schemeClr val="accent5"/>
                        </a:effectRef>
                        <a:fontRef idx="minor">
                          <a:schemeClr val="dk1"/>
                        </a:fontRef>
                      </wps:style>
                      <wps:txbx>
                        <w:txbxContent>
                          <w:p w14:paraId="4FBCE737" w14:textId="6755FC25" w:rsidR="00B14787" w:rsidRPr="00462BEC" w:rsidRDefault="00B14787" w:rsidP="00462BEC">
                            <w:pPr>
                              <w:ind w:left="0"/>
                              <w:jc w:val="center"/>
                              <w:rPr>
                                <w:b/>
                                <w:bCs/>
                                <w:sz w:val="20"/>
                                <w:szCs w:val="20"/>
                              </w:rPr>
                            </w:pPr>
                            <w:r w:rsidRPr="00462BEC">
                              <w:rPr>
                                <w:b/>
                                <w:bCs/>
                                <w:sz w:val="20"/>
                                <w:szCs w:val="20"/>
                              </w:rPr>
                              <w:t>WYMIAR SPOŁECZNY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C0E6F46" id="Owal 7" o:spid="_x0000_s1031" style="position:absolute;margin-left:331.2pt;margin-top:12.2pt;width:121.2pt;height:120.6pt;z-index:25165825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" fillcolor="#9cc2e5 [1944]" strokecolor="black [3213]">
                <v:stroke joinstyle="miter"/>
                <v:textbox>
                  <w:txbxContent>
                    <w:p w14:paraId="4FBCE737" w14:textId="6755FC25" w:rsidR="00B14787" w:rsidRPr="00462BEC" w:rsidRDefault="00B14787" w:rsidP="00462BEC">
                      <w:pPr>
                        <w:ind w:left="0"/>
                        <w:jc w:val="center"/>
                        <w:rPr>
                          <w:b/>
                          <w:bCs/>
                          <w:sz w:val="20"/>
                          <w:szCs w:val="20"/>
                        </w:rPr>
                      </w:pPr>
                      <w:r w:rsidRPr="00462BEC">
                        <w:rPr>
                          <w:b/>
                          <w:bCs/>
                          <w:sz w:val="20"/>
                          <w:szCs w:val="20"/>
                        </w:rPr>
                        <w:t>WYMIAR SPOŁECZNY</w:t>
                      </w:r>
                    </w:p>
                  </w:txbxContent>
                </v:textbox>
                <w10:wrap anchorx="page"/>
              </v:oval>
            </w:pict>
          </mc:Fallback>
        </mc:AlternateContent>
      </w:r>
      <w:r>
        <w:rPr>
          <w:noProof/>
          <w:lang w:eastAsia="pl-PL"/>
        </w:rPr>
        <w:drawing>
          <wp:inline distT="0" distB="0" distL="0" distR="0" wp14:anchorId="29902D11" wp14:editId="47C3657F">
            <wp:extent cx="5676900" cy="1783080"/>
            <wp:effectExtent l="0" t="19050" r="19050" b="26670"/>
            <wp:docPr id="13" name="Diagram 13" descr="schemat wskazujący obszary w wymiarze społecznym"/>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9" r:lo="rId50" r:qs="rId51" r:cs="rId52"/>
              </a:graphicData>
            </a:graphic>
          </wp:inline>
        </w:drawing>
      </w:r>
    </w:p>
    <w:p w14:paraId="00E81A44" w14:textId="606107E9" w:rsidR="005366B1" w:rsidRPr="00462BEC" w:rsidRDefault="005366B1" w:rsidP="00462BEC">
      <w:pPr>
        <w:pStyle w:val="podpiselementu"/>
        <w:spacing w:after="240"/>
        <w:rPr>
          <w:color w:val="44546A" w:themeColor="text2"/>
          <w:szCs w:val="24"/>
          <w:lang w:val="pl-PL"/>
        </w:rPr>
      </w:pPr>
      <w:r w:rsidRPr="00462BEC">
        <w:rPr>
          <w:color w:val="44546A" w:themeColor="text2"/>
          <w:szCs w:val="24"/>
          <w:lang w:val="pl-PL" w:eastAsia="pl-PL"/>
        </w:rPr>
        <w:t xml:space="preserve">Źródło: opracowanie własne w oparciu o </w:t>
      </w:r>
      <w:hyperlink r:id="rId54" w:history="1">
        <w:r w:rsidRPr="00462BEC">
          <w:rPr>
            <w:rStyle w:val="Hipercze"/>
            <w:rFonts w:eastAsia="Times New Roman" w:cstheme="minorHAnsi"/>
            <w:szCs w:val="24"/>
            <w:lang w:val="pl-PL" w:eastAsia="pl-PL"/>
          </w:rPr>
          <w:t>https://</w:t>
        </w:r>
        <w:r w:rsidRPr="00462BEC">
          <w:rPr>
            <w:rStyle w:val="Hipercze"/>
            <w:szCs w:val="24"/>
            <w:lang w:val="pl-PL"/>
          </w:rPr>
          <w:t>partnerstwa.monitorrozwoju.pl</w:t>
        </w:r>
      </w:hyperlink>
    </w:p>
    <w:p w14:paraId="63446430" w14:textId="6BFBE329" w:rsidR="005366B1" w:rsidRPr="00733091" w:rsidRDefault="005366B1" w:rsidP="009B403E">
      <w:pPr>
        <w:rPr>
          <w:lang w:val="pl-PL"/>
        </w:rPr>
      </w:pPr>
      <w:r w:rsidRPr="00733091">
        <w:rPr>
          <w:lang w:val="pl-PL"/>
        </w:rPr>
        <w:t>Syntetyczny wskaźnik</w:t>
      </w:r>
      <w:r>
        <w:rPr>
          <w:rStyle w:val="Odwoanieprzypisudolnego"/>
          <w:color w:val="000000" w:themeColor="text1"/>
        </w:rPr>
        <w:footnoteReference w:id="32"/>
      </w:r>
      <w:r w:rsidRPr="00733091">
        <w:rPr>
          <w:lang w:val="pl-PL"/>
        </w:rPr>
        <w:t xml:space="preserve"> rozwoju Partnerstwa w wymiarze społecznym, uwzględniający sytuację Południowych Mazur we wskazanych na schemacie </w:t>
      </w:r>
      <w:r w:rsidRPr="00733091">
        <w:rPr>
          <w:lang w:val="pl-PL"/>
        </w:rPr>
        <w:lastRenderedPageBreak/>
        <w:t>obszarach jest niekorzystny - przyjmuje w całym okresie badawczym</w:t>
      </w:r>
      <w:r>
        <w:rPr>
          <w:rStyle w:val="Odwoanieprzypisudolnego"/>
          <w:color w:val="000000" w:themeColor="text1"/>
        </w:rPr>
        <w:footnoteReference w:id="33"/>
      </w:r>
      <w:r w:rsidRPr="00733091">
        <w:rPr>
          <w:lang w:val="pl-PL"/>
        </w:rPr>
        <w:t xml:space="preserve"> wartości ujemne. Dynamika wzrostu wskaźnika jest dodatnia, co oznacza, że sytuacja </w:t>
      </w:r>
      <w:r w:rsidR="00462BEC">
        <w:rPr>
          <w:lang w:val="pl-PL"/>
        </w:rPr>
        <w:br/>
      </w:r>
      <w:r w:rsidRPr="00733091">
        <w:rPr>
          <w:lang w:val="pl-PL"/>
        </w:rPr>
        <w:t>w wymiarze</w:t>
      </w:r>
      <w:r w:rsidRPr="00733091">
        <w:rPr>
          <w:b/>
          <w:bCs/>
          <w:lang w:val="pl-PL"/>
        </w:rPr>
        <w:t xml:space="preserve"> </w:t>
      </w:r>
      <w:r w:rsidRPr="00733091">
        <w:rPr>
          <w:lang w:val="pl-PL"/>
        </w:rPr>
        <w:t>społecznym</w:t>
      </w:r>
      <w:r w:rsidRPr="00733091">
        <w:rPr>
          <w:b/>
          <w:bCs/>
          <w:lang w:val="pl-PL"/>
        </w:rPr>
        <w:t xml:space="preserve"> nieznacznie się poprawia</w:t>
      </w:r>
      <w:r w:rsidRPr="00733091">
        <w:rPr>
          <w:lang w:val="pl-PL"/>
        </w:rPr>
        <w:t xml:space="preserve">; szczególnie w obszarze dostępności i jakości usług, dostępności zasobów mieszkaniowych oraz integracji </w:t>
      </w:r>
      <w:r w:rsidR="004A4ED7">
        <w:rPr>
          <w:lang w:val="pl-PL"/>
        </w:rPr>
        <w:br/>
      </w:r>
      <w:r w:rsidRPr="00733091">
        <w:rPr>
          <w:lang w:val="pl-PL"/>
        </w:rPr>
        <w:t xml:space="preserve">i aktywności społecznej mieszkańców. Negatywny wpływ na sytuację w obszarze społecznym ma </w:t>
      </w:r>
      <w:r w:rsidRPr="00733091">
        <w:rPr>
          <w:b/>
          <w:bCs/>
          <w:lang w:val="pl-PL"/>
        </w:rPr>
        <w:t>niski poziom bezpieczeństwa</w:t>
      </w:r>
      <w:r w:rsidRPr="00733091">
        <w:rPr>
          <w:lang w:val="pl-PL"/>
        </w:rPr>
        <w:t xml:space="preserve"> (w tym zdrowotnego) oraz </w:t>
      </w:r>
      <w:r w:rsidRPr="00733091">
        <w:rPr>
          <w:b/>
          <w:bCs/>
          <w:lang w:val="pl-PL"/>
        </w:rPr>
        <w:t xml:space="preserve">niekorzystna </w:t>
      </w:r>
      <w:r w:rsidR="00AC701B" w:rsidRPr="00AC701B">
        <w:rPr>
          <w:lang w:val="pl-PL"/>
        </w:rPr>
        <w:t xml:space="preserve">(choć poprawiająca się </w:t>
      </w:r>
      <w:r w:rsidRPr="00AC701B">
        <w:rPr>
          <w:lang w:val="pl-PL"/>
        </w:rPr>
        <w:t>sytuacja demograficzna</w:t>
      </w:r>
      <w:r w:rsidR="00AC701B" w:rsidRPr="00AC701B">
        <w:rPr>
          <w:lang w:val="pl-PL"/>
        </w:rPr>
        <w:t xml:space="preserve">) </w:t>
      </w:r>
      <w:r w:rsidRPr="00733091">
        <w:rPr>
          <w:lang w:val="pl-PL"/>
        </w:rPr>
        <w:t>związana z malejącą liczbą mieszkańców, wzrastającym saldem migracji, malejącym przyrostem naturalnym i zmianą struktury wiekowej mieszkańców - starzeniem się społeczeństwa).</w:t>
      </w:r>
    </w:p>
    <w:p w14:paraId="51C47C33" w14:textId="3AADD5B1" w:rsidR="005366B1" w:rsidRDefault="007D776B" w:rsidP="002E24A9">
      <w:pPr>
        <w:pStyle w:val="Legenda"/>
        <w:rPr>
          <w:noProof/>
          <w:lang w:val="pl-PL"/>
        </w:rPr>
      </w:pPr>
      <w:bookmarkStart w:id="44" w:name="_Hlk63844813"/>
      <w:bookmarkStart w:id="45" w:name="_Toc69723167"/>
      <w:r w:rsidRPr="00733091">
        <w:rPr>
          <w:lang w:val="pl-PL"/>
        </w:rPr>
        <w:t xml:space="preserve">Wykres </w:t>
      </w:r>
      <w:r w:rsidR="00733091">
        <w:fldChar w:fldCharType="begin"/>
      </w:r>
      <w:r w:rsidR="00733091" w:rsidRPr="00733091">
        <w:rPr>
          <w:lang w:val="pl-PL"/>
        </w:rPr>
        <w:instrText xml:space="preserve"> SEQ Wykres \* ARABIC </w:instrText>
      </w:r>
      <w:r w:rsidR="00733091">
        <w:fldChar w:fldCharType="separate"/>
      </w:r>
      <w:r w:rsidR="00B14787">
        <w:rPr>
          <w:noProof/>
          <w:lang w:val="pl-PL"/>
        </w:rPr>
        <w:t>9</w:t>
      </w:r>
      <w:r w:rsidR="00733091">
        <w:rPr>
          <w:noProof/>
        </w:rPr>
        <w:fldChar w:fldCharType="end"/>
      </w:r>
      <w:r w:rsidRPr="00733091">
        <w:rPr>
          <w:lang w:val="pl-PL"/>
        </w:rPr>
        <w:t xml:space="preserve">: </w:t>
      </w:r>
      <w:r w:rsidR="005366B1" w:rsidRPr="00733091">
        <w:rPr>
          <w:noProof/>
          <w:lang w:val="pl-PL"/>
        </w:rPr>
        <w:t>Wskaźnik rozwoju Partnerstwa- wymiar społeczny</w:t>
      </w:r>
      <w:bookmarkEnd w:id="44"/>
      <w:bookmarkEnd w:id="45"/>
    </w:p>
    <w:p w14:paraId="7065D6FF" w14:textId="28437B4C" w:rsidR="004A4ED7" w:rsidRPr="004A4ED7" w:rsidRDefault="004A4ED7" w:rsidP="004A4ED7">
      <w:pPr>
        <w:ind w:hanging="851"/>
        <w:rPr>
          <w:lang w:val="pl-PL"/>
        </w:rPr>
      </w:pPr>
      <w:r>
        <w:rPr>
          <w:noProof/>
        </w:rPr>
        <w:drawing>
          <wp:inline distT="0" distB="0" distL="0" distR="0" wp14:anchorId="75DB046F" wp14:editId="69408B68">
            <wp:extent cx="5759450" cy="3455670"/>
            <wp:effectExtent l="19050" t="19050" r="12700" b="11430"/>
            <wp:docPr id="58" name="Obraz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59450" cy="3455670"/>
                    </a:xfrm>
                    <a:prstGeom prst="rect">
                      <a:avLst/>
                    </a:prstGeom>
                    <a:noFill/>
                    <a:ln>
                      <a:solidFill>
                        <a:schemeClr val="tx2"/>
                      </a:solidFill>
                    </a:ln>
                  </pic:spPr>
                </pic:pic>
              </a:graphicData>
            </a:graphic>
          </wp:inline>
        </w:drawing>
      </w:r>
    </w:p>
    <w:p w14:paraId="59213F6F" w14:textId="26047D96" w:rsidR="00427A68" w:rsidRDefault="005366B1" w:rsidP="009B403E">
      <w:pPr>
        <w:pStyle w:val="podpiselementu"/>
        <w:spacing w:after="240"/>
        <w:rPr>
          <w:color w:val="44546A" w:themeColor="text2"/>
          <w:szCs w:val="24"/>
          <w:u w:val="single"/>
          <w:lang w:val="pl-PL"/>
        </w:rPr>
      </w:pPr>
      <w:r w:rsidRPr="00462BEC">
        <w:rPr>
          <w:rFonts w:eastAsia="Times New Roman" w:cstheme="minorHAnsi"/>
          <w:color w:val="44546A" w:themeColor="text2"/>
          <w:szCs w:val="24"/>
          <w:lang w:val="pl-PL" w:eastAsia="pl-PL"/>
        </w:rPr>
        <w:t xml:space="preserve">Źródło: </w:t>
      </w:r>
      <w:r w:rsidRPr="00462BEC">
        <w:rPr>
          <w:color w:val="44546A" w:themeColor="text2"/>
          <w:szCs w:val="24"/>
          <w:u w:val="single"/>
          <w:lang w:val="pl-PL"/>
        </w:rPr>
        <w:t>https//partnerstwa.monitorozwoju.pl</w:t>
      </w:r>
    </w:p>
    <w:p w14:paraId="2A282445" w14:textId="22841130" w:rsidR="00745CDB" w:rsidRDefault="00745CDB" w:rsidP="00745CDB">
      <w:pPr>
        <w:rPr>
          <w:lang w:val="pl-PL"/>
        </w:rPr>
      </w:pPr>
    </w:p>
    <w:p w14:paraId="3F941968" w14:textId="2F9F82C0" w:rsidR="004A4ED7" w:rsidRDefault="004A4ED7" w:rsidP="00745CDB">
      <w:pPr>
        <w:rPr>
          <w:lang w:val="pl-PL"/>
        </w:rPr>
      </w:pPr>
    </w:p>
    <w:p w14:paraId="1567BCAB" w14:textId="77777777" w:rsidR="004A4ED7" w:rsidRPr="00745CDB" w:rsidRDefault="004A4ED7" w:rsidP="00745CDB">
      <w:pPr>
        <w:rPr>
          <w:lang w:val="pl-PL"/>
        </w:rPr>
      </w:pPr>
    </w:p>
    <w:p w14:paraId="7174A252" w14:textId="22861380" w:rsidR="004A4ED7" w:rsidRPr="004A4ED7" w:rsidRDefault="007D776B" w:rsidP="002E24A9">
      <w:pPr>
        <w:pStyle w:val="Legenda"/>
        <w:rPr>
          <w:noProof/>
          <w:lang w:val="pl-PL"/>
        </w:rPr>
      </w:pPr>
      <w:bookmarkStart w:id="46" w:name="_Toc69723168"/>
      <w:r w:rsidRPr="00733091">
        <w:rPr>
          <w:lang w:val="pl-PL"/>
        </w:rPr>
        <w:lastRenderedPageBreak/>
        <w:t xml:space="preserve">Wykres </w:t>
      </w:r>
      <w:r w:rsidR="00733091">
        <w:fldChar w:fldCharType="begin"/>
      </w:r>
      <w:r w:rsidR="00733091" w:rsidRPr="00733091">
        <w:rPr>
          <w:lang w:val="pl-PL"/>
        </w:rPr>
        <w:instrText xml:space="preserve"> SEQ Wykres \* ARABIC </w:instrText>
      </w:r>
      <w:r w:rsidR="00733091">
        <w:fldChar w:fldCharType="separate"/>
      </w:r>
      <w:r w:rsidR="00B14787">
        <w:rPr>
          <w:noProof/>
          <w:lang w:val="pl-PL"/>
        </w:rPr>
        <w:t>10</w:t>
      </w:r>
      <w:r w:rsidR="00733091">
        <w:rPr>
          <w:noProof/>
        </w:rPr>
        <w:fldChar w:fldCharType="end"/>
      </w:r>
      <w:r w:rsidRPr="00733091">
        <w:rPr>
          <w:lang w:val="pl-PL"/>
        </w:rPr>
        <w:t xml:space="preserve">: </w:t>
      </w:r>
      <w:r w:rsidR="00CC4485">
        <w:rPr>
          <w:rFonts w:cstheme="minorHAnsi"/>
          <w:color w:val="111111"/>
          <w:lang w:val="pl-PL"/>
        </w:rPr>
        <w:t>Dynamika zmian w latach 2015-2019</w:t>
      </w:r>
      <w:r w:rsidR="009879DD">
        <w:rPr>
          <w:rFonts w:cstheme="minorHAnsi"/>
          <w:color w:val="111111"/>
          <w:lang w:val="pl-PL"/>
        </w:rPr>
        <w:t xml:space="preserve"> </w:t>
      </w:r>
      <w:r w:rsidR="005366B1" w:rsidRPr="00733091">
        <w:rPr>
          <w:noProof/>
          <w:lang w:val="pl-PL"/>
        </w:rPr>
        <w:t>– obszary w wymiarze społecznym</w:t>
      </w:r>
      <w:bookmarkEnd w:id="46"/>
    </w:p>
    <w:p w14:paraId="0CBC2298" w14:textId="7F585828" w:rsidR="009B403E" w:rsidRPr="00AC701B" w:rsidRDefault="004A4ED7" w:rsidP="00AC701B">
      <w:pPr>
        <w:pStyle w:val="podpiselementu"/>
        <w:spacing w:after="240"/>
        <w:rPr>
          <w:color w:val="44546A" w:themeColor="text2"/>
          <w:szCs w:val="24"/>
          <w:u w:val="single"/>
          <w:lang w:val="pl-PL"/>
        </w:rPr>
      </w:pPr>
      <w:r>
        <w:rPr>
          <w:noProof/>
        </w:rPr>
        <w:drawing>
          <wp:inline distT="0" distB="0" distL="0" distR="0" wp14:anchorId="5E6A3CD4" wp14:editId="31CF0F81">
            <wp:extent cx="5759450" cy="1820545"/>
            <wp:effectExtent l="19050" t="19050" r="12700" b="27305"/>
            <wp:docPr id="71" name="Obraz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759450" cy="1820545"/>
                    </a:xfrm>
                    <a:prstGeom prst="rect">
                      <a:avLst/>
                    </a:prstGeom>
                    <a:noFill/>
                    <a:ln>
                      <a:solidFill>
                        <a:schemeClr val="tx2"/>
                      </a:solidFill>
                    </a:ln>
                  </pic:spPr>
                </pic:pic>
              </a:graphicData>
            </a:graphic>
          </wp:inline>
        </w:drawing>
      </w:r>
      <w:r w:rsidRPr="00A53827">
        <w:rPr>
          <w:rFonts w:eastAsia="Times New Roman" w:cstheme="minorHAnsi"/>
          <w:color w:val="44546A" w:themeColor="text2"/>
          <w:szCs w:val="24"/>
          <w:lang w:val="pl-PL" w:eastAsia="pl-PL"/>
        </w:rPr>
        <w:t xml:space="preserve"> </w:t>
      </w:r>
      <w:r w:rsidR="005366B1" w:rsidRPr="00A53827">
        <w:rPr>
          <w:rFonts w:eastAsia="Times New Roman" w:cstheme="minorHAnsi"/>
          <w:color w:val="44546A" w:themeColor="text2"/>
          <w:szCs w:val="24"/>
          <w:lang w:val="pl-PL" w:eastAsia="pl-PL"/>
        </w:rPr>
        <w:t xml:space="preserve">Źródło: </w:t>
      </w:r>
      <w:r w:rsidR="005366B1" w:rsidRPr="00A53827">
        <w:rPr>
          <w:color w:val="44546A" w:themeColor="text2"/>
          <w:szCs w:val="24"/>
          <w:u w:val="single"/>
          <w:lang w:val="pl-PL"/>
        </w:rPr>
        <w:t>https//partnerstwa.monitorozwoju.pl</w:t>
      </w:r>
      <w:r w:rsidR="00AC701B">
        <w:rPr>
          <w:color w:val="44546A" w:themeColor="text2"/>
          <w:szCs w:val="24"/>
          <w:u w:val="single"/>
          <w:lang w:val="pl-PL"/>
        </w:rPr>
        <w:br/>
      </w:r>
    </w:p>
    <w:p w14:paraId="1B57B793" w14:textId="6311AEED" w:rsidR="00284D34" w:rsidRDefault="007A4E93" w:rsidP="00733091">
      <w:pPr>
        <w:pStyle w:val="Nagwek3"/>
        <w:spacing w:after="240"/>
        <w:rPr>
          <w:lang w:val="pl-PL"/>
        </w:rPr>
      </w:pPr>
      <w:bookmarkStart w:id="47" w:name="_Toc69725436"/>
      <w:r w:rsidRPr="007A4E93">
        <w:rPr>
          <w:lang w:val="pl-PL"/>
        </w:rPr>
        <w:t>Sytuacja demograficzna na obszarze Partnerstwa</w:t>
      </w:r>
      <w:bookmarkEnd w:id="47"/>
    </w:p>
    <w:p w14:paraId="05787D95" w14:textId="61FF5FC3" w:rsidR="00FC7448" w:rsidRPr="00733091" w:rsidRDefault="00FC7448" w:rsidP="00733091">
      <w:pPr>
        <w:rPr>
          <w:lang w:val="pl-PL"/>
        </w:rPr>
      </w:pPr>
      <w:r w:rsidRPr="00733091">
        <w:rPr>
          <w:lang w:val="pl-PL"/>
        </w:rPr>
        <w:t>Rozwój każdej jednostki terytorialnej bazuje w głównej mierze na zasobach endogenicznych</w:t>
      </w:r>
      <w:r w:rsidR="002F493F">
        <w:rPr>
          <w:lang w:val="pl-PL"/>
        </w:rPr>
        <w:t>,</w:t>
      </w:r>
      <w:r w:rsidRPr="00733091">
        <w:rPr>
          <w:lang w:val="pl-PL"/>
        </w:rPr>
        <w:t xml:space="preserve"> wśród których kluczowe znaczenie ma zasób ludzki. Na jego jakość wpływa szereg czynników, w tym m.in. stan i struktura ludności, ruch naturalny czy procesy migracyjne.</w:t>
      </w:r>
    </w:p>
    <w:p w14:paraId="770EA0EA" w14:textId="6C3114D5" w:rsidR="00745CDB" w:rsidRPr="00733091" w:rsidRDefault="00FC7448" w:rsidP="00AC701B">
      <w:pPr>
        <w:rPr>
          <w:color w:val="333333"/>
          <w:lang w:val="pl-PL"/>
        </w:rPr>
      </w:pPr>
      <w:r w:rsidRPr="00733091">
        <w:rPr>
          <w:lang w:val="pl-PL"/>
        </w:rPr>
        <w:t>Sytuacja demograficzna w znaczący sposób wpływa na możliwości rozwojowe obszaru - starzenie się społeczeństwa, malejący przyrost naturalny czy depopulacja oddziałują się na liczbę osób zdolnych do podjęcia aktywności zawodowej, co z kolei bezpośrednio wpływa jakość życia, zamożność mieszkańców i w konsekwencji zasobność Partnerstwa</w:t>
      </w:r>
      <w:r w:rsidRPr="00733091">
        <w:rPr>
          <w:color w:val="333333"/>
          <w:lang w:val="pl-PL"/>
        </w:rPr>
        <w:t>. Analiza obecnej struktury wieku lokalnej społeczności obszaru oraz obserwowanych trendów pozwala oszacować zmiany oczekiwane                               w przyszłości dotyczące popytu na usługi, infrastrukturę techniczną, nieruchomości mieszkaniowe i komercyjne, miejsca pracy.</w:t>
      </w:r>
    </w:p>
    <w:p w14:paraId="634D544B" w14:textId="7427DCDC" w:rsidR="00284D34" w:rsidRPr="00091BAE" w:rsidRDefault="007A4E93" w:rsidP="00733091">
      <w:pPr>
        <w:pStyle w:val="Nagwek4"/>
        <w:spacing w:before="120" w:after="240"/>
      </w:pPr>
      <w:r w:rsidRPr="007A4E93">
        <w:rPr>
          <w:rStyle w:val="Nagwek4Znak"/>
          <w:b/>
          <w:iCs/>
        </w:rPr>
        <w:t>Ludność obszaru Partnerstwa</w:t>
      </w:r>
    </w:p>
    <w:p w14:paraId="7DF2DCD0" w14:textId="706B40F0" w:rsidR="00FC7448" w:rsidRPr="00733091" w:rsidRDefault="00FC7448" w:rsidP="00A53827">
      <w:pPr>
        <w:rPr>
          <w:lang w:val="pl-PL" w:eastAsia="pl-PL"/>
        </w:rPr>
      </w:pPr>
      <w:r w:rsidRPr="00733091">
        <w:rPr>
          <w:lang w:val="pl-PL"/>
        </w:rPr>
        <w:t xml:space="preserve">W 2019 r. obszar Południowych Mazur zamieszkiwało łącznie </w:t>
      </w:r>
      <w:r w:rsidRPr="00733091">
        <w:rPr>
          <w:b/>
          <w:bCs/>
          <w:lang w:val="pl-PL" w:eastAsia="pl-PL"/>
        </w:rPr>
        <w:t>223.507</w:t>
      </w:r>
      <w:r w:rsidRPr="00733091">
        <w:rPr>
          <w:lang w:val="pl-PL" w:eastAsia="pl-PL"/>
        </w:rPr>
        <w:t xml:space="preserve"> osób, tj. 15,7% mieszkańców województwa warmińsko-mazurskiego, z czego 31,0% stanowiła ludność powiatu szczycieńskiego (piątego pod względem liczby mieszkańców powiatu województwa</w:t>
      </w:r>
      <w:r w:rsidRPr="003C78E2">
        <w:rPr>
          <w:rStyle w:val="Odwoanieprzypisudolnego"/>
          <w:rFonts w:eastAsia="Times New Roman" w:cstheme="minorHAnsi"/>
          <w:color w:val="000000"/>
          <w:lang w:eastAsia="pl-PL"/>
        </w:rPr>
        <w:footnoteReference w:id="34"/>
      </w:r>
      <w:r w:rsidRPr="00733091">
        <w:rPr>
          <w:lang w:val="pl-PL" w:eastAsia="pl-PL"/>
        </w:rPr>
        <w:t>), 29,1% - działdowskiego 6 miejsce), 25,1% - piskiego (11 miejsce) i 14,7% - nidzickiego (17 miejsce).</w:t>
      </w:r>
    </w:p>
    <w:p w14:paraId="690E2014" w14:textId="2BB59752" w:rsidR="00FC7448" w:rsidRPr="00733091" w:rsidRDefault="00FC7448" w:rsidP="00733091">
      <w:pPr>
        <w:rPr>
          <w:lang w:val="pl-PL"/>
        </w:rPr>
      </w:pPr>
      <w:r w:rsidRPr="00733091">
        <w:rPr>
          <w:lang w:val="pl-PL"/>
        </w:rPr>
        <w:t>Na przestrzeni lat 1999-2019 liczba ludności obszaru Południowe Mazury</w:t>
      </w:r>
      <w:r w:rsidRPr="00733091">
        <w:rPr>
          <w:b/>
          <w:bCs/>
          <w:lang w:val="pl-PL"/>
        </w:rPr>
        <w:t xml:space="preserve"> </w:t>
      </w:r>
      <w:r w:rsidRPr="00733091">
        <w:rPr>
          <w:lang w:val="pl-PL"/>
        </w:rPr>
        <w:t xml:space="preserve">spadła </w:t>
      </w:r>
      <w:r w:rsidR="00AC701B">
        <w:rPr>
          <w:lang w:val="pl-PL"/>
        </w:rPr>
        <w:t xml:space="preserve">                 </w:t>
      </w:r>
      <w:r w:rsidRPr="00733091">
        <w:rPr>
          <w:lang w:val="pl-PL"/>
        </w:rPr>
        <w:t xml:space="preserve">(o 3.217 osób). </w:t>
      </w:r>
      <w:r w:rsidRPr="00733091">
        <w:rPr>
          <w:lang w:val="pl-PL" w:eastAsia="pl-PL"/>
        </w:rPr>
        <w:t xml:space="preserve">Najwyższy ubytek w liczbie mieszkańców dotyczył powiatu nidzickiego (3,63%), następnie piskiego (2,75%) i działdowskiego (0,84%). W ww. </w:t>
      </w:r>
      <w:r w:rsidRPr="00733091">
        <w:rPr>
          <w:lang w:val="pl-PL" w:eastAsia="pl-PL"/>
        </w:rPr>
        <w:lastRenderedPageBreak/>
        <w:t xml:space="preserve">okresie powiat szczycieński odnotował minimalny wzrost liczby mieszkańców (0,24%). </w:t>
      </w:r>
      <w:r w:rsidRPr="00733091">
        <w:rPr>
          <w:b/>
          <w:bCs/>
          <w:lang w:val="pl-PL" w:eastAsia="pl-PL"/>
        </w:rPr>
        <w:t>Spadek liczby ludności</w:t>
      </w:r>
      <w:r w:rsidRPr="00733091">
        <w:rPr>
          <w:lang w:val="pl-PL" w:eastAsia="pl-PL"/>
        </w:rPr>
        <w:t xml:space="preserve"> zamieszkującej obszar Południowych Mazur </w:t>
      </w:r>
      <w:r w:rsidRPr="00733091">
        <w:rPr>
          <w:lang w:val="pl-PL" w:eastAsia="pl-PL"/>
        </w:rPr>
        <w:br/>
        <w:t xml:space="preserve">(-1,42%) należy uznać za </w:t>
      </w:r>
      <w:r w:rsidRPr="00733091">
        <w:rPr>
          <w:b/>
          <w:bCs/>
          <w:lang w:val="pl-PL" w:eastAsia="pl-PL"/>
        </w:rPr>
        <w:t>zjawisko niekorzystne,</w:t>
      </w:r>
      <w:r w:rsidRPr="00733091">
        <w:rPr>
          <w:lang w:val="pl-PL" w:eastAsia="pl-PL"/>
        </w:rPr>
        <w:t xml:space="preserve"> szczególnie w porównaniu z sytuacją na terenie całego kraju (gdzie liczba ludności wzrosła o 0,31%) i skalą zjawiska w regionie (gdzie redukcja wyniosła -0,14%)</w:t>
      </w:r>
      <w:r w:rsidRPr="00733091">
        <w:rPr>
          <w:lang w:val="pl-PL"/>
        </w:rPr>
        <w:t>.</w:t>
      </w:r>
    </w:p>
    <w:p w14:paraId="5DF19DAB" w14:textId="16E0D5D1" w:rsidR="00FC7448" w:rsidRPr="00733091" w:rsidRDefault="007D776B" w:rsidP="002E24A9">
      <w:pPr>
        <w:pStyle w:val="Legenda"/>
        <w:rPr>
          <w:lang w:val="pl-PL"/>
        </w:rPr>
      </w:pPr>
      <w:bookmarkStart w:id="48" w:name="_Toc69723169"/>
      <w:r w:rsidRPr="00733091">
        <w:rPr>
          <w:lang w:val="pl-PL"/>
        </w:rPr>
        <w:t xml:space="preserve">Wykres </w:t>
      </w:r>
      <w:r w:rsidR="00733091">
        <w:fldChar w:fldCharType="begin"/>
      </w:r>
      <w:r w:rsidR="00733091" w:rsidRPr="00733091">
        <w:rPr>
          <w:lang w:val="pl-PL"/>
        </w:rPr>
        <w:instrText xml:space="preserve"> SEQ Wykres \* ARABIC </w:instrText>
      </w:r>
      <w:r w:rsidR="00733091">
        <w:fldChar w:fldCharType="separate"/>
      </w:r>
      <w:r w:rsidR="00B14787">
        <w:rPr>
          <w:noProof/>
          <w:lang w:val="pl-PL"/>
        </w:rPr>
        <w:t>11</w:t>
      </w:r>
      <w:r w:rsidR="00733091">
        <w:rPr>
          <w:noProof/>
        </w:rPr>
        <w:fldChar w:fldCharType="end"/>
      </w:r>
      <w:r w:rsidRPr="00733091">
        <w:rPr>
          <w:lang w:val="pl-PL"/>
        </w:rPr>
        <w:t xml:space="preserve">: </w:t>
      </w:r>
      <w:r w:rsidR="00FC7448" w:rsidRPr="00733091">
        <w:rPr>
          <w:lang w:val="pl-PL"/>
        </w:rPr>
        <w:t>Ludność obszaru Partnerstwa Południowe Mazury w latach 1999-2019 ogółem</w:t>
      </w:r>
      <w:bookmarkEnd w:id="48"/>
    </w:p>
    <w:p w14:paraId="193A935F" w14:textId="77777777" w:rsidR="00FC7448" w:rsidRPr="00733091" w:rsidRDefault="00FC7448" w:rsidP="00733091">
      <w:pPr>
        <w:pStyle w:val="podpiselementu"/>
        <w:spacing w:after="240"/>
        <w:rPr>
          <w:rFonts w:cstheme="minorHAnsi"/>
          <w:color w:val="44546A" w:themeColor="text2"/>
          <w:lang w:val="pl-PL"/>
        </w:rPr>
      </w:pPr>
      <w:r w:rsidRPr="003C78E2">
        <w:rPr>
          <w:rFonts w:cstheme="minorHAnsi"/>
          <w:noProof/>
        </w:rPr>
        <w:drawing>
          <wp:inline distT="0" distB="0" distL="0" distR="0" wp14:anchorId="003EC0AC" wp14:editId="29C1A551">
            <wp:extent cx="5737860" cy="2705100"/>
            <wp:effectExtent l="0" t="0" r="15240" b="0"/>
            <wp:docPr id="11" name="Wykres 11" descr="wykres słupkowy wskazujący na Ludność obszaru Partnerstwa Południowe Mazury w latach 1999-2019 ogółem; kolorem niebieskim oznaczony jest powiat szczycieński, kolorem zielonym – powiat działdowski, kolorem żółtym – powiat nidzicki a kolorem ciemnozielonym – powiat piski">
              <a:extLst xmlns:a="http://schemas.openxmlformats.org/drawingml/2006/main">
                <a:ext uri="{FF2B5EF4-FFF2-40B4-BE49-F238E27FC236}">
                  <a16:creationId xmlns:a16="http://schemas.microsoft.com/office/drawing/2014/main" id="{B84125CF-8857-4FC9-A094-6C203F284B2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r w:rsidRPr="00733091">
        <w:rPr>
          <w:rStyle w:val="podpiselementuZnak"/>
          <w:lang w:val="pl-PL"/>
        </w:rPr>
        <w:t>Źródło: opracowanie własne na podstawie danych BDL</w:t>
      </w:r>
    </w:p>
    <w:p w14:paraId="313B9414" w14:textId="7EE066A6" w:rsidR="00FC7448" w:rsidRPr="00733091" w:rsidRDefault="00FC7448" w:rsidP="002E24A9">
      <w:pPr>
        <w:pStyle w:val="Legenda"/>
        <w:rPr>
          <w:rFonts w:eastAsia="Times New Roman"/>
          <w:lang w:val="pl-PL" w:eastAsia="pl-PL"/>
        </w:rPr>
      </w:pPr>
      <w:r w:rsidRPr="00733091">
        <w:rPr>
          <w:lang w:val="pl-PL"/>
        </w:rPr>
        <w:br/>
      </w:r>
      <w:bookmarkStart w:id="49" w:name="_Toc69723170"/>
      <w:r w:rsidR="007D776B" w:rsidRPr="00733091">
        <w:rPr>
          <w:lang w:val="pl-PL"/>
        </w:rPr>
        <w:t xml:space="preserve">Wykres </w:t>
      </w:r>
      <w:r w:rsidR="00733091">
        <w:fldChar w:fldCharType="begin"/>
      </w:r>
      <w:r w:rsidR="00733091" w:rsidRPr="00733091">
        <w:rPr>
          <w:lang w:val="pl-PL"/>
        </w:rPr>
        <w:instrText xml:space="preserve"> SEQ Wykres \* ARABIC </w:instrText>
      </w:r>
      <w:r w:rsidR="00733091">
        <w:fldChar w:fldCharType="separate"/>
      </w:r>
      <w:r w:rsidR="00B14787">
        <w:rPr>
          <w:noProof/>
          <w:lang w:val="pl-PL"/>
        </w:rPr>
        <w:t>12</w:t>
      </w:r>
      <w:r w:rsidR="00733091">
        <w:rPr>
          <w:noProof/>
        </w:rPr>
        <w:fldChar w:fldCharType="end"/>
      </w:r>
      <w:r w:rsidR="007D776B" w:rsidRPr="00733091">
        <w:rPr>
          <w:lang w:val="pl-PL"/>
        </w:rPr>
        <w:t xml:space="preserve">: </w:t>
      </w:r>
      <w:r w:rsidRPr="00733091">
        <w:rPr>
          <w:lang w:val="pl-PL"/>
        </w:rPr>
        <w:t>Ludność obszaru Partnerstwa Południowe Mazury w latach 1999-2019 – podział na powiaty</w:t>
      </w:r>
      <w:bookmarkEnd w:id="49"/>
    </w:p>
    <w:p w14:paraId="33A1416B" w14:textId="0E1C06A2" w:rsidR="00C35A02" w:rsidRPr="00427A68" w:rsidRDefault="00FC7448" w:rsidP="00427A68">
      <w:pPr>
        <w:pStyle w:val="podpiselementu"/>
        <w:spacing w:after="240"/>
        <w:rPr>
          <w:lang w:val="pl-PL"/>
        </w:rPr>
      </w:pPr>
      <w:r w:rsidRPr="003C78E2">
        <w:rPr>
          <w:noProof/>
        </w:rPr>
        <w:drawing>
          <wp:inline distT="0" distB="0" distL="0" distR="0" wp14:anchorId="72576D59" wp14:editId="24186FB8">
            <wp:extent cx="5715000" cy="2844800"/>
            <wp:effectExtent l="0" t="0" r="0" b="12700"/>
            <wp:docPr id="12" name="Wykres 12" descr="wykres liniowy wskazujący na liczbę ludności obszaru Partnerstwa Południowe Mazury w latach 1999-2019 w powiatach; kolorem niebieskim oznaczony jest powiat działdowski, kolorem pomarańczowym – powiat szczycieński, kolorem żółtym – powiat piski, a kolorem szarym – powiat nidzicki">
              <a:extLst xmlns:a="http://schemas.openxmlformats.org/drawingml/2006/main">
                <a:ext uri="{FF2B5EF4-FFF2-40B4-BE49-F238E27FC236}">
                  <a16:creationId xmlns:a16="http://schemas.microsoft.com/office/drawing/2014/main" id="{F6978FB1-2A1E-4EA0-AB16-15C53571984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r w:rsidRPr="00733091">
        <w:rPr>
          <w:lang w:val="pl-PL"/>
        </w:rPr>
        <w:br/>
        <w:t>Źródło: opracowanie własne na podstawie danych BD</w:t>
      </w:r>
      <w:r w:rsidR="00A53827">
        <w:rPr>
          <w:lang w:val="pl-PL"/>
        </w:rPr>
        <w:t>L</w:t>
      </w:r>
      <w:r w:rsidR="00427A68">
        <w:rPr>
          <w:lang w:val="pl-PL"/>
        </w:rPr>
        <w:br/>
      </w:r>
      <w:r w:rsidR="00427A68" w:rsidRPr="002F493F">
        <w:rPr>
          <w:rFonts w:asciiTheme="minorHAnsi" w:hAnsiTheme="minorHAnsi" w:cstheme="minorHAnsi"/>
          <w:szCs w:val="24"/>
          <w:lang w:val="pl-PL"/>
        </w:rPr>
        <w:br/>
      </w:r>
      <w:r w:rsidR="00C35A02" w:rsidRPr="002F493F">
        <w:rPr>
          <w:rFonts w:asciiTheme="minorHAnsi" w:hAnsiTheme="minorHAnsi" w:cstheme="minorHAnsi"/>
          <w:szCs w:val="24"/>
          <w:lang w:val="pl-PL"/>
        </w:rPr>
        <w:t xml:space="preserve">Najbardziej niekorzystne zmiany liczby mieszkańców odnotowano w gminach: Janowo, </w:t>
      </w:r>
      <w:r w:rsidR="00C35A02" w:rsidRPr="002F493F">
        <w:rPr>
          <w:rFonts w:asciiTheme="minorHAnsi" w:hAnsiTheme="minorHAnsi" w:cstheme="minorHAnsi"/>
          <w:szCs w:val="24"/>
          <w:lang w:val="pl-PL"/>
        </w:rPr>
        <w:lastRenderedPageBreak/>
        <w:t xml:space="preserve">Janowiec Kościelny, Orzysz, Ruciane-Nida, miejskiej Szczytno; najbardziej korzystniejsze: </w:t>
      </w:r>
      <w:r w:rsidR="002E24A9">
        <w:rPr>
          <w:rFonts w:asciiTheme="minorHAnsi" w:hAnsiTheme="minorHAnsi" w:cstheme="minorHAnsi"/>
          <w:szCs w:val="24"/>
          <w:lang w:val="pl-PL"/>
        </w:rPr>
        <w:br/>
      </w:r>
      <w:r w:rsidR="00C35A02" w:rsidRPr="002F493F">
        <w:rPr>
          <w:rFonts w:asciiTheme="minorHAnsi" w:hAnsiTheme="minorHAnsi" w:cstheme="minorHAnsi"/>
          <w:szCs w:val="24"/>
          <w:lang w:val="pl-PL"/>
        </w:rPr>
        <w:t>w gminie wiejskiej Szczytno</w:t>
      </w:r>
      <w:r w:rsidR="00C35A02" w:rsidRPr="002F493F">
        <w:rPr>
          <w:rFonts w:asciiTheme="minorHAnsi" w:hAnsiTheme="minorHAnsi" w:cstheme="minorHAnsi"/>
          <w:szCs w:val="24"/>
          <w:vertAlign w:val="superscript"/>
        </w:rPr>
        <w:footnoteReference w:id="35"/>
      </w:r>
      <w:r w:rsidR="00C35A02" w:rsidRPr="002F493F">
        <w:rPr>
          <w:rFonts w:asciiTheme="minorHAnsi" w:hAnsiTheme="minorHAnsi" w:cstheme="minorHAnsi"/>
          <w:szCs w:val="24"/>
          <w:lang w:val="pl-PL"/>
        </w:rPr>
        <w:t>.</w:t>
      </w:r>
    </w:p>
    <w:p w14:paraId="535546DC" w14:textId="434D6990" w:rsidR="00FC7448" w:rsidRDefault="007D776B" w:rsidP="002E24A9">
      <w:pPr>
        <w:pStyle w:val="Legenda"/>
        <w:rPr>
          <w:lang w:val="pl-PL"/>
        </w:rPr>
      </w:pPr>
      <w:bookmarkStart w:id="50" w:name="_Toc69723171"/>
      <w:r w:rsidRPr="00733091">
        <w:rPr>
          <w:lang w:val="pl-PL"/>
        </w:rPr>
        <w:t xml:space="preserve">Wykres </w:t>
      </w:r>
      <w:r w:rsidR="00733091">
        <w:fldChar w:fldCharType="begin"/>
      </w:r>
      <w:r w:rsidR="00733091" w:rsidRPr="00733091">
        <w:rPr>
          <w:lang w:val="pl-PL"/>
        </w:rPr>
        <w:instrText xml:space="preserve"> SEQ Wykres \* ARABIC </w:instrText>
      </w:r>
      <w:r w:rsidR="00733091">
        <w:fldChar w:fldCharType="separate"/>
      </w:r>
      <w:r w:rsidR="00B14787">
        <w:rPr>
          <w:noProof/>
          <w:lang w:val="pl-PL"/>
        </w:rPr>
        <w:t>13</w:t>
      </w:r>
      <w:r w:rsidR="00733091">
        <w:rPr>
          <w:noProof/>
        </w:rPr>
        <w:fldChar w:fldCharType="end"/>
      </w:r>
      <w:r w:rsidRPr="00733091">
        <w:rPr>
          <w:lang w:val="pl-PL"/>
        </w:rPr>
        <w:t xml:space="preserve">: </w:t>
      </w:r>
      <w:r w:rsidR="002E24A9">
        <w:rPr>
          <w:lang w:val="pl-PL"/>
        </w:rPr>
        <w:t>Pięcioletnia różnica liczby mieszkańców na 1000 mieszkańców</w:t>
      </w:r>
      <w:r w:rsidR="00FC7448" w:rsidRPr="00733091">
        <w:rPr>
          <w:lang w:val="pl-PL"/>
        </w:rPr>
        <w:t xml:space="preserve"> w roku bazowym – gminy Partnerstwa</w:t>
      </w:r>
      <w:bookmarkEnd w:id="50"/>
    </w:p>
    <w:p w14:paraId="05E57747" w14:textId="77777777" w:rsidR="002E24A9" w:rsidRDefault="002E24A9" w:rsidP="002E24A9">
      <w:pPr>
        <w:ind w:hanging="851"/>
        <w:rPr>
          <w:color w:val="44546A" w:themeColor="text2"/>
          <w:szCs w:val="24"/>
          <w:lang w:val="pl-PL"/>
        </w:rPr>
      </w:pPr>
      <w:r>
        <w:rPr>
          <w:noProof/>
        </w:rPr>
        <w:drawing>
          <wp:inline distT="0" distB="0" distL="0" distR="0" wp14:anchorId="5FD77426" wp14:editId="728BA482">
            <wp:extent cx="5759450" cy="2735580"/>
            <wp:effectExtent l="19050" t="19050" r="12700" b="26670"/>
            <wp:docPr id="72" name="Obraz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59450" cy="2735580"/>
                    </a:xfrm>
                    <a:prstGeom prst="rect">
                      <a:avLst/>
                    </a:prstGeom>
                    <a:noFill/>
                    <a:ln>
                      <a:solidFill>
                        <a:schemeClr val="tx2"/>
                      </a:solidFill>
                    </a:ln>
                  </pic:spPr>
                </pic:pic>
              </a:graphicData>
            </a:graphic>
          </wp:inline>
        </w:drawing>
      </w:r>
    </w:p>
    <w:p w14:paraId="5801BC96" w14:textId="35E74F99" w:rsidR="00A53827" w:rsidRPr="002E24A9" w:rsidRDefault="00FC7448" w:rsidP="002E24A9">
      <w:pPr>
        <w:ind w:hanging="851"/>
        <w:rPr>
          <w:lang w:val="pl-PL"/>
        </w:rPr>
      </w:pPr>
      <w:r w:rsidRPr="00462BEC">
        <w:rPr>
          <w:color w:val="44546A" w:themeColor="text2"/>
          <w:szCs w:val="24"/>
          <w:lang w:val="pl-PL"/>
        </w:rPr>
        <w:t xml:space="preserve">Źródło: </w:t>
      </w:r>
      <w:r w:rsidRPr="00462BEC">
        <w:rPr>
          <w:rFonts w:cstheme="majorHAnsi"/>
          <w:color w:val="44546A" w:themeColor="text2"/>
          <w:szCs w:val="24"/>
          <w:lang w:val="pl-PL"/>
        </w:rPr>
        <w:t xml:space="preserve">opracowanie własne ZMP na podstawie </w:t>
      </w:r>
      <w:hyperlink r:id="rId60" w:history="1">
        <w:r w:rsidRPr="00462BEC">
          <w:rPr>
            <w:rStyle w:val="Hipercze"/>
            <w:rFonts w:cstheme="majorHAnsi"/>
            <w:color w:val="44546A" w:themeColor="text2"/>
            <w:szCs w:val="24"/>
            <w:lang w:val="pl-PL"/>
          </w:rPr>
          <w:t>https://analizy.monitorrozwoju.pl</w:t>
        </w:r>
      </w:hyperlink>
      <w:r w:rsidR="00AC701B">
        <w:rPr>
          <w:rStyle w:val="Hipercze"/>
          <w:rFonts w:cstheme="majorHAnsi"/>
          <w:color w:val="44546A" w:themeColor="text2"/>
          <w:szCs w:val="24"/>
          <w:lang w:val="pl-PL"/>
        </w:rPr>
        <w:t xml:space="preserve"> </w:t>
      </w:r>
    </w:p>
    <w:p w14:paraId="6D572A9A" w14:textId="00A2351F" w:rsidR="00FC7448" w:rsidRPr="00733091" w:rsidRDefault="00FC7448" w:rsidP="00733091">
      <w:pPr>
        <w:rPr>
          <w:lang w:val="pl-PL"/>
        </w:rPr>
      </w:pPr>
      <w:r w:rsidRPr="00733091">
        <w:rPr>
          <w:lang w:val="pl-PL"/>
        </w:rPr>
        <w:t xml:space="preserve">Główny Urząd Statystyczny </w:t>
      </w:r>
      <w:r w:rsidRPr="00733091">
        <w:rPr>
          <w:b/>
          <w:bCs/>
          <w:lang w:val="pl-PL"/>
        </w:rPr>
        <w:t>prognozuje, że spadkowa tendencja zmiany liczby ludności utrzyma się,</w:t>
      </w:r>
      <w:r w:rsidRPr="00733091">
        <w:rPr>
          <w:lang w:val="pl-PL"/>
        </w:rPr>
        <w:t xml:space="preserve"> wobec czego w 2050 r. obszar Południowych Mazur zamieszkiwać będzie jedynie 184.840 osób, tj. o 17,46% mniej niż w 2019 r.</w:t>
      </w:r>
    </w:p>
    <w:p w14:paraId="440A38C7" w14:textId="4A824729" w:rsidR="00FC7448" w:rsidRPr="00733091" w:rsidRDefault="007D776B" w:rsidP="002E24A9">
      <w:pPr>
        <w:pStyle w:val="Legenda"/>
        <w:rPr>
          <w:rFonts w:cstheme="minorHAnsi"/>
          <w:lang w:val="pl-PL"/>
        </w:rPr>
      </w:pPr>
      <w:bookmarkStart w:id="51" w:name="_Toc69723172"/>
      <w:r w:rsidRPr="00733091">
        <w:rPr>
          <w:lang w:val="pl-PL"/>
        </w:rPr>
        <w:lastRenderedPageBreak/>
        <w:t xml:space="preserve">Wykres </w:t>
      </w:r>
      <w:r w:rsidR="00733091">
        <w:fldChar w:fldCharType="begin"/>
      </w:r>
      <w:r w:rsidR="00733091" w:rsidRPr="00733091">
        <w:rPr>
          <w:lang w:val="pl-PL"/>
        </w:rPr>
        <w:instrText xml:space="preserve"> SEQ Wykres \* ARABIC </w:instrText>
      </w:r>
      <w:r w:rsidR="00733091">
        <w:fldChar w:fldCharType="separate"/>
      </w:r>
      <w:r w:rsidR="00B14787">
        <w:rPr>
          <w:noProof/>
          <w:lang w:val="pl-PL"/>
        </w:rPr>
        <w:t>14</w:t>
      </w:r>
      <w:r w:rsidR="00733091">
        <w:rPr>
          <w:noProof/>
        </w:rPr>
        <w:fldChar w:fldCharType="end"/>
      </w:r>
      <w:r w:rsidRPr="00733091">
        <w:rPr>
          <w:lang w:val="pl-PL"/>
        </w:rPr>
        <w:t xml:space="preserve">: </w:t>
      </w:r>
      <w:r w:rsidR="00FC7448" w:rsidRPr="00733091">
        <w:rPr>
          <w:lang w:val="pl-PL"/>
        </w:rPr>
        <w:t>Ludność obszaru Partnerstwa Południowe Mazury ogółem – prognoza do 2050 r.</w:t>
      </w:r>
      <w:bookmarkEnd w:id="51"/>
    </w:p>
    <w:p w14:paraId="0C16F972" w14:textId="5090EF07" w:rsidR="00FC7448" w:rsidRPr="002F493F" w:rsidRDefault="00FC7448" w:rsidP="00733091">
      <w:pPr>
        <w:pStyle w:val="podpiselementu"/>
        <w:spacing w:after="240"/>
        <w:rPr>
          <w:rFonts w:cstheme="minorHAnsi"/>
          <w:color w:val="4472C4" w:themeColor="accent1"/>
          <w:lang w:val="pl-PL"/>
        </w:rPr>
      </w:pPr>
      <w:r>
        <w:rPr>
          <w:noProof/>
        </w:rPr>
        <w:drawing>
          <wp:inline distT="0" distB="0" distL="0" distR="0" wp14:anchorId="1FB18108" wp14:editId="755DDE9A">
            <wp:extent cx="5730240" cy="3091543"/>
            <wp:effectExtent l="0" t="0" r="3810" b="13970"/>
            <wp:docPr id="26" name="Wykres 26" descr="wykres słupkowy wskazujący prognozę zmian liczby mieszkańców obszaru Partnerstwa Południowe Mazury w latach 2020-2050, kolorem niebieskim oznaczony jest powiat szczycieński, kolorem zielonym – powiat działdowski, kolorem żółtym – powiat nidzicki a kolorem ciemnozielonym – powiat piski">
              <a:extLst xmlns:a="http://schemas.openxmlformats.org/drawingml/2006/main">
                <a:ext uri="{FF2B5EF4-FFF2-40B4-BE49-F238E27FC236}">
                  <a16:creationId xmlns:a16="http://schemas.microsoft.com/office/drawing/2014/main" id="{0FCAEDF3-5E5C-4682-97E6-A23EE3DADC4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r w:rsidRPr="006120C4">
        <w:rPr>
          <w:rFonts w:cstheme="minorHAnsi"/>
          <w:color w:val="44546A" w:themeColor="text2"/>
          <w:szCs w:val="24"/>
          <w:lang w:val="pl-PL"/>
        </w:rPr>
        <w:t>Źródło: opracowanie własne na podstawie danych BDL</w:t>
      </w:r>
    </w:p>
    <w:p w14:paraId="1A307548" w14:textId="293384EF" w:rsidR="00FC7448" w:rsidRPr="00733091" w:rsidRDefault="00FC7448" w:rsidP="00733091">
      <w:pPr>
        <w:rPr>
          <w:lang w:val="pl-PL"/>
        </w:rPr>
      </w:pPr>
      <w:r w:rsidRPr="00733091">
        <w:rPr>
          <w:lang w:val="pl-PL"/>
        </w:rPr>
        <w:t>Najtrudniejsza sytuacja prognozowana jest w powiecie nidzickim (redukcja liczby ludności o -24,21%) i w powiecie piskim (redukcja o -18,45%). W powiecie szczycieńskim redukcja przewidywana jest na poziomie -17,34%, a w powiecie działdowskim: - 13,40% (niższa niż średnia dla obszaru).</w:t>
      </w:r>
    </w:p>
    <w:p w14:paraId="5010023A" w14:textId="46C7BEC7" w:rsidR="00FC7448" w:rsidRPr="00733091" w:rsidRDefault="007D776B" w:rsidP="002E24A9">
      <w:pPr>
        <w:pStyle w:val="Legenda"/>
        <w:rPr>
          <w:rFonts w:cstheme="minorHAnsi"/>
          <w:lang w:val="pl-PL"/>
        </w:rPr>
      </w:pPr>
      <w:bookmarkStart w:id="52" w:name="_Toc69723173"/>
      <w:bookmarkStart w:id="53" w:name="_Hlk63270505"/>
      <w:r w:rsidRPr="00733091">
        <w:rPr>
          <w:lang w:val="pl-PL"/>
        </w:rPr>
        <w:t xml:space="preserve">Wykres </w:t>
      </w:r>
      <w:r w:rsidR="00733091">
        <w:fldChar w:fldCharType="begin"/>
      </w:r>
      <w:r w:rsidR="00733091" w:rsidRPr="00733091">
        <w:rPr>
          <w:lang w:val="pl-PL"/>
        </w:rPr>
        <w:instrText xml:space="preserve"> SEQ Wykres \* ARABIC </w:instrText>
      </w:r>
      <w:r w:rsidR="00733091">
        <w:fldChar w:fldCharType="separate"/>
      </w:r>
      <w:r w:rsidR="00B14787">
        <w:rPr>
          <w:noProof/>
          <w:lang w:val="pl-PL"/>
        </w:rPr>
        <w:t>15</w:t>
      </w:r>
      <w:r w:rsidR="00733091">
        <w:rPr>
          <w:noProof/>
        </w:rPr>
        <w:fldChar w:fldCharType="end"/>
      </w:r>
      <w:r w:rsidRPr="00733091">
        <w:rPr>
          <w:lang w:val="pl-PL"/>
        </w:rPr>
        <w:t xml:space="preserve">: </w:t>
      </w:r>
      <w:r w:rsidR="00FC7448" w:rsidRPr="00733091">
        <w:rPr>
          <w:lang w:val="pl-PL"/>
        </w:rPr>
        <w:t>Ludność obszaru Partnerstwa Południowe Mazury według powiatów – prognoza do 2050r.</w:t>
      </w:r>
      <w:bookmarkEnd w:id="52"/>
    </w:p>
    <w:p w14:paraId="11325852" w14:textId="77777777" w:rsidR="00FC7448" w:rsidRPr="00733091" w:rsidRDefault="00FC7448" w:rsidP="00733091">
      <w:pPr>
        <w:pStyle w:val="podpiselementu"/>
        <w:spacing w:after="240"/>
        <w:rPr>
          <w:lang w:val="pl-PL"/>
        </w:rPr>
      </w:pPr>
      <w:r>
        <w:rPr>
          <w:noProof/>
        </w:rPr>
        <w:drawing>
          <wp:inline distT="0" distB="0" distL="0" distR="0" wp14:anchorId="30C42BC9" wp14:editId="772214DE">
            <wp:extent cx="5760720" cy="2926080"/>
            <wp:effectExtent l="0" t="0" r="11430" b="0"/>
            <wp:docPr id="24" name="Wykres 24" descr="wykres liniowy wskazujący prognozę zmian liczby mieszkańców obszaru Partnerstwa Południowe Mazury w latach 2020-2050 w podziale na powiaty, kolorem niebieskim oznaczony jest powiat działdowski, kolorem pomarańczowym – powiat szczycieński, kolorem żółtym – powiat piski, a kolorem szarym – powiat nidzicki">
              <a:extLst xmlns:a="http://schemas.openxmlformats.org/drawingml/2006/main">
                <a:ext uri="{FF2B5EF4-FFF2-40B4-BE49-F238E27FC236}">
                  <a16:creationId xmlns:a16="http://schemas.microsoft.com/office/drawing/2014/main" id="{57220245-641D-4703-85A4-20294D4063A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r w:rsidRPr="00733091">
        <w:rPr>
          <w:lang w:val="pl-PL"/>
        </w:rPr>
        <w:t>Źródło: opracowanie własne na podstawie danych BDL</w:t>
      </w:r>
      <w:bookmarkEnd w:id="53"/>
    </w:p>
    <w:p w14:paraId="5372EED2" w14:textId="77777777" w:rsidR="00FC7448" w:rsidRPr="00733091" w:rsidRDefault="00FC7448" w:rsidP="00733091">
      <w:pPr>
        <w:contextualSpacing/>
        <w:rPr>
          <w:rFonts w:cstheme="minorHAnsi"/>
          <w:color w:val="44546A" w:themeColor="text2"/>
          <w:sz w:val="18"/>
          <w:szCs w:val="18"/>
          <w:lang w:val="pl-PL"/>
        </w:rPr>
      </w:pPr>
    </w:p>
    <w:p w14:paraId="12DBBC24" w14:textId="18D57317" w:rsidR="00284D34" w:rsidRPr="00091BAE" w:rsidRDefault="00E93771" w:rsidP="00733091">
      <w:pPr>
        <w:pStyle w:val="Nagwek4"/>
        <w:spacing w:before="120" w:after="240"/>
      </w:pPr>
      <w:r w:rsidRPr="00E93771">
        <w:rPr>
          <w:rStyle w:val="Nagwek4Znak"/>
          <w:b/>
          <w:iCs/>
        </w:rPr>
        <w:lastRenderedPageBreak/>
        <w:t>Struktura wiekowa mieszkańców</w:t>
      </w:r>
    </w:p>
    <w:p w14:paraId="718652FE" w14:textId="3D6A0843" w:rsidR="00636B20" w:rsidRPr="00733091" w:rsidRDefault="00636B20" w:rsidP="00462BEC">
      <w:pPr>
        <w:rPr>
          <w:lang w:val="pl-PL"/>
        </w:rPr>
      </w:pPr>
      <w:r w:rsidRPr="00733091">
        <w:rPr>
          <w:lang w:val="pl-PL"/>
        </w:rPr>
        <w:t xml:space="preserve">Z punktu widzenia rozwoju społeczno-ekonomicznego oprócz liczby ludności istotna jest również </w:t>
      </w:r>
      <w:r w:rsidRPr="00733091">
        <w:rPr>
          <w:b/>
          <w:bCs/>
          <w:lang w:val="pl-PL"/>
        </w:rPr>
        <w:t>struktura wiekowa mieszkańców</w:t>
      </w:r>
      <w:r w:rsidRPr="00733091">
        <w:rPr>
          <w:lang w:val="pl-PL"/>
        </w:rPr>
        <w:t xml:space="preserve">.  Istotność ta wynika </w:t>
      </w:r>
      <w:r w:rsidR="002E24A9">
        <w:rPr>
          <w:lang w:val="pl-PL"/>
        </w:rPr>
        <w:br/>
      </w:r>
      <w:r w:rsidRPr="00733091">
        <w:rPr>
          <w:lang w:val="pl-PL"/>
        </w:rPr>
        <w:t xml:space="preserve">z wieloaspektowych konsekwencji zmian w tym zakresie rzutujących </w:t>
      </w:r>
      <w:r w:rsidR="002E24A9">
        <w:rPr>
          <w:lang w:val="pl-PL"/>
        </w:rPr>
        <w:br/>
      </w:r>
      <w:r w:rsidRPr="00733091">
        <w:rPr>
          <w:lang w:val="pl-PL"/>
        </w:rPr>
        <w:t>w szczególności na wydolność systemu zabezpieczenia społecznego, funkcjonowanie systemu ochrony zdrowia, równowagę na rynku pracy.</w:t>
      </w:r>
    </w:p>
    <w:p w14:paraId="492AD66E" w14:textId="27CBD732" w:rsidR="00636B20" w:rsidRPr="00733091" w:rsidRDefault="00636B20" w:rsidP="00733091">
      <w:pPr>
        <w:rPr>
          <w:lang w:val="pl-PL"/>
        </w:rPr>
      </w:pPr>
      <w:r w:rsidRPr="00733091">
        <w:rPr>
          <w:lang w:val="pl-PL"/>
        </w:rPr>
        <w:t xml:space="preserve">W Południowych Mazurach od 2009 r. do 2019 r. spadała liczba osób w wieku produkcyjnym (spadek o -3,55%), w wieku przedprodukcyjnym (poniżej 17 lat: </w:t>
      </w:r>
      <w:r w:rsidR="002E24A9">
        <w:rPr>
          <w:lang w:val="pl-PL"/>
        </w:rPr>
        <w:br/>
      </w:r>
      <w:r w:rsidRPr="00733091">
        <w:rPr>
          <w:lang w:val="pl-PL"/>
        </w:rPr>
        <w:t xml:space="preserve">o -15,98%), natomiast rosła liczba osób w wieku poprodukcyjnym (o 36,25%). </w:t>
      </w:r>
      <w:r w:rsidRPr="00733091">
        <w:rPr>
          <w:color w:val="000000"/>
          <w:lang w:val="pl-PL"/>
        </w:rPr>
        <w:t xml:space="preserve">Zgodnie z prognozami GUS tendencja taka (spadek liczby osób w wieku przedprodukcyjnym i produkcyjnym oraz wzrost liczby osób w wieku poprodukcyjnym) będzie się utrzymywać do 2050 r. (do 2050 r. liczba osób w wieku przedprodukcyjnym spadnie o 35,53%, produkcyjnym o 28,0%, a w wieku poprodukcyjnym wzrośnie o 40,98%). Zmiany w strukturze wiekowej </w:t>
      </w:r>
      <w:r w:rsidRPr="00733091">
        <w:rPr>
          <w:b/>
          <w:bCs/>
          <w:color w:val="000000"/>
          <w:lang w:val="pl-PL"/>
        </w:rPr>
        <w:t>mieszkańców wpisują się w ogólny trend starzenia się populacji.</w:t>
      </w:r>
    </w:p>
    <w:p w14:paraId="286B4BFE" w14:textId="77D42E28" w:rsidR="00427A68" w:rsidRDefault="00636B20" w:rsidP="00733091">
      <w:pPr>
        <w:rPr>
          <w:lang w:val="pl-PL"/>
        </w:rPr>
      </w:pPr>
      <w:r w:rsidRPr="00733091">
        <w:rPr>
          <w:lang w:val="pl-PL"/>
        </w:rPr>
        <w:t xml:space="preserve">Szczególnie istotna z punktu widzenia dostępności usług i infrastruktury, </w:t>
      </w:r>
      <w:r w:rsidR="002E24A9">
        <w:rPr>
          <w:lang w:val="pl-PL"/>
        </w:rPr>
        <w:t xml:space="preserve">w tym </w:t>
      </w:r>
      <w:r w:rsidRPr="00733091">
        <w:rPr>
          <w:lang w:val="pl-PL"/>
        </w:rPr>
        <w:t xml:space="preserve">zdrowotnej i społecznej jest liczba osób starszych zamieszkujących Południowe Mazury. Wskaźnik ludności w wieku 70 lat i powyżej na 1 tys. mieszkańców </w:t>
      </w:r>
      <w:r w:rsidR="002E24A9">
        <w:rPr>
          <w:lang w:val="pl-PL"/>
        </w:rPr>
        <w:br/>
      </w:r>
      <w:r w:rsidRPr="00733091">
        <w:rPr>
          <w:lang w:val="pl-PL"/>
        </w:rPr>
        <w:t>w badanym okresie (2009-2019) wzrósł o 11,30 % z 86,67 w 2009 r. do 96,67 w 2019 r.  Jedyną gminą</w:t>
      </w:r>
      <w:r w:rsidR="002E24A9">
        <w:rPr>
          <w:lang w:val="pl-PL"/>
        </w:rPr>
        <w:t xml:space="preserve"> z Partnerstwa</w:t>
      </w:r>
      <w:r w:rsidRPr="00733091">
        <w:rPr>
          <w:lang w:val="pl-PL"/>
        </w:rPr>
        <w:t>, która zanotowała w tym czasie ujemny wskaźnik</w:t>
      </w:r>
      <w:r>
        <w:rPr>
          <w:rStyle w:val="Odwoanieprzypisudolnego"/>
        </w:rPr>
        <w:footnoteReference w:id="36"/>
      </w:r>
      <w:r w:rsidRPr="00733091">
        <w:rPr>
          <w:lang w:val="pl-PL"/>
        </w:rPr>
        <w:t xml:space="preserve"> jest Wielbark (-4,2%). </w:t>
      </w:r>
    </w:p>
    <w:p w14:paraId="0B71130E" w14:textId="1EC24B90" w:rsidR="00636B20" w:rsidRPr="00733091" w:rsidRDefault="00636B20" w:rsidP="00733091">
      <w:pPr>
        <w:rPr>
          <w:lang w:val="pl-PL"/>
        </w:rPr>
      </w:pPr>
      <w:r w:rsidRPr="00733091">
        <w:rPr>
          <w:lang w:val="pl-PL"/>
        </w:rPr>
        <w:t>Największą, niekorzystną dynamiką zmian charakteryz</w:t>
      </w:r>
      <w:r w:rsidR="002E24A9">
        <w:rPr>
          <w:lang w:val="pl-PL"/>
        </w:rPr>
        <w:t>owały</w:t>
      </w:r>
      <w:r w:rsidRPr="00733091">
        <w:rPr>
          <w:lang w:val="pl-PL"/>
        </w:rPr>
        <w:t xml:space="preserve"> się duże ośrodki Południowych Mazur, w których wyraźnie przybyło osób w wieku 70+: Działdowo (41,47%), Szczytno (32,11%), Pisz (22,61%), Pasym (22,69%) i Nidzica (30,11%).</w:t>
      </w:r>
    </w:p>
    <w:p w14:paraId="0BF4B271" w14:textId="0BD14DD3" w:rsidR="00636B20" w:rsidRPr="00733091" w:rsidRDefault="007D776B" w:rsidP="002E24A9">
      <w:pPr>
        <w:pStyle w:val="Legenda"/>
        <w:rPr>
          <w:lang w:val="pl-PL"/>
        </w:rPr>
      </w:pPr>
      <w:bookmarkStart w:id="54" w:name="_Toc69723174"/>
      <w:r w:rsidRPr="00733091">
        <w:rPr>
          <w:lang w:val="pl-PL"/>
        </w:rPr>
        <w:lastRenderedPageBreak/>
        <w:t xml:space="preserve">Wykres </w:t>
      </w:r>
      <w:r w:rsidR="00733091">
        <w:fldChar w:fldCharType="begin"/>
      </w:r>
      <w:r w:rsidR="00733091" w:rsidRPr="00733091">
        <w:rPr>
          <w:lang w:val="pl-PL"/>
        </w:rPr>
        <w:instrText xml:space="preserve"> SEQ Wykres \* ARABIC </w:instrText>
      </w:r>
      <w:r w:rsidR="00733091">
        <w:fldChar w:fldCharType="separate"/>
      </w:r>
      <w:r w:rsidR="00B14787">
        <w:rPr>
          <w:noProof/>
          <w:lang w:val="pl-PL"/>
        </w:rPr>
        <w:t>16</w:t>
      </w:r>
      <w:r w:rsidR="00733091">
        <w:rPr>
          <w:noProof/>
        </w:rPr>
        <w:fldChar w:fldCharType="end"/>
      </w:r>
      <w:r w:rsidRPr="00733091">
        <w:rPr>
          <w:lang w:val="pl-PL"/>
        </w:rPr>
        <w:t xml:space="preserve">: </w:t>
      </w:r>
      <w:r w:rsidR="00636B20" w:rsidRPr="00733091">
        <w:rPr>
          <w:lang w:val="pl-PL"/>
        </w:rPr>
        <w:t>Ludność w wieku 70 lat i powyżej na 1000 mieszkańców</w:t>
      </w:r>
      <w:bookmarkEnd w:id="54"/>
    </w:p>
    <w:p w14:paraId="456E4EED" w14:textId="77777777" w:rsidR="00636B20" w:rsidRPr="00733091" w:rsidRDefault="00636B20" w:rsidP="00733091">
      <w:pPr>
        <w:pStyle w:val="podpiselementu"/>
        <w:spacing w:after="240"/>
        <w:rPr>
          <w:lang w:val="pl-PL"/>
        </w:rPr>
      </w:pPr>
      <w:r>
        <w:rPr>
          <w:noProof/>
        </w:rPr>
        <w:drawing>
          <wp:inline distT="0" distB="0" distL="0" distR="0" wp14:anchorId="0078FBA2" wp14:editId="042A0D70">
            <wp:extent cx="5706110" cy="2411730"/>
            <wp:effectExtent l="19050" t="19050" r="27940" b="26670"/>
            <wp:docPr id="16" name="Obraz 16" descr="wykres liniowy wskazujący na zmiany liczby ludności w wieku 70+ i powyżej na 1000 mieszkańców obszaru Partnerstwa Południowe Mazury w latach 2009-2019 w podziale na gmi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braz 16" descr="wykres liniowy wskazujący na zmiany liczby ludności w wieku 70+ i powyżej na 1000 mieszkańców obszaru Partnerstwa Południowe Mazury w latach 2009-2019 w podziale na gminy"/>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28440" cy="2421168"/>
                    </a:xfrm>
                    <a:prstGeom prst="rect">
                      <a:avLst/>
                    </a:prstGeom>
                    <a:noFill/>
                    <a:ln>
                      <a:solidFill>
                        <a:schemeClr val="tx2"/>
                      </a:solidFill>
                    </a:ln>
                  </pic:spPr>
                </pic:pic>
              </a:graphicData>
            </a:graphic>
          </wp:inline>
        </w:drawing>
      </w:r>
      <w:r w:rsidRPr="00733091">
        <w:rPr>
          <w:lang w:val="pl-PL"/>
        </w:rPr>
        <w:br/>
        <w:t>Źródło: opracowanie własne ZMP na podstawie https://analizy.monitorrozwoju.pl</w:t>
      </w:r>
    </w:p>
    <w:p w14:paraId="2DED38BA" w14:textId="0724A2D8" w:rsidR="00636B20" w:rsidRPr="00733091" w:rsidRDefault="00636B20" w:rsidP="00462BEC">
      <w:pPr>
        <w:rPr>
          <w:lang w:val="pl-PL"/>
        </w:rPr>
      </w:pPr>
      <w:r w:rsidRPr="00733091">
        <w:rPr>
          <w:lang w:val="pl-PL"/>
        </w:rPr>
        <w:t xml:space="preserve">W latach 2009-2019 na obszarze Partnerstwa znacznie wzrósł udział subpopulacji osób w wieku 80 lat i więcej w ogólnej liczbie ludności (średnio o 37,78%). Największą dynamikę tego wskaźnika odnotowały: Ruciane-Nida (109,57%), Rozogi (89,71%), Dźwierzuty (72,20%), Pisz (63,49%); najmniejszą zaś: Jedwabno (0,33%) </w:t>
      </w:r>
      <w:r w:rsidR="001C373F">
        <w:rPr>
          <w:lang w:val="pl-PL"/>
        </w:rPr>
        <w:br/>
      </w:r>
      <w:r w:rsidRPr="00733091">
        <w:rPr>
          <w:lang w:val="pl-PL"/>
        </w:rPr>
        <w:t>i Wielbark (0,23%).</w:t>
      </w:r>
    </w:p>
    <w:p w14:paraId="00A605BA" w14:textId="1F6698FF" w:rsidR="00636B20" w:rsidRPr="00733091" w:rsidRDefault="007D776B" w:rsidP="002E24A9">
      <w:pPr>
        <w:pStyle w:val="Legenda"/>
        <w:rPr>
          <w:lang w:val="pl-PL"/>
        </w:rPr>
      </w:pPr>
      <w:bookmarkStart w:id="55" w:name="_Toc69723175"/>
      <w:r w:rsidRPr="00733091">
        <w:rPr>
          <w:lang w:val="pl-PL"/>
        </w:rPr>
        <w:t xml:space="preserve">Wykres </w:t>
      </w:r>
      <w:r w:rsidR="00733091">
        <w:fldChar w:fldCharType="begin"/>
      </w:r>
      <w:r w:rsidR="00733091" w:rsidRPr="00733091">
        <w:rPr>
          <w:lang w:val="pl-PL"/>
        </w:rPr>
        <w:instrText xml:space="preserve"> SEQ Wykres \* ARABIC </w:instrText>
      </w:r>
      <w:r w:rsidR="00733091">
        <w:fldChar w:fldCharType="separate"/>
      </w:r>
      <w:r w:rsidR="00B14787">
        <w:rPr>
          <w:noProof/>
          <w:lang w:val="pl-PL"/>
        </w:rPr>
        <w:t>17</w:t>
      </w:r>
      <w:r w:rsidR="00733091">
        <w:rPr>
          <w:noProof/>
        </w:rPr>
        <w:fldChar w:fldCharType="end"/>
      </w:r>
      <w:r w:rsidRPr="00733091">
        <w:rPr>
          <w:lang w:val="pl-PL"/>
        </w:rPr>
        <w:t xml:space="preserve">: </w:t>
      </w:r>
      <w:r w:rsidR="00636B20" w:rsidRPr="00733091">
        <w:rPr>
          <w:lang w:val="pl-PL"/>
        </w:rPr>
        <w:t>Udział subpopulacji osób w wieku 80 lat i więcej w ogólnej liczbie ludności w gminach Partnerstwa</w:t>
      </w:r>
      <w:bookmarkEnd w:id="55"/>
    </w:p>
    <w:p w14:paraId="7C364EFD" w14:textId="77777777" w:rsidR="00636B20" w:rsidRPr="00733091" w:rsidRDefault="00636B20" w:rsidP="00733091">
      <w:pPr>
        <w:pStyle w:val="podpiselementu"/>
        <w:spacing w:after="240"/>
        <w:rPr>
          <w:lang w:val="pl-PL"/>
        </w:rPr>
      </w:pPr>
      <w:r>
        <w:rPr>
          <w:noProof/>
        </w:rPr>
        <w:drawing>
          <wp:inline distT="0" distB="0" distL="0" distR="0" wp14:anchorId="677509C4" wp14:editId="5BEC0047">
            <wp:extent cx="5760720" cy="2647950"/>
            <wp:effectExtent l="19050" t="19050" r="11430" b="19050"/>
            <wp:docPr id="52" name="Obraz 52" descr="wykres liniowy wskazujący na zmiany udziału subpopulacji osób starszych tzw. starszych -starszych (80 lat i więcej) w ogólnej liczbie ludności obszaru Partnerstwa Południowe Mazury w latach 2009-2019 w podziale na gmi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Obraz 52" descr="wykres liniowy wskazujący na zmiany udziału subpopulacji osób starszych tzw. starszych -starszych (80 lat i więcej) w ogólnej liczbie ludności obszaru Partnerstwa Południowe Mazury w latach 2009-2019 w podziale na gminy"/>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60720" cy="2647950"/>
                    </a:xfrm>
                    <a:prstGeom prst="rect">
                      <a:avLst/>
                    </a:prstGeom>
                    <a:noFill/>
                    <a:ln>
                      <a:solidFill>
                        <a:schemeClr val="tx2"/>
                      </a:solidFill>
                    </a:ln>
                  </pic:spPr>
                </pic:pic>
              </a:graphicData>
            </a:graphic>
          </wp:inline>
        </w:drawing>
      </w:r>
      <w:r w:rsidRPr="00733091">
        <w:rPr>
          <w:lang w:val="pl-PL"/>
        </w:rPr>
        <w:br/>
        <w:t>Źródło: opracowanie własne ZMP na podstawie https://analizy.monitorrozwoju.pl</w:t>
      </w:r>
    </w:p>
    <w:p w14:paraId="2A4412D0" w14:textId="007270DB" w:rsidR="00636B20" w:rsidRPr="00462BEC" w:rsidRDefault="00636B20" w:rsidP="00462BEC">
      <w:pPr>
        <w:rPr>
          <w:rFonts w:ascii="Segoe UI" w:hAnsi="Segoe UI" w:cs="Segoe UI"/>
          <w:sz w:val="21"/>
          <w:szCs w:val="21"/>
          <w:lang w:val="pl-PL"/>
        </w:rPr>
      </w:pPr>
      <w:r w:rsidRPr="00733091">
        <w:rPr>
          <w:lang w:val="pl-PL"/>
        </w:rPr>
        <w:t xml:space="preserve">Wzrastająca liczba osób starszych, w szczególności najstarszej grupy mieszkańców Południowych Mazur </w:t>
      </w:r>
      <w:r w:rsidRPr="00733091">
        <w:rPr>
          <w:b/>
          <w:bCs/>
          <w:lang w:val="pl-PL"/>
        </w:rPr>
        <w:t>(80 lat i więcej)</w:t>
      </w:r>
      <w:r w:rsidRPr="00733091">
        <w:rPr>
          <w:lang w:val="pl-PL"/>
        </w:rPr>
        <w:t xml:space="preserve"> w populacji Partnerstwa oznacza </w:t>
      </w:r>
      <w:r w:rsidRPr="00733091">
        <w:rPr>
          <w:b/>
          <w:bCs/>
          <w:lang w:val="pl-PL"/>
        </w:rPr>
        <w:t>konieczność dostosowania istniejącej infrastruktury do potrzeb starzejącego się</w:t>
      </w:r>
      <w:r w:rsidR="00462BEC">
        <w:rPr>
          <w:b/>
          <w:bCs/>
          <w:lang w:val="pl-PL"/>
        </w:rPr>
        <w:t xml:space="preserve"> </w:t>
      </w:r>
      <w:r w:rsidRPr="00733091">
        <w:rPr>
          <w:b/>
          <w:bCs/>
          <w:lang w:val="pl-PL"/>
        </w:rPr>
        <w:t>społeczeństwa</w:t>
      </w:r>
      <w:r w:rsidRPr="00733091">
        <w:rPr>
          <w:lang w:val="pl-PL"/>
        </w:rPr>
        <w:t>. Jest również wyzwaniem dla ośrodków opieki społecznej</w:t>
      </w:r>
      <w:r w:rsidR="002E24A9">
        <w:rPr>
          <w:lang w:val="pl-PL"/>
        </w:rPr>
        <w:t xml:space="preserve">, </w:t>
      </w:r>
      <w:r w:rsidRPr="00733091">
        <w:rPr>
          <w:lang w:val="pl-PL"/>
        </w:rPr>
        <w:lastRenderedPageBreak/>
        <w:t xml:space="preserve">wynikającym z obowiązku zaspokajania potrzeb mieszkańców w zakresie usług pielęgnacyjnych i zdrowotnych. </w:t>
      </w:r>
      <w:r w:rsidRPr="00733091">
        <w:rPr>
          <w:b/>
          <w:bCs/>
          <w:lang w:val="pl-PL"/>
        </w:rPr>
        <w:t>Prognozy demograficzne wskazują na dalszy wzrost liczby mieszkańców w starszym wieku</w:t>
      </w:r>
      <w:r w:rsidRPr="00733091">
        <w:rPr>
          <w:lang w:val="pl-PL"/>
        </w:rPr>
        <w:t xml:space="preserve"> (do 2050 r. liczba osób w wieku 80+ </w:t>
      </w:r>
      <w:r w:rsidRPr="00DD0997">
        <w:rPr>
          <w:szCs w:val="24"/>
          <w:lang w:val="pl-PL"/>
        </w:rPr>
        <w:t xml:space="preserve">wzrośnie o </w:t>
      </w:r>
      <w:r w:rsidRPr="00DD0997">
        <w:rPr>
          <w:rFonts w:cstheme="minorHAnsi"/>
          <w:szCs w:val="24"/>
          <w:lang w:val="pl-PL"/>
        </w:rPr>
        <w:t>10.609 osób, czyli 125,23%</w:t>
      </w:r>
      <w:r w:rsidRPr="00DD0997">
        <w:rPr>
          <w:rStyle w:val="Odwoanieprzypisudolnego"/>
          <w:rFonts w:cstheme="minorHAnsi"/>
          <w:szCs w:val="24"/>
        </w:rPr>
        <w:footnoteReference w:id="37"/>
      </w:r>
      <w:r w:rsidRPr="00DD0997">
        <w:rPr>
          <w:rFonts w:cstheme="minorHAnsi"/>
          <w:szCs w:val="24"/>
          <w:lang w:val="pl-PL"/>
        </w:rPr>
        <w:t>).</w:t>
      </w:r>
    </w:p>
    <w:p w14:paraId="109286DD" w14:textId="184165B8" w:rsidR="00636B20" w:rsidRPr="00733091" w:rsidRDefault="00636B20" w:rsidP="00733091">
      <w:pPr>
        <w:rPr>
          <w:rFonts w:cstheme="minorHAnsi"/>
          <w:b/>
          <w:bCs/>
          <w:lang w:val="pl-PL"/>
        </w:rPr>
      </w:pPr>
      <w:r w:rsidRPr="00733091">
        <w:rPr>
          <w:rFonts w:cstheme="minorHAnsi"/>
          <w:color w:val="000000"/>
          <w:lang w:val="pl-PL"/>
        </w:rPr>
        <w:t xml:space="preserve">Istotny dla rozwoju Partnerstwa jest </w:t>
      </w:r>
      <w:r w:rsidRPr="00733091">
        <w:rPr>
          <w:rFonts w:cstheme="minorHAnsi"/>
          <w:b/>
          <w:bCs/>
          <w:color w:val="000000"/>
          <w:lang w:val="pl-PL"/>
        </w:rPr>
        <w:t>wskaźnik potencjału demograficznego obszaru</w:t>
      </w:r>
      <w:r>
        <w:rPr>
          <w:rStyle w:val="Odwoanieprzypisudolnego"/>
          <w:rFonts w:cstheme="minorHAnsi"/>
          <w:b/>
          <w:bCs/>
          <w:color w:val="000000"/>
        </w:rPr>
        <w:footnoteReference w:id="38"/>
      </w:r>
      <w:r w:rsidRPr="00733091">
        <w:rPr>
          <w:rFonts w:cstheme="minorHAnsi"/>
          <w:color w:val="000000"/>
          <w:lang w:val="pl-PL"/>
        </w:rPr>
        <w:t xml:space="preserve">. Wskaźnik ten obrazuje udział osób najbardziej kreatywnych i mobilnych, a jednocześnie </w:t>
      </w:r>
      <w:r w:rsidRPr="00733091">
        <w:rPr>
          <w:rFonts w:cstheme="minorHAnsi"/>
          <w:lang w:val="pl-PL"/>
        </w:rPr>
        <w:t xml:space="preserve">podejmujących decyzję w sprawie wyboru swojej drogi życiowej (miejsca życia, pracy) w ogólnej liczbie ludności. Wartość i zmiany tego wskaźnika wpływają na lokalny rynek pracy, gospodarkę, a także powinny wpływać na </w:t>
      </w:r>
      <w:r w:rsidRPr="00733091">
        <w:rPr>
          <w:rFonts w:cstheme="minorHAnsi"/>
          <w:b/>
          <w:bCs/>
          <w:lang w:val="pl-PL"/>
        </w:rPr>
        <w:t>decyzje samorządów dotyczące zakresu i sposobu realizacji usług publicznych (edukacyjnych, wychowawczych).</w:t>
      </w:r>
    </w:p>
    <w:p w14:paraId="495EB46B" w14:textId="77777777" w:rsidR="00DD0997" w:rsidRDefault="00636B20" w:rsidP="00DD0997">
      <w:pPr>
        <w:rPr>
          <w:rFonts w:cstheme="minorHAnsi"/>
          <w:lang w:val="pl-PL"/>
        </w:rPr>
      </w:pPr>
      <w:r w:rsidRPr="00733091">
        <w:rPr>
          <w:rFonts w:cstheme="minorHAnsi"/>
          <w:lang w:val="pl-PL"/>
        </w:rPr>
        <w:t xml:space="preserve">W Południowych Mazurach </w:t>
      </w:r>
      <w:r w:rsidRPr="00733091">
        <w:rPr>
          <w:rFonts w:cstheme="minorHAnsi"/>
          <w:b/>
          <w:bCs/>
          <w:lang w:val="pl-PL"/>
        </w:rPr>
        <w:t>wskaźnik potencjału demograficznego spada od 2009 r.</w:t>
      </w:r>
      <w:r w:rsidRPr="00733091">
        <w:rPr>
          <w:rFonts w:cstheme="minorHAnsi"/>
          <w:lang w:val="pl-PL"/>
        </w:rPr>
        <w:t xml:space="preserve"> (o 1,88% ze 152,57 osób na 1000 mieszkańców w 2009 r. do 149,86 na 1000 mieszkańców w 2019 r.). Stanowi to niekorzystny prognostyk dla sytuacji rozwojowej obszaru Południowych Mazur, szczególnie w zestawieniu z prognozami demograficznymi (z których wynika, że do 2050 r.  liczba osób w tym wieku 25-24 lata będzie spadać).</w:t>
      </w:r>
    </w:p>
    <w:p w14:paraId="72440835" w14:textId="0C43B4C7" w:rsidR="00636B20" w:rsidRPr="00DD0997" w:rsidRDefault="00636B20" w:rsidP="00DD0997">
      <w:pPr>
        <w:rPr>
          <w:rFonts w:cstheme="minorHAnsi"/>
          <w:lang w:val="pl-PL"/>
        </w:rPr>
      </w:pPr>
      <w:r w:rsidRPr="00733091">
        <w:rPr>
          <w:lang w:val="pl-PL"/>
        </w:rPr>
        <w:t xml:space="preserve">Z redukcją liczby osób w wieku produkcyjnym (w tym osób w wieku 25-34 lata) wiąże się zmiana liczby osób w wieku przedprodukcyjnym: przedszkolnym </w:t>
      </w:r>
      <w:r w:rsidR="002E24A9">
        <w:rPr>
          <w:lang w:val="pl-PL"/>
        </w:rPr>
        <w:br/>
      </w:r>
      <w:r w:rsidRPr="00733091">
        <w:rPr>
          <w:lang w:val="pl-PL"/>
        </w:rPr>
        <w:t xml:space="preserve">i szkolnym korzystających m.in. z usług w zakresie edukacji i wychowania. W okresie 2009-2019 na obszarze Południowych Mazur liczba osób w wieku </w:t>
      </w:r>
      <w:r w:rsidRPr="00733091">
        <w:rPr>
          <w:b/>
          <w:bCs/>
          <w:lang w:val="pl-PL"/>
        </w:rPr>
        <w:t>3-6 lat</w:t>
      </w:r>
      <w:r w:rsidRPr="00733091">
        <w:rPr>
          <w:lang w:val="pl-PL"/>
        </w:rPr>
        <w:t xml:space="preserve"> spadła </w:t>
      </w:r>
      <w:r w:rsidR="00462BEC">
        <w:rPr>
          <w:lang w:val="pl-PL"/>
        </w:rPr>
        <w:br/>
      </w:r>
      <w:r w:rsidRPr="00733091">
        <w:rPr>
          <w:lang w:val="pl-PL"/>
        </w:rPr>
        <w:t xml:space="preserve">o 12,27%, w wieku </w:t>
      </w:r>
      <w:r w:rsidRPr="00733091">
        <w:rPr>
          <w:b/>
          <w:bCs/>
          <w:lang w:val="pl-PL"/>
        </w:rPr>
        <w:t>7-14 lat</w:t>
      </w:r>
      <w:r w:rsidRPr="00733091">
        <w:rPr>
          <w:lang w:val="pl-PL"/>
        </w:rPr>
        <w:t xml:space="preserve"> o 9,01%, a w wieku </w:t>
      </w:r>
      <w:r w:rsidRPr="00733091">
        <w:rPr>
          <w:b/>
          <w:bCs/>
          <w:lang w:val="pl-PL"/>
        </w:rPr>
        <w:t>15-19 lat</w:t>
      </w:r>
      <w:r w:rsidRPr="00733091">
        <w:rPr>
          <w:lang w:val="pl-PL"/>
        </w:rPr>
        <w:t xml:space="preserve"> – aż o 33,62%. Prognozy demograficzne zakładają dalszy spadek </w:t>
      </w:r>
      <w:r w:rsidR="00DD0997">
        <w:rPr>
          <w:lang w:val="pl-PL"/>
        </w:rPr>
        <w:t xml:space="preserve">liczby </w:t>
      </w:r>
      <w:r w:rsidRPr="00733091">
        <w:rPr>
          <w:lang w:val="pl-PL"/>
        </w:rPr>
        <w:t xml:space="preserve">osób w tych przedziałach wiekowych: </w:t>
      </w:r>
      <w:r w:rsidR="00462BEC">
        <w:rPr>
          <w:lang w:val="pl-PL"/>
        </w:rPr>
        <w:br/>
      </w:r>
      <w:r w:rsidRPr="00733091">
        <w:rPr>
          <w:lang w:val="pl-PL"/>
        </w:rPr>
        <w:t>o 32,44% (w wieku 3-6 lat), 37,72% (w wieku 7-15 lat) i 32,34% (w wieku 16-18 lat)</w:t>
      </w:r>
      <w:r>
        <w:rPr>
          <w:rStyle w:val="Odwoanieprzypisudolnego"/>
        </w:rPr>
        <w:footnoteReference w:id="39"/>
      </w:r>
      <w:r w:rsidRPr="00733091">
        <w:rPr>
          <w:lang w:val="pl-PL"/>
        </w:rPr>
        <w:t>.</w:t>
      </w:r>
    </w:p>
    <w:p w14:paraId="36FBC97F" w14:textId="5DE1048B" w:rsidR="00636B20" w:rsidRPr="00733091" w:rsidRDefault="007D776B" w:rsidP="002E24A9">
      <w:pPr>
        <w:pStyle w:val="Legenda"/>
        <w:rPr>
          <w:rFonts w:ascii="Segoe UI" w:hAnsi="Segoe UI" w:cs="Segoe UI"/>
          <w:color w:val="FFFFFF"/>
          <w:sz w:val="21"/>
          <w:szCs w:val="21"/>
          <w:lang w:val="pl-PL"/>
        </w:rPr>
      </w:pPr>
      <w:bookmarkStart w:id="56" w:name="_Toc69723176"/>
      <w:r w:rsidRPr="00733091">
        <w:rPr>
          <w:lang w:val="pl-PL"/>
        </w:rPr>
        <w:lastRenderedPageBreak/>
        <w:t xml:space="preserve">Wykres </w:t>
      </w:r>
      <w:r w:rsidR="00733091">
        <w:fldChar w:fldCharType="begin"/>
      </w:r>
      <w:r w:rsidR="00733091" w:rsidRPr="00733091">
        <w:rPr>
          <w:lang w:val="pl-PL"/>
        </w:rPr>
        <w:instrText xml:space="preserve"> SEQ Wykres \* ARABIC </w:instrText>
      </w:r>
      <w:r w:rsidR="00733091">
        <w:fldChar w:fldCharType="separate"/>
      </w:r>
      <w:r w:rsidR="00B14787">
        <w:rPr>
          <w:noProof/>
          <w:lang w:val="pl-PL"/>
        </w:rPr>
        <w:t>18</w:t>
      </w:r>
      <w:r w:rsidR="00733091">
        <w:rPr>
          <w:noProof/>
        </w:rPr>
        <w:fldChar w:fldCharType="end"/>
      </w:r>
      <w:r w:rsidRPr="00733091">
        <w:rPr>
          <w:lang w:val="pl-PL"/>
        </w:rPr>
        <w:t xml:space="preserve">: </w:t>
      </w:r>
      <w:r w:rsidR="00636B20" w:rsidRPr="00733091">
        <w:rPr>
          <w:lang w:val="pl-PL"/>
        </w:rPr>
        <w:t>Zmiany liczby ludności Południowych Mazur w poszczególnych grupach wiekowych w latach 2009-2019</w:t>
      </w:r>
      <w:bookmarkEnd w:id="56"/>
    </w:p>
    <w:p w14:paraId="37D84FC5" w14:textId="18F24705" w:rsidR="00636B20" w:rsidRPr="00462BEC" w:rsidRDefault="00636B20" w:rsidP="00462BEC">
      <w:pPr>
        <w:pStyle w:val="podpiselementu"/>
        <w:spacing w:after="240"/>
        <w:rPr>
          <w:i/>
          <w:iCs/>
          <w:lang w:val="pl-PL"/>
        </w:rPr>
      </w:pPr>
      <w:r>
        <w:rPr>
          <w:noProof/>
        </w:rPr>
        <w:drawing>
          <wp:inline distT="0" distB="0" distL="0" distR="0" wp14:anchorId="1D4C39A5" wp14:editId="5FAC3E14">
            <wp:extent cx="5760720" cy="2304415"/>
            <wp:effectExtent l="19050" t="19050" r="11430" b="19685"/>
            <wp:docPr id="63" name="Obraz 63" descr="wykres liniowy wskazujący na zmiany liczby ludności Partnerstwa w poszczególnych grupach wiekowych w latach 2009-2019. Zmiany pokazane są dla grup wiekowych: 0-2 lata, 3-6 lat, 7-14 lat, 15-19 lat, 20-24 lata, 25-34 lata, 35-49 lat, 50-64 lata, 65-69 lat, 70-79 lat, w wieku 80 lat i powyż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Obraz 63" descr="wykres liniowy wskazujący na zmiany liczby ludności Partnerstwa w poszczególnych grupach wiekowych w latach 2009-2019. Zmiany pokazane są dla grup wiekowych: 0-2 lata, 3-6 lat, 7-14 lat, 15-19 lat, 20-24 lata, 25-34 lata, 35-49 lat, 50-64 lata, 65-69 lat, 70-79 lat, w wieku 80 lat i powyżej"/>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60720" cy="2304415"/>
                    </a:xfrm>
                    <a:prstGeom prst="rect">
                      <a:avLst/>
                    </a:prstGeom>
                    <a:noFill/>
                    <a:ln>
                      <a:solidFill>
                        <a:schemeClr val="tx2"/>
                      </a:solidFill>
                    </a:ln>
                  </pic:spPr>
                </pic:pic>
              </a:graphicData>
            </a:graphic>
          </wp:inline>
        </w:drawing>
      </w:r>
      <w:r w:rsidRPr="00733091">
        <w:rPr>
          <w:lang w:val="pl-PL"/>
        </w:rPr>
        <w:t>Źródło: opracowanie własne ZMP na podstawie https://analizy.monitorrozwoju.pl</w:t>
      </w:r>
      <w:r w:rsidRPr="00733091">
        <w:rPr>
          <w:rFonts w:ascii="Segoe UI" w:hAnsi="Segoe UI" w:cs="Segoe UI"/>
          <w:color w:val="FFFFFF"/>
          <w:sz w:val="21"/>
          <w:szCs w:val="21"/>
          <w:lang w:val="pl-PL"/>
        </w:rPr>
        <w:t xml:space="preserve">opieki </w:t>
      </w:r>
      <w:r w:rsidRPr="00733091">
        <w:rPr>
          <w:rFonts w:ascii="Segoe UI" w:hAnsi="Segoe UI" w:cs="Segoe UI"/>
          <w:color w:val="FFFFFF"/>
          <w:sz w:val="21"/>
          <w:szCs w:val="21"/>
          <w:lang w:val="pl-PL"/>
        </w:rPr>
        <w:br/>
        <w:t>z</w:t>
      </w:r>
    </w:p>
    <w:p w14:paraId="49E8AAA2" w14:textId="14A61B94" w:rsidR="00284D34" w:rsidRPr="00091BAE" w:rsidRDefault="00466A03" w:rsidP="00733091">
      <w:pPr>
        <w:pStyle w:val="Nagwek4"/>
        <w:spacing w:before="120" w:after="240"/>
      </w:pPr>
      <w:r w:rsidRPr="00466A03">
        <w:rPr>
          <w:rStyle w:val="Nagwek4Znak"/>
          <w:b/>
          <w:iCs/>
        </w:rPr>
        <w:t>Ruch naturalny i przyrost naturalny</w:t>
      </w:r>
    </w:p>
    <w:p w14:paraId="60468A23" w14:textId="77777777" w:rsidR="00636B20" w:rsidRPr="00733091" w:rsidRDefault="00636B20" w:rsidP="00733091">
      <w:pPr>
        <w:rPr>
          <w:lang w:val="pl-PL"/>
        </w:rPr>
      </w:pPr>
      <w:r w:rsidRPr="00733091">
        <w:rPr>
          <w:lang w:val="pl-PL"/>
        </w:rPr>
        <w:t xml:space="preserve">Jednym z najistotniejszych czynników kształtujących sytuację ludnościową danego obszaru jest </w:t>
      </w:r>
      <w:r w:rsidRPr="00733091">
        <w:rPr>
          <w:b/>
          <w:bCs/>
          <w:lang w:val="pl-PL"/>
        </w:rPr>
        <w:t>ruch naturalny,</w:t>
      </w:r>
      <w:r w:rsidRPr="00733091">
        <w:rPr>
          <w:lang w:val="pl-PL"/>
        </w:rPr>
        <w:t xml:space="preserve"> obejmujący urodzenia i zgony.</w:t>
      </w:r>
    </w:p>
    <w:p w14:paraId="0D2E5570" w14:textId="79D195EA" w:rsidR="00636B20" w:rsidRPr="00733091" w:rsidRDefault="00636B20" w:rsidP="00733091">
      <w:pPr>
        <w:rPr>
          <w:rFonts w:asciiTheme="majorHAnsi" w:hAnsiTheme="majorHAnsi"/>
          <w:sz w:val="18"/>
          <w:szCs w:val="18"/>
          <w:lang w:val="pl-PL"/>
        </w:rPr>
      </w:pPr>
      <w:r w:rsidRPr="00733091">
        <w:rPr>
          <w:lang w:val="pl-PL"/>
        </w:rPr>
        <w:t xml:space="preserve">W 2019 r. na obszarze Południowych Mazur przyszło na świat 2.054 dzieci, co stanowiło 15,9% ogólnej liczby urodzeń w województwie warmińsko-mazurskim. </w:t>
      </w:r>
      <w:r w:rsidR="00462BEC">
        <w:rPr>
          <w:lang w:val="pl-PL"/>
        </w:rPr>
        <w:br/>
      </w:r>
      <w:r w:rsidRPr="00733091">
        <w:rPr>
          <w:lang w:val="pl-PL"/>
        </w:rPr>
        <w:t xml:space="preserve">W okresie 2009-2019 roczna liczba urodzeń na terenie Południowych Mazur wahała się; charakteryzując się dynamiką ujemną (w porównaniu z 2009 r. liczba urodzeń </w:t>
      </w:r>
      <w:r w:rsidR="00462BEC">
        <w:rPr>
          <w:lang w:val="pl-PL"/>
        </w:rPr>
        <w:br/>
      </w:r>
      <w:r w:rsidRPr="00733091">
        <w:rPr>
          <w:lang w:val="pl-PL"/>
        </w:rPr>
        <w:t>w 2019 r. spadła o 26,75%).</w:t>
      </w:r>
    </w:p>
    <w:p w14:paraId="459064E1" w14:textId="0EB7AE08" w:rsidR="00636B20" w:rsidRPr="00733091" w:rsidRDefault="007D776B" w:rsidP="002E24A9">
      <w:pPr>
        <w:pStyle w:val="Legenda"/>
        <w:rPr>
          <w:lang w:val="pl-PL"/>
        </w:rPr>
      </w:pPr>
      <w:bookmarkStart w:id="57" w:name="_Toc69723177"/>
      <w:r w:rsidRPr="00733091">
        <w:rPr>
          <w:lang w:val="pl-PL"/>
        </w:rPr>
        <w:t xml:space="preserve">Wykres </w:t>
      </w:r>
      <w:r w:rsidR="00733091">
        <w:fldChar w:fldCharType="begin"/>
      </w:r>
      <w:r w:rsidR="00733091" w:rsidRPr="00733091">
        <w:rPr>
          <w:lang w:val="pl-PL"/>
        </w:rPr>
        <w:instrText xml:space="preserve"> SEQ Wykres \* ARABIC </w:instrText>
      </w:r>
      <w:r w:rsidR="00733091">
        <w:fldChar w:fldCharType="separate"/>
      </w:r>
      <w:r w:rsidR="00B14787">
        <w:rPr>
          <w:noProof/>
          <w:lang w:val="pl-PL"/>
        </w:rPr>
        <w:t>19</w:t>
      </w:r>
      <w:r w:rsidR="00733091">
        <w:rPr>
          <w:noProof/>
        </w:rPr>
        <w:fldChar w:fldCharType="end"/>
      </w:r>
      <w:r w:rsidRPr="00733091">
        <w:rPr>
          <w:lang w:val="pl-PL"/>
        </w:rPr>
        <w:t xml:space="preserve">: </w:t>
      </w:r>
      <w:r w:rsidR="00636B20" w:rsidRPr="00733091">
        <w:rPr>
          <w:lang w:val="pl-PL"/>
        </w:rPr>
        <w:t>Urodzenia na 1.000 mieszkańców w latach 2010-2019</w:t>
      </w:r>
      <w:bookmarkEnd w:id="57"/>
    </w:p>
    <w:p w14:paraId="3BA04F97" w14:textId="6D30FF93" w:rsidR="00636B20" w:rsidRPr="00A53827" w:rsidRDefault="00636B20" w:rsidP="00733091">
      <w:pPr>
        <w:pStyle w:val="podpiselementu"/>
        <w:spacing w:after="240"/>
        <w:rPr>
          <w:lang w:val="pl-PL"/>
        </w:rPr>
      </w:pPr>
      <w:r w:rsidRPr="00F25EBD">
        <w:rPr>
          <w:noProof/>
          <w:lang w:eastAsia="pl-PL"/>
        </w:rPr>
        <w:drawing>
          <wp:inline distT="0" distB="0" distL="0" distR="0" wp14:anchorId="6E372795" wp14:editId="79CB96A8">
            <wp:extent cx="5759450" cy="2529840"/>
            <wp:effectExtent l="0" t="0" r="12700" b="3810"/>
            <wp:docPr id="92" name="Wykres 92" descr="wykres liniowy wskazujący urodzenia na 1000 mieszkańców w latach 2010-2019. Urodzenia w powiecie piskim zaznaczone są linią niebieską, w powiecie działdowskim – pomarańczową, w powiecie nidzickim – żółtą, w powiecie szczycieńskim – zieloną, w województwie warmińsko-mazurskim – szarą, a w Polsce – czarną">
              <a:extLst xmlns:a="http://schemas.openxmlformats.org/drawingml/2006/main">
                <a:ext uri="{FF2B5EF4-FFF2-40B4-BE49-F238E27FC236}">
                  <a16:creationId xmlns:a16="http://schemas.microsoft.com/office/drawing/2014/main" id="{68D2E650-CDC0-4594-9D58-EA39BDE47D4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r w:rsidRPr="00462BEC">
        <w:rPr>
          <w:rFonts w:cstheme="minorHAnsi"/>
          <w:color w:val="44546A" w:themeColor="text2"/>
          <w:szCs w:val="24"/>
          <w:lang w:val="pl-PL"/>
        </w:rPr>
        <w:t>Źródło: opracowanie własne na podstawie danych BDL</w:t>
      </w:r>
    </w:p>
    <w:p w14:paraId="1DD65AEF" w14:textId="1C7AFCA7" w:rsidR="00636B20" w:rsidRPr="00733091" w:rsidRDefault="00636B20" w:rsidP="00462BEC">
      <w:pPr>
        <w:rPr>
          <w:lang w:val="pl-PL"/>
        </w:rPr>
      </w:pPr>
      <w:r w:rsidRPr="00733091">
        <w:rPr>
          <w:lang w:val="pl-PL"/>
        </w:rPr>
        <w:lastRenderedPageBreak/>
        <w:t xml:space="preserve">W 2019 r. na terenie Południowych Mazur zmarły łącznie 2.342 osoby, co stanowiło 15,7% ogólnej liczby osób zmarłych w województwie warmińsko-mazurskim. </w:t>
      </w:r>
      <w:r w:rsidR="00462BEC">
        <w:rPr>
          <w:lang w:val="pl-PL"/>
        </w:rPr>
        <w:br/>
      </w:r>
      <w:r w:rsidRPr="00733091">
        <w:rPr>
          <w:lang w:val="pl-PL"/>
        </w:rPr>
        <w:t>W okresie 2009-2019 roczna liczba zgonów wahała się, wykazując jednakże dynamikę wzrostową (w 2019 r. zmarło o 10,26% osób więcej niż w 2009 r.)</w:t>
      </w:r>
      <w:r w:rsidR="002E24A9">
        <w:rPr>
          <w:lang w:val="pl-PL"/>
        </w:rPr>
        <w:t>.</w:t>
      </w:r>
    </w:p>
    <w:p w14:paraId="30023BDB" w14:textId="353B5BA6" w:rsidR="00636B20" w:rsidRPr="00733091" w:rsidRDefault="00636B20" w:rsidP="00462BEC">
      <w:pPr>
        <w:rPr>
          <w:lang w:val="pl-PL"/>
        </w:rPr>
      </w:pPr>
      <w:r w:rsidRPr="00733091">
        <w:rPr>
          <w:lang w:val="pl-PL"/>
        </w:rPr>
        <w:t xml:space="preserve">W latach 2010-2018 zgony na terenie Południowych Mazur powodowane były przede wszystkim przez choroby układu krążenia (7.955 przypadków) i nowotwory (5.196) – co może mieć związek z niewystarczającą dostępnością do podstawowych </w:t>
      </w:r>
      <w:r w:rsidR="00462BEC">
        <w:rPr>
          <w:lang w:val="pl-PL"/>
        </w:rPr>
        <w:br/>
      </w:r>
      <w:r w:rsidRPr="00733091">
        <w:rPr>
          <w:lang w:val="pl-PL"/>
        </w:rPr>
        <w:t>i specjalistycznych usług zdrowotnych (w szczególności właściwej diagnostyki).</w:t>
      </w:r>
      <w:r w:rsidR="00DD0997">
        <w:rPr>
          <w:lang w:val="pl-PL"/>
        </w:rPr>
        <w:t xml:space="preserve"> </w:t>
      </w:r>
      <w:r w:rsidRPr="00733091">
        <w:rPr>
          <w:lang w:val="pl-PL"/>
        </w:rPr>
        <w:t xml:space="preserve">Wyznaczone dla tych przyczyn wskaźniki struktury wyniosły odpowiednio: 40,5% </w:t>
      </w:r>
      <w:r w:rsidR="002E24A9">
        <w:rPr>
          <w:lang w:val="pl-PL"/>
        </w:rPr>
        <w:br/>
      </w:r>
      <w:r w:rsidRPr="00733091">
        <w:rPr>
          <w:lang w:val="pl-PL"/>
        </w:rPr>
        <w:t>i 26,5%.</w:t>
      </w:r>
    </w:p>
    <w:p w14:paraId="60BEFCB9" w14:textId="64848A2D" w:rsidR="00636B20" w:rsidRPr="00733091" w:rsidRDefault="007D776B" w:rsidP="002E24A9">
      <w:pPr>
        <w:pStyle w:val="Legenda"/>
        <w:rPr>
          <w:lang w:val="pl-PL"/>
        </w:rPr>
      </w:pPr>
      <w:bookmarkStart w:id="58" w:name="_Toc69723178"/>
      <w:r w:rsidRPr="00733091">
        <w:rPr>
          <w:lang w:val="pl-PL"/>
        </w:rPr>
        <w:t xml:space="preserve">Wykres </w:t>
      </w:r>
      <w:r w:rsidR="00733091">
        <w:fldChar w:fldCharType="begin"/>
      </w:r>
      <w:r w:rsidR="00733091" w:rsidRPr="00733091">
        <w:rPr>
          <w:lang w:val="pl-PL"/>
        </w:rPr>
        <w:instrText xml:space="preserve"> SEQ Wykres \* ARABIC </w:instrText>
      </w:r>
      <w:r w:rsidR="00733091">
        <w:fldChar w:fldCharType="separate"/>
      </w:r>
      <w:r w:rsidR="00B14787">
        <w:rPr>
          <w:noProof/>
          <w:lang w:val="pl-PL"/>
        </w:rPr>
        <w:t>20</w:t>
      </w:r>
      <w:r w:rsidR="00733091">
        <w:rPr>
          <w:noProof/>
        </w:rPr>
        <w:fldChar w:fldCharType="end"/>
      </w:r>
      <w:r w:rsidRPr="00733091">
        <w:rPr>
          <w:lang w:val="pl-PL"/>
        </w:rPr>
        <w:t xml:space="preserve">: </w:t>
      </w:r>
      <w:r w:rsidR="00636B20" w:rsidRPr="00733091">
        <w:rPr>
          <w:lang w:val="pl-PL"/>
        </w:rPr>
        <w:t>Zgony na 1.000 mieszkańców w latach 2010-2019</w:t>
      </w:r>
      <w:bookmarkEnd w:id="58"/>
    </w:p>
    <w:p w14:paraId="7D8BC841" w14:textId="1BEB4AD8" w:rsidR="00636B20" w:rsidRPr="00A53827" w:rsidRDefault="00636B20" w:rsidP="00733091">
      <w:pPr>
        <w:pStyle w:val="podpiselementu"/>
        <w:spacing w:after="240"/>
        <w:rPr>
          <w:lang w:val="pl-PL"/>
        </w:rPr>
      </w:pPr>
      <w:r w:rsidRPr="00F25EBD">
        <w:rPr>
          <w:noProof/>
          <w:lang w:eastAsia="pl-PL"/>
        </w:rPr>
        <w:drawing>
          <wp:inline distT="0" distB="0" distL="0" distR="0" wp14:anchorId="0E745DBB" wp14:editId="20DC7A91">
            <wp:extent cx="5759450" cy="2392680"/>
            <wp:effectExtent l="0" t="0" r="12700" b="7620"/>
            <wp:docPr id="41" name="Wykres 41" descr="wykres liniowy wskazujący zgony na 1000 mieszkańców w latach 2010-2019. Urodzenia w powiecie piskim zaznaczone są linią niebieską, w powiecie działdowskim – pomarańczową, w powiecie nidzickim – żółtą, w powiecie szczycieńskim – zieloną, w województwie warmińsko-mazurskim – szarą, a w Polsce – czarną">
              <a:extLst xmlns:a="http://schemas.openxmlformats.org/drawingml/2006/main">
                <a:ext uri="{FF2B5EF4-FFF2-40B4-BE49-F238E27FC236}">
                  <a16:creationId xmlns:a16="http://schemas.microsoft.com/office/drawing/2014/main" id="{31637A32-AD9A-48C0-99E6-81B4D0349C9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r w:rsidRPr="006120C4">
        <w:rPr>
          <w:lang w:val="pl-PL"/>
        </w:rPr>
        <w:t>Źródło: opracowanie własne na podstawie danych BDL</w:t>
      </w:r>
    </w:p>
    <w:p w14:paraId="7ED71EE9" w14:textId="4137C5FF" w:rsidR="00636B20" w:rsidRPr="00733091" w:rsidRDefault="00636B20" w:rsidP="00733091">
      <w:pPr>
        <w:rPr>
          <w:rFonts w:eastAsia="Times New Roman"/>
          <w:color w:val="000000"/>
          <w:lang w:val="pl-PL" w:eastAsia="pl-PL"/>
        </w:rPr>
      </w:pPr>
      <w:r w:rsidRPr="00733091">
        <w:rPr>
          <w:shd w:val="clear" w:color="auto" w:fill="FFFFFF"/>
          <w:lang w:val="pl-PL"/>
        </w:rPr>
        <w:t>Różnica pomiędzy liczbą urodzeń żywych</w:t>
      </w:r>
      <w:r w:rsidR="002E24A9">
        <w:rPr>
          <w:shd w:val="clear" w:color="auto" w:fill="FFFFFF"/>
          <w:lang w:val="pl-PL"/>
        </w:rPr>
        <w:t>,</w:t>
      </w:r>
      <w:r w:rsidRPr="00733091">
        <w:rPr>
          <w:shd w:val="clear" w:color="auto" w:fill="FFFFFF"/>
          <w:lang w:val="pl-PL"/>
        </w:rPr>
        <w:t xml:space="preserve"> a liczbą zgonów wskazuje na wartość przyrostu naturalnego. Zarówno w przypadku Południowych Mazur, jak </w:t>
      </w:r>
      <w:r w:rsidR="001C373F">
        <w:rPr>
          <w:shd w:val="clear" w:color="auto" w:fill="FFFFFF"/>
          <w:lang w:val="pl-PL"/>
        </w:rPr>
        <w:br/>
      </w:r>
      <w:r w:rsidRPr="00733091">
        <w:rPr>
          <w:shd w:val="clear" w:color="auto" w:fill="FFFFFF"/>
          <w:lang w:val="pl-PL"/>
        </w:rPr>
        <w:t xml:space="preserve">i województwa warmińsko-mazurskiego w 2019 r. przyrost naturalny był ujemny </w:t>
      </w:r>
      <w:r w:rsidR="001C373F">
        <w:rPr>
          <w:shd w:val="clear" w:color="auto" w:fill="FFFFFF"/>
          <w:lang w:val="pl-PL"/>
        </w:rPr>
        <w:br/>
      </w:r>
      <w:r w:rsidRPr="00733091">
        <w:rPr>
          <w:shd w:val="clear" w:color="auto" w:fill="FFFFFF"/>
          <w:lang w:val="pl-PL"/>
        </w:rPr>
        <w:t xml:space="preserve">i wynosił </w:t>
      </w:r>
      <w:r w:rsidRPr="00733091">
        <w:rPr>
          <w:rFonts w:eastAsia="Times New Roman"/>
          <w:color w:val="000000"/>
          <w:lang w:val="pl-PL" w:eastAsia="pl-PL"/>
        </w:rPr>
        <w:t>na 1 tys. ludności: w Południowych Mazurach -1,54, a w województwie warmińsko-mazurskim -1,4 (dla porównania w Polsce – 0,9).</w:t>
      </w:r>
    </w:p>
    <w:p w14:paraId="1DC9BE1E" w14:textId="77777777" w:rsidR="00636B20" w:rsidRPr="00733091" w:rsidRDefault="00636B20" w:rsidP="00733091">
      <w:pPr>
        <w:rPr>
          <w:rFonts w:eastAsia="Times New Roman"/>
          <w:color w:val="000000"/>
          <w:lang w:val="pl-PL" w:eastAsia="pl-PL"/>
        </w:rPr>
      </w:pPr>
      <w:r w:rsidRPr="00733091">
        <w:rPr>
          <w:rFonts w:eastAsia="Times New Roman"/>
          <w:color w:val="000000"/>
          <w:lang w:val="pl-PL" w:eastAsia="pl-PL"/>
        </w:rPr>
        <w:t>W latach 2009-2019 wskaźnik przyrostu naturalnego w Południowych Mazurach wahał się; jednakże od 2015 r. wykazuje wyraźną dynamikę ujemną.</w:t>
      </w:r>
    </w:p>
    <w:p w14:paraId="5F8F46E9" w14:textId="700FA4E2" w:rsidR="00636B20" w:rsidRPr="00733091" w:rsidRDefault="00636B20" w:rsidP="00733091">
      <w:pPr>
        <w:rPr>
          <w:rFonts w:eastAsia="Times New Roman"/>
          <w:color w:val="000000"/>
          <w:lang w:val="pl-PL" w:eastAsia="pl-PL"/>
        </w:rPr>
      </w:pPr>
      <w:r w:rsidRPr="00733091">
        <w:rPr>
          <w:rFonts w:eastAsia="Times New Roman"/>
          <w:color w:val="000000"/>
          <w:lang w:val="pl-PL" w:eastAsia="pl-PL"/>
        </w:rPr>
        <w:t>Najtrudniejszą sytuację w tym zakresie (największą ujemną dynamikę przyrostu naturalnego od 2009 r.) odnotowały: Świętajno, gmina miejska Szczytno, Ruciane-Nida, Orzysz, Lidzbark, najkorzystniejszą zaś (najmniejsza dynamika ujemna lub dynamika dodatnia): Janowo, Kozłowo i Wielbark.</w:t>
      </w:r>
    </w:p>
    <w:p w14:paraId="16A03376" w14:textId="377A40A9" w:rsidR="00636B20" w:rsidRPr="00733091" w:rsidRDefault="007D776B" w:rsidP="002E24A9">
      <w:pPr>
        <w:pStyle w:val="Legenda"/>
        <w:rPr>
          <w:rFonts w:eastAsia="Times New Roman" w:cstheme="minorHAnsi"/>
          <w:color w:val="000000"/>
          <w:lang w:val="pl-PL" w:eastAsia="pl-PL"/>
        </w:rPr>
      </w:pPr>
      <w:bookmarkStart w:id="59" w:name="_Toc69723179"/>
      <w:r w:rsidRPr="00733091">
        <w:rPr>
          <w:lang w:val="pl-PL"/>
        </w:rPr>
        <w:lastRenderedPageBreak/>
        <w:t xml:space="preserve">Wykres </w:t>
      </w:r>
      <w:r w:rsidR="00733091">
        <w:fldChar w:fldCharType="begin"/>
      </w:r>
      <w:r w:rsidR="00733091" w:rsidRPr="00733091">
        <w:rPr>
          <w:lang w:val="pl-PL"/>
        </w:rPr>
        <w:instrText xml:space="preserve"> SEQ Wykres \* ARABIC </w:instrText>
      </w:r>
      <w:r w:rsidR="00733091">
        <w:fldChar w:fldCharType="separate"/>
      </w:r>
      <w:r w:rsidR="00B14787">
        <w:rPr>
          <w:noProof/>
          <w:lang w:val="pl-PL"/>
        </w:rPr>
        <w:t>21</w:t>
      </w:r>
      <w:r w:rsidR="00733091">
        <w:rPr>
          <w:noProof/>
        </w:rPr>
        <w:fldChar w:fldCharType="end"/>
      </w:r>
      <w:r w:rsidRPr="00733091">
        <w:rPr>
          <w:lang w:val="pl-PL"/>
        </w:rPr>
        <w:t xml:space="preserve">: </w:t>
      </w:r>
      <w:r w:rsidR="00636B20" w:rsidRPr="00733091">
        <w:rPr>
          <w:lang w:val="pl-PL"/>
        </w:rPr>
        <w:t>Przyrost naturalny w Południowych Mazurach na 1000 mieszkańców w latach 2009-2019</w:t>
      </w:r>
      <w:bookmarkEnd w:id="59"/>
    </w:p>
    <w:p w14:paraId="0EF91CD1" w14:textId="31D7A3E5" w:rsidR="00636B20" w:rsidRPr="00A53827" w:rsidRDefault="00636B20" w:rsidP="00733091">
      <w:pPr>
        <w:pStyle w:val="podpiselementu"/>
        <w:spacing w:after="240"/>
        <w:rPr>
          <w:rFonts w:eastAsia="Times New Roman" w:cstheme="minorHAnsi"/>
          <w:color w:val="000000"/>
          <w:lang w:val="pl-PL" w:eastAsia="pl-PL"/>
        </w:rPr>
      </w:pPr>
      <w:r>
        <w:rPr>
          <w:noProof/>
        </w:rPr>
        <w:drawing>
          <wp:inline distT="0" distB="0" distL="0" distR="0" wp14:anchorId="2B5AD130" wp14:editId="070FC8DF">
            <wp:extent cx="5760720" cy="2617470"/>
            <wp:effectExtent l="19050" t="19050" r="11430" b="11430"/>
            <wp:docPr id="93" name="Obraz 93" descr="wykres liniowy wskazujący na przyrost naturalny na 1000 mieszkańców obszaru Partnerstwa Południowe Mazury w latach 2009-2019 w podziale na gmi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Obraz 93" descr="wykres liniowy wskazujący na przyrost naturalny na 1000 mieszkańców obszaru Partnerstwa Południowe Mazury w latach 2009-2019 w podziale na gminy"/>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60720" cy="2617470"/>
                    </a:xfrm>
                    <a:prstGeom prst="rect">
                      <a:avLst/>
                    </a:prstGeom>
                    <a:noFill/>
                    <a:ln>
                      <a:solidFill>
                        <a:schemeClr val="tx2"/>
                      </a:solidFill>
                    </a:ln>
                  </pic:spPr>
                </pic:pic>
              </a:graphicData>
            </a:graphic>
          </wp:inline>
        </w:drawing>
      </w:r>
      <w:r w:rsidRPr="00462BEC">
        <w:rPr>
          <w:color w:val="44546A" w:themeColor="text2"/>
          <w:szCs w:val="24"/>
          <w:lang w:val="pl-PL"/>
        </w:rPr>
        <w:t xml:space="preserve">Źródło: </w:t>
      </w:r>
      <w:r w:rsidRPr="00462BEC">
        <w:rPr>
          <w:rFonts w:cstheme="majorHAnsi"/>
          <w:color w:val="44546A" w:themeColor="text2"/>
          <w:szCs w:val="24"/>
          <w:lang w:val="pl-PL"/>
        </w:rPr>
        <w:t>opracowanie ZMP na podstawie https://analizy.monitorrozwoju.pl</w:t>
      </w:r>
      <w:r w:rsidRPr="00462BEC">
        <w:rPr>
          <w:rFonts w:ascii="Segoe UI" w:hAnsi="Segoe UI" w:cs="Segoe UI"/>
          <w:color w:val="FFFFFF"/>
          <w:szCs w:val="24"/>
          <w:lang w:val="pl-PL"/>
        </w:rPr>
        <w:t>opie</w:t>
      </w:r>
    </w:p>
    <w:p w14:paraId="111859BB" w14:textId="79875F1C" w:rsidR="00636B20" w:rsidRPr="00733091" w:rsidRDefault="00A53827" w:rsidP="00733091">
      <w:pPr>
        <w:rPr>
          <w:rFonts w:ascii="Segoe UI" w:hAnsi="Segoe UI" w:cs="Segoe UI"/>
          <w:color w:val="FFFFFF"/>
          <w:sz w:val="21"/>
          <w:szCs w:val="21"/>
          <w:lang w:val="pl-PL"/>
        </w:rPr>
      </w:pPr>
      <w:r>
        <w:rPr>
          <w:lang w:val="pl-PL"/>
        </w:rPr>
        <w:br/>
      </w:r>
      <w:r w:rsidR="00636B20" w:rsidRPr="00733091">
        <w:rPr>
          <w:lang w:val="pl-PL"/>
        </w:rPr>
        <w:t xml:space="preserve">Negatywny wpływ na przyrost naturalny w Południowych Mazurach w badanym okresie miała spadająca od 2009 r. liczba kobiet w wieku prokreacyjnym (15-49 lat) oraz ich dzietność. W latach 2009-2019 znacznie zmniejszył się wskaźnik udziału kobiet w wieku prokreacyjnym na 1 tys. mieszkańców (o -5,63%) oraz współczynnik dzietności kobiet (spadek o 24,43%). Współczynnik dzietności kobiet wyniósł w </w:t>
      </w:r>
      <w:r w:rsidR="00DD0997">
        <w:rPr>
          <w:lang w:val="pl-PL"/>
        </w:rPr>
        <w:t xml:space="preserve"> </w:t>
      </w:r>
      <w:r w:rsidR="00636B20" w:rsidRPr="00733091">
        <w:rPr>
          <w:lang w:val="pl-PL"/>
        </w:rPr>
        <w:t>2019 r. 1,33</w:t>
      </w:r>
      <w:r w:rsidR="00DD0997">
        <w:rPr>
          <w:rStyle w:val="Odwoanieprzypisudolnego"/>
          <w:lang w:val="pl-PL"/>
        </w:rPr>
        <w:footnoteReference w:id="40"/>
      </w:r>
      <w:r w:rsidR="00482BA2">
        <w:rPr>
          <w:lang w:val="pl-PL"/>
        </w:rPr>
        <w:t xml:space="preserve">, a jego wartość była </w:t>
      </w:r>
      <w:r w:rsidR="00636B20" w:rsidRPr="00733091">
        <w:rPr>
          <w:lang w:val="pl-PL"/>
        </w:rPr>
        <w:t>porównywaln</w:t>
      </w:r>
      <w:r w:rsidR="00482BA2">
        <w:rPr>
          <w:lang w:val="pl-PL"/>
        </w:rPr>
        <w:t>a</w:t>
      </w:r>
      <w:r w:rsidR="00636B20" w:rsidRPr="00733091">
        <w:rPr>
          <w:lang w:val="pl-PL"/>
        </w:rPr>
        <w:t xml:space="preserve"> do </w:t>
      </w:r>
      <w:r w:rsidR="00482BA2">
        <w:rPr>
          <w:lang w:val="pl-PL"/>
        </w:rPr>
        <w:t xml:space="preserve">poziomu wskaźnika </w:t>
      </w:r>
      <w:r w:rsidR="00636B20" w:rsidRPr="00733091">
        <w:rPr>
          <w:lang w:val="pl-PL"/>
        </w:rPr>
        <w:t>w województwie warmińsko-mazurskim (1,32) i niższ</w:t>
      </w:r>
      <w:r w:rsidR="00482BA2">
        <w:rPr>
          <w:lang w:val="pl-PL"/>
        </w:rPr>
        <w:t>a</w:t>
      </w:r>
      <w:r w:rsidR="00636B20" w:rsidRPr="00733091">
        <w:rPr>
          <w:lang w:val="pl-PL"/>
        </w:rPr>
        <w:t xml:space="preserve"> niż w Polce (1,42).</w:t>
      </w:r>
    </w:p>
    <w:p w14:paraId="34416EEB" w14:textId="151813ED" w:rsidR="00284D34" w:rsidRPr="00091BAE" w:rsidRDefault="00E4424D" w:rsidP="00733091">
      <w:pPr>
        <w:pStyle w:val="Nagwek4"/>
        <w:spacing w:before="120" w:after="240"/>
      </w:pPr>
      <w:r w:rsidRPr="00E4424D">
        <w:rPr>
          <w:rStyle w:val="Nagwek4Znak"/>
          <w:b/>
          <w:iCs/>
        </w:rPr>
        <w:t>Migracje</w:t>
      </w:r>
    </w:p>
    <w:p w14:paraId="278C6078" w14:textId="77777777" w:rsidR="00636B20" w:rsidRPr="00733091" w:rsidRDefault="00636B20" w:rsidP="00733091">
      <w:pPr>
        <w:rPr>
          <w:lang w:val="pl-PL"/>
        </w:rPr>
      </w:pPr>
      <w:r w:rsidRPr="00733091">
        <w:rPr>
          <w:lang w:val="pl-PL"/>
        </w:rPr>
        <w:t>Czynnikiem kształtującym stan i strukturę ludności Południowych Mazur – oprócz ruchów naturalnych - są ruchy migracyjne.</w:t>
      </w:r>
    </w:p>
    <w:p w14:paraId="4F5D942A" w14:textId="39614A93" w:rsidR="00636B20" w:rsidRPr="00733091" w:rsidRDefault="00636B20" w:rsidP="00733091">
      <w:pPr>
        <w:rPr>
          <w:rFonts w:cstheme="majorHAnsi"/>
          <w:lang w:val="pl-PL"/>
        </w:rPr>
      </w:pPr>
      <w:r w:rsidRPr="00733091">
        <w:rPr>
          <w:rFonts w:cstheme="majorHAnsi"/>
          <w:lang w:val="pl-PL"/>
        </w:rPr>
        <w:t>W latach 2009-2019</w:t>
      </w:r>
      <w:r w:rsidRPr="00707A22">
        <w:rPr>
          <w:rStyle w:val="Odwoanieprzypisudolnego"/>
          <w:rFonts w:cstheme="majorHAnsi"/>
        </w:rPr>
        <w:footnoteReference w:id="41"/>
      </w:r>
      <w:r w:rsidRPr="00733091">
        <w:rPr>
          <w:rFonts w:cstheme="majorHAnsi"/>
          <w:lang w:val="pl-PL"/>
        </w:rPr>
        <w:t xml:space="preserve"> na obszarze Południowych Mazur zameldowano 23.575 osób, co stanowiło 14,03%</w:t>
      </w:r>
      <w:r>
        <w:rPr>
          <w:rStyle w:val="Odwoanieprzypisudolnego"/>
          <w:rFonts w:cstheme="majorHAnsi"/>
        </w:rPr>
        <w:footnoteReference w:id="42"/>
      </w:r>
      <w:r w:rsidRPr="00733091">
        <w:rPr>
          <w:rFonts w:cstheme="majorHAnsi"/>
          <w:lang w:val="pl-PL"/>
        </w:rPr>
        <w:t xml:space="preserve"> ogółu zameldowań w województwie warmińsko-mazurskim. Zameldowania w Południowych Mazurach były efektem migracji wewnętrznych - zmiany miejsca zamieszkania (na stałe lub czasow</w:t>
      </w:r>
      <w:r w:rsidR="00482BA2">
        <w:rPr>
          <w:rFonts w:cstheme="majorHAnsi"/>
          <w:lang w:val="pl-PL"/>
        </w:rPr>
        <w:t>e</w:t>
      </w:r>
      <w:r w:rsidRPr="00733091">
        <w:rPr>
          <w:rFonts w:cstheme="majorHAnsi"/>
          <w:lang w:val="pl-PL"/>
        </w:rPr>
        <w:t>) w obrębie kraju. W grupie osiedlających się na terenie Południowych Mazur ponad 67% stanowiły osoby, które przyjechały spoza obszaru Partnerstwa, z czego większość (64%) była dotychczas zameldowana w innym, niż województwo warmińsko-mazurskie, regionie kraju.</w:t>
      </w:r>
    </w:p>
    <w:p w14:paraId="1C0C4C93" w14:textId="18FBFE0D" w:rsidR="00636B20" w:rsidRPr="00733091" w:rsidRDefault="00636B20" w:rsidP="00733091">
      <w:pPr>
        <w:rPr>
          <w:rFonts w:cstheme="majorHAnsi"/>
          <w:lang w:val="pl-PL"/>
        </w:rPr>
      </w:pPr>
      <w:r w:rsidRPr="00733091">
        <w:rPr>
          <w:rFonts w:cstheme="majorHAnsi"/>
          <w:lang w:val="pl-PL"/>
        </w:rPr>
        <w:lastRenderedPageBreak/>
        <w:t>W tym samym czasie na obszarze Południowych Mazur odnotowano łącznie 32.382 wymeldowań, co stanowiło 16,25%</w:t>
      </w:r>
      <w:r>
        <w:rPr>
          <w:rStyle w:val="Odwoanieprzypisudolnego"/>
          <w:rFonts w:cstheme="majorHAnsi"/>
        </w:rPr>
        <w:footnoteReference w:id="43"/>
      </w:r>
      <w:r w:rsidRPr="00733091">
        <w:rPr>
          <w:rFonts w:cstheme="majorHAnsi"/>
          <w:lang w:val="pl-PL"/>
        </w:rPr>
        <w:t xml:space="preserve"> tego typu aktywności w województwie warmińsko-mazurskim. W grupie osób opuszczających obszar Partnerstwa przeważały te, które jako miejsce docelowe wybierały region inny niż województwo warmińsko-mazurskie (ponad 52%).</w:t>
      </w:r>
    </w:p>
    <w:p w14:paraId="1EE264BE" w14:textId="2EF3FAFF" w:rsidR="00636B20" w:rsidRPr="00733091" w:rsidRDefault="00636B20" w:rsidP="00733091">
      <w:pPr>
        <w:rPr>
          <w:rFonts w:cstheme="minorHAnsi"/>
          <w:lang w:val="pl-PL"/>
        </w:rPr>
      </w:pPr>
      <w:r w:rsidRPr="00733091">
        <w:rPr>
          <w:rFonts w:cstheme="minorHAnsi"/>
          <w:lang w:val="pl-PL"/>
        </w:rPr>
        <w:t>Wzajemna relacja między zameldowaniami i wymeldowaniami</w:t>
      </w:r>
      <w:r w:rsidR="00482BA2">
        <w:rPr>
          <w:rFonts w:cstheme="minorHAnsi"/>
          <w:lang w:val="pl-PL"/>
        </w:rPr>
        <w:t xml:space="preserve"> - </w:t>
      </w:r>
      <w:r w:rsidRPr="00733091">
        <w:rPr>
          <w:rFonts w:cstheme="minorHAnsi"/>
          <w:lang w:val="pl-PL"/>
        </w:rPr>
        <w:t>saldo migracji</w:t>
      </w:r>
      <w:r w:rsidR="00482BA2">
        <w:rPr>
          <w:rFonts w:cstheme="minorHAnsi"/>
          <w:lang w:val="pl-PL"/>
        </w:rPr>
        <w:t xml:space="preserve"> </w:t>
      </w:r>
      <w:r w:rsidRPr="00733091">
        <w:rPr>
          <w:rFonts w:cstheme="minorHAnsi"/>
          <w:lang w:val="pl-PL"/>
        </w:rPr>
        <w:t>w latach 2009-2019</w:t>
      </w:r>
      <w:r w:rsidRPr="00A2573B">
        <w:rPr>
          <w:rStyle w:val="Odwoanieprzypisudolnego"/>
          <w:rFonts w:cstheme="minorHAnsi"/>
        </w:rPr>
        <w:footnoteReference w:id="44"/>
      </w:r>
      <w:r w:rsidRPr="00733091">
        <w:rPr>
          <w:rFonts w:cstheme="minorHAnsi"/>
          <w:lang w:val="pl-PL"/>
        </w:rPr>
        <w:t xml:space="preserve"> był</w:t>
      </w:r>
      <w:r w:rsidR="00482BA2">
        <w:rPr>
          <w:rFonts w:cstheme="minorHAnsi"/>
          <w:lang w:val="pl-PL"/>
        </w:rPr>
        <w:t>a</w:t>
      </w:r>
      <w:r w:rsidRPr="00733091">
        <w:rPr>
          <w:rFonts w:cstheme="minorHAnsi"/>
          <w:lang w:val="pl-PL"/>
        </w:rPr>
        <w:t xml:space="preserve"> ujemn</w:t>
      </w:r>
      <w:r w:rsidR="00482BA2">
        <w:rPr>
          <w:rFonts w:cstheme="minorHAnsi"/>
          <w:lang w:val="pl-PL"/>
        </w:rPr>
        <w:t>a</w:t>
      </w:r>
      <w:r w:rsidRPr="00733091">
        <w:rPr>
          <w:rFonts w:cstheme="minorHAnsi"/>
          <w:lang w:val="pl-PL"/>
        </w:rPr>
        <w:t xml:space="preserve"> i wyniosł</w:t>
      </w:r>
      <w:r w:rsidR="00482BA2">
        <w:rPr>
          <w:rFonts w:cstheme="minorHAnsi"/>
          <w:lang w:val="pl-PL"/>
        </w:rPr>
        <w:t xml:space="preserve">a </w:t>
      </w:r>
      <w:r w:rsidRPr="00733091">
        <w:rPr>
          <w:rFonts w:cstheme="minorHAnsi"/>
          <w:lang w:val="pl-PL"/>
        </w:rPr>
        <w:t xml:space="preserve">– 8.807 osób. </w:t>
      </w:r>
      <w:r w:rsidR="00482BA2">
        <w:rPr>
          <w:rFonts w:cstheme="minorHAnsi"/>
          <w:lang w:val="pl-PL"/>
        </w:rPr>
        <w:t>O</w:t>
      </w:r>
      <w:r w:rsidRPr="00733091">
        <w:rPr>
          <w:rFonts w:cstheme="minorHAnsi"/>
          <w:lang w:val="pl-PL"/>
        </w:rPr>
        <w:t>znacza</w:t>
      </w:r>
      <w:r w:rsidR="00482BA2">
        <w:rPr>
          <w:rFonts w:cstheme="minorHAnsi"/>
          <w:lang w:val="pl-PL"/>
        </w:rPr>
        <w:t xml:space="preserve"> to</w:t>
      </w:r>
      <w:r w:rsidRPr="00733091">
        <w:rPr>
          <w:rFonts w:cstheme="minorHAnsi"/>
          <w:lang w:val="pl-PL"/>
        </w:rPr>
        <w:t>, że w analizowanym okresie zdecydowanie więcej osób opuściło, niż</w:t>
      </w:r>
      <w:r w:rsidR="00462BEC">
        <w:rPr>
          <w:rFonts w:cstheme="minorHAnsi"/>
          <w:lang w:val="pl-PL"/>
        </w:rPr>
        <w:t xml:space="preserve"> </w:t>
      </w:r>
      <w:r w:rsidRPr="00733091">
        <w:rPr>
          <w:rFonts w:cstheme="minorHAnsi"/>
          <w:lang w:val="pl-PL"/>
        </w:rPr>
        <w:t>osiedliło się na obszarze Partnerstwa.</w:t>
      </w:r>
    </w:p>
    <w:p w14:paraId="6E3F8F7B" w14:textId="407589E3" w:rsidR="00636B20" w:rsidRPr="00733091" w:rsidRDefault="00482BA2" w:rsidP="00733091">
      <w:pPr>
        <w:rPr>
          <w:rFonts w:cstheme="majorHAnsi"/>
          <w:lang w:val="pl-PL"/>
        </w:rPr>
      </w:pPr>
      <w:r>
        <w:rPr>
          <w:rFonts w:cstheme="majorHAnsi"/>
          <w:shd w:val="clear" w:color="auto" w:fill="FFFFFF" w:themeFill="background1"/>
          <w:lang w:val="pl-PL"/>
        </w:rPr>
        <w:t xml:space="preserve">Ujemne saldo migracji charakteryzowało </w:t>
      </w:r>
      <w:r w:rsidR="00636B20" w:rsidRPr="00733091">
        <w:rPr>
          <w:rFonts w:cstheme="majorHAnsi"/>
          <w:shd w:val="clear" w:color="auto" w:fill="FFFFFF" w:themeFill="background1"/>
          <w:lang w:val="pl-PL"/>
        </w:rPr>
        <w:t>większoś</w:t>
      </w:r>
      <w:r>
        <w:rPr>
          <w:rFonts w:cstheme="majorHAnsi"/>
          <w:shd w:val="clear" w:color="auto" w:fill="FFFFFF" w:themeFill="background1"/>
          <w:lang w:val="pl-PL"/>
        </w:rPr>
        <w:t>ć</w:t>
      </w:r>
      <w:r w:rsidR="00636B20" w:rsidRPr="00733091">
        <w:rPr>
          <w:rFonts w:cstheme="majorHAnsi"/>
          <w:shd w:val="clear" w:color="auto" w:fill="FFFFFF" w:themeFill="background1"/>
          <w:lang w:val="pl-PL"/>
        </w:rPr>
        <w:t xml:space="preserve"> gmin</w:t>
      </w:r>
      <w:r w:rsidR="00636B20" w:rsidRPr="00EF70B0">
        <w:rPr>
          <w:rStyle w:val="Odwoanieprzypisudolnego"/>
          <w:rFonts w:cstheme="majorHAnsi"/>
          <w:shd w:val="clear" w:color="auto" w:fill="FFFFFF" w:themeFill="background1"/>
        </w:rPr>
        <w:footnoteReference w:id="45"/>
      </w:r>
      <w:r w:rsidR="00636B20" w:rsidRPr="00733091">
        <w:rPr>
          <w:rFonts w:cstheme="majorHAnsi"/>
          <w:shd w:val="clear" w:color="auto" w:fill="FFFFFF" w:themeFill="background1"/>
          <w:lang w:val="pl-PL"/>
        </w:rPr>
        <w:t>. Najmniej korzystna sytuacja</w:t>
      </w:r>
      <w:r w:rsidR="00636B20" w:rsidRPr="00733091">
        <w:rPr>
          <w:rFonts w:cstheme="majorHAnsi"/>
          <w:lang w:val="pl-PL"/>
        </w:rPr>
        <w:t xml:space="preserve"> (wyrażona saldem migracji przeliczonym na 1 tys. mieszkańców – wykres poniżej) występowała w Dźwierzutach, Iłowo-Osadzie, Kozłowie i Świętajnie; najkorzystniejsza – w Pasymiu.</w:t>
      </w:r>
    </w:p>
    <w:p w14:paraId="4E11ABA8" w14:textId="2C19D534" w:rsidR="00636B20" w:rsidRPr="00733091" w:rsidRDefault="007D776B" w:rsidP="002E24A9">
      <w:pPr>
        <w:pStyle w:val="Legenda"/>
        <w:rPr>
          <w:rFonts w:cstheme="majorHAnsi"/>
          <w:lang w:val="pl-PL"/>
        </w:rPr>
      </w:pPr>
      <w:bookmarkStart w:id="60" w:name="_Toc69723180"/>
      <w:r w:rsidRPr="00733091">
        <w:rPr>
          <w:lang w:val="pl-PL"/>
        </w:rPr>
        <w:t xml:space="preserve">Wykres </w:t>
      </w:r>
      <w:r w:rsidR="00733091">
        <w:fldChar w:fldCharType="begin"/>
      </w:r>
      <w:r w:rsidR="00733091" w:rsidRPr="00733091">
        <w:rPr>
          <w:lang w:val="pl-PL"/>
        </w:rPr>
        <w:instrText xml:space="preserve"> SEQ Wykres \* ARABIC </w:instrText>
      </w:r>
      <w:r w:rsidR="00733091">
        <w:fldChar w:fldCharType="separate"/>
      </w:r>
      <w:r w:rsidR="00B14787">
        <w:rPr>
          <w:noProof/>
          <w:lang w:val="pl-PL"/>
        </w:rPr>
        <w:t>22</w:t>
      </w:r>
      <w:r w:rsidR="00733091">
        <w:rPr>
          <w:noProof/>
        </w:rPr>
        <w:fldChar w:fldCharType="end"/>
      </w:r>
      <w:r w:rsidRPr="00733091">
        <w:rPr>
          <w:lang w:val="pl-PL"/>
        </w:rPr>
        <w:t xml:space="preserve">: </w:t>
      </w:r>
      <w:r w:rsidR="00636B20" w:rsidRPr="00733091">
        <w:rPr>
          <w:lang w:val="pl-PL"/>
        </w:rPr>
        <w:t>Saldo migracji na 1000 mieszkańców w latach 2009-2019</w:t>
      </w:r>
      <w:bookmarkEnd w:id="60"/>
    </w:p>
    <w:p w14:paraId="72D8D669" w14:textId="4ACE0DB4" w:rsidR="00636B20" w:rsidRPr="00733091" w:rsidRDefault="00636B20" w:rsidP="009B403E">
      <w:pPr>
        <w:pStyle w:val="podpiselementu"/>
        <w:spacing w:after="240"/>
        <w:rPr>
          <w:rFonts w:cstheme="majorHAnsi"/>
          <w:lang w:val="pl-PL"/>
        </w:rPr>
      </w:pPr>
      <w:r>
        <w:rPr>
          <w:noProof/>
        </w:rPr>
        <w:drawing>
          <wp:inline distT="0" distB="0" distL="0" distR="0" wp14:anchorId="12852DAF" wp14:editId="64C3175C">
            <wp:extent cx="5760720" cy="2333857"/>
            <wp:effectExtent l="19050" t="19050" r="11430" b="28575"/>
            <wp:docPr id="108" name="Obraz 108" descr="wykres liniowy wskazujący na saldo migracji na 1000 mieszkańców obszaru Partnerstwa Południowe Mazury w latach 2009-2019 w podziale na gmi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Obraz 108" descr="wykres liniowy wskazujący na saldo migracji na 1000 mieszkańców obszaru Partnerstwa Południowe Mazury w latach 2009-2019 w podziale na gminy"/>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68822" cy="2337139"/>
                    </a:xfrm>
                    <a:prstGeom prst="rect">
                      <a:avLst/>
                    </a:prstGeom>
                    <a:noFill/>
                    <a:ln>
                      <a:solidFill>
                        <a:schemeClr val="tx2"/>
                      </a:solidFill>
                    </a:ln>
                  </pic:spPr>
                </pic:pic>
              </a:graphicData>
            </a:graphic>
          </wp:inline>
        </w:drawing>
      </w:r>
      <w:r w:rsidRPr="00A53827">
        <w:rPr>
          <w:rFonts w:asciiTheme="majorHAnsi" w:hAnsiTheme="majorHAnsi" w:cstheme="majorHAnsi"/>
          <w:color w:val="44546A" w:themeColor="text2"/>
          <w:szCs w:val="24"/>
          <w:lang w:val="pl-PL"/>
        </w:rPr>
        <w:t>Źródło: opracowanie ZMP na podstawie https://analizy.monitorrozwoju.pl</w:t>
      </w:r>
      <w:r w:rsidRPr="00A53827">
        <w:rPr>
          <w:rFonts w:asciiTheme="majorHAnsi" w:hAnsiTheme="majorHAnsi" w:cstheme="majorHAnsi"/>
          <w:color w:val="FFFFFF"/>
          <w:szCs w:val="24"/>
          <w:lang w:val="pl-PL"/>
        </w:rPr>
        <w:t>opiek</w:t>
      </w:r>
    </w:p>
    <w:p w14:paraId="0A77EDE4" w14:textId="77777777" w:rsidR="00482BA2" w:rsidRDefault="00636B20" w:rsidP="00733091">
      <w:pPr>
        <w:rPr>
          <w:lang w:val="pl-PL"/>
        </w:rPr>
      </w:pPr>
      <w:r w:rsidRPr="00733091">
        <w:rPr>
          <w:lang w:val="pl-PL"/>
        </w:rPr>
        <w:t xml:space="preserve">Równie niekorzystnie jak saldo migracji ogółem kształtuje się w Południowych Mazurach saldo migracji ludzi młodych – w wieku 15-39 lat (wykres poniżej). </w:t>
      </w:r>
      <w:r w:rsidR="00462BEC">
        <w:rPr>
          <w:lang w:val="pl-PL"/>
        </w:rPr>
        <w:br/>
      </w:r>
      <w:r w:rsidRPr="00733091">
        <w:rPr>
          <w:lang w:val="pl-PL"/>
        </w:rPr>
        <w:t xml:space="preserve">W 2019 r. wyniosło ono – 3,98% (i było niższe niż ogólne ujemne saldo migracji). Jednocześnie saldo migracji ludzi młodych </w:t>
      </w:r>
      <w:r w:rsidR="00A0313D">
        <w:rPr>
          <w:lang w:val="pl-PL"/>
        </w:rPr>
        <w:t xml:space="preserve">w </w:t>
      </w:r>
      <w:r w:rsidRPr="00733091">
        <w:rPr>
          <w:lang w:val="pl-PL"/>
        </w:rPr>
        <w:t xml:space="preserve">okresie 2013-2019 cechowała wysoka dynamika wzrostowa (42,57%). </w:t>
      </w:r>
    </w:p>
    <w:p w14:paraId="03A67CAD" w14:textId="35EDEDB7" w:rsidR="00636B20" w:rsidRPr="00733091" w:rsidRDefault="00636B20" w:rsidP="00733091">
      <w:pPr>
        <w:rPr>
          <w:lang w:val="pl-PL"/>
        </w:rPr>
      </w:pPr>
      <w:r w:rsidRPr="00733091">
        <w:rPr>
          <w:lang w:val="pl-PL"/>
        </w:rPr>
        <w:lastRenderedPageBreak/>
        <w:t>Wysokie (i pogarszające się) ujemne saldo migracji ludzi młodych wpływa negatywnie na rozwój obszaru, zarówno społeczny, jak i gospodarczy.</w:t>
      </w:r>
    </w:p>
    <w:p w14:paraId="2509A462" w14:textId="11D711A8" w:rsidR="00636B20" w:rsidRPr="00733091" w:rsidRDefault="007D776B" w:rsidP="002E24A9">
      <w:pPr>
        <w:pStyle w:val="Legenda"/>
        <w:rPr>
          <w:rFonts w:cstheme="majorHAnsi"/>
          <w:lang w:val="pl-PL"/>
        </w:rPr>
      </w:pPr>
      <w:bookmarkStart w:id="61" w:name="_Toc69723181"/>
      <w:r w:rsidRPr="00733091">
        <w:rPr>
          <w:lang w:val="pl-PL"/>
        </w:rPr>
        <w:t xml:space="preserve">Wykres </w:t>
      </w:r>
      <w:r w:rsidR="00733091">
        <w:fldChar w:fldCharType="begin"/>
      </w:r>
      <w:r w:rsidR="00733091" w:rsidRPr="00733091">
        <w:rPr>
          <w:lang w:val="pl-PL"/>
        </w:rPr>
        <w:instrText xml:space="preserve"> SEQ Wykres \* ARABIC </w:instrText>
      </w:r>
      <w:r w:rsidR="00733091">
        <w:fldChar w:fldCharType="separate"/>
      </w:r>
      <w:r w:rsidR="00B14787">
        <w:rPr>
          <w:noProof/>
          <w:lang w:val="pl-PL"/>
        </w:rPr>
        <w:t>23</w:t>
      </w:r>
      <w:r w:rsidR="00733091">
        <w:rPr>
          <w:noProof/>
        </w:rPr>
        <w:fldChar w:fldCharType="end"/>
      </w:r>
      <w:r w:rsidRPr="00733091">
        <w:rPr>
          <w:lang w:val="pl-PL"/>
        </w:rPr>
        <w:t xml:space="preserve">: </w:t>
      </w:r>
      <w:r w:rsidR="00636B20" w:rsidRPr="00733091">
        <w:rPr>
          <w:lang w:val="pl-PL"/>
        </w:rPr>
        <w:t>Saldo migracji osób w wieku 15-39 lat na 1000 osób w latach 2013-2019</w:t>
      </w:r>
      <w:bookmarkEnd w:id="61"/>
    </w:p>
    <w:p w14:paraId="166B48A2" w14:textId="25E37E0D" w:rsidR="00636B20" w:rsidRPr="00A53827" w:rsidRDefault="00636B20" w:rsidP="00733091">
      <w:pPr>
        <w:pStyle w:val="podpiselementu"/>
        <w:spacing w:after="240"/>
        <w:rPr>
          <w:rStyle w:val="Hipercze"/>
          <w:rFonts w:cstheme="majorHAnsi"/>
          <w:color w:val="auto"/>
          <w:u w:val="none"/>
          <w:lang w:val="pl-PL"/>
        </w:rPr>
      </w:pPr>
      <w:r>
        <w:rPr>
          <w:noProof/>
        </w:rPr>
        <w:drawing>
          <wp:inline distT="0" distB="0" distL="0" distR="0" wp14:anchorId="2F2D1244" wp14:editId="0B9EC9B6">
            <wp:extent cx="5795010" cy="2467610"/>
            <wp:effectExtent l="19050" t="19050" r="15240" b="27940"/>
            <wp:docPr id="109" name="Obraz 109" descr="wykres liniowy wskazujący na saldo migracji osób w wieku 15-39 lat na 1000 mieszkańców obszaru Partnerstwa Południowe Mazury w latach 2009-2019 w podziale na gmi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Obraz 109" descr="wykres liniowy wskazujący na saldo migracji osób w wieku 15-39 lat na 1000 mieszkańców obszaru Partnerstwa Południowe Mazury w latach 2009-2019 w podziale na gminy"/>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831143" cy="2482996"/>
                    </a:xfrm>
                    <a:prstGeom prst="rect">
                      <a:avLst/>
                    </a:prstGeom>
                    <a:noFill/>
                    <a:ln>
                      <a:solidFill>
                        <a:schemeClr val="tx2"/>
                      </a:solidFill>
                    </a:ln>
                  </pic:spPr>
                </pic:pic>
              </a:graphicData>
            </a:graphic>
          </wp:inline>
        </w:drawing>
      </w:r>
      <w:r w:rsidRPr="00A53827">
        <w:rPr>
          <w:color w:val="44546A" w:themeColor="text2"/>
          <w:szCs w:val="24"/>
          <w:lang w:val="pl-PL"/>
        </w:rPr>
        <w:t xml:space="preserve">Źródło: </w:t>
      </w:r>
      <w:r w:rsidRPr="00A53827">
        <w:rPr>
          <w:rFonts w:cstheme="majorHAnsi"/>
          <w:color w:val="44546A" w:themeColor="text2"/>
          <w:szCs w:val="24"/>
          <w:lang w:val="pl-PL"/>
        </w:rPr>
        <w:t xml:space="preserve">opracowanie ZMP na podstawie </w:t>
      </w:r>
      <w:hyperlink r:id="rId71" w:history="1">
        <w:r w:rsidRPr="00A53827">
          <w:rPr>
            <w:rStyle w:val="Hipercze"/>
            <w:rFonts w:cstheme="majorHAnsi"/>
            <w:color w:val="44546A" w:themeColor="text2"/>
            <w:szCs w:val="24"/>
            <w:lang w:val="pl-PL"/>
          </w:rPr>
          <w:t>https://analizy.monitorrozwoju.pl</w:t>
        </w:r>
      </w:hyperlink>
    </w:p>
    <w:p w14:paraId="4858272B" w14:textId="643E9FF6" w:rsidR="00636B20" w:rsidRPr="00733091" w:rsidRDefault="00482BA2" w:rsidP="00733091">
      <w:pPr>
        <w:rPr>
          <w:lang w:val="pl-PL"/>
        </w:rPr>
      </w:pPr>
      <w:r>
        <w:rPr>
          <w:rFonts w:cstheme="majorHAnsi"/>
          <w:noProof/>
        </w:rPr>
        <mc:AlternateContent>
          <mc:Choice Requires="wps">
            <w:drawing>
              <wp:anchor distT="0" distB="0" distL="114300" distR="114300" simplePos="0" relativeHeight="251658252" behindDoc="0" locked="0" layoutInCell="1" allowOverlap="1" wp14:anchorId="1BFA120F" wp14:editId="0717B10D">
                <wp:simplePos x="0" y="0"/>
                <wp:positionH relativeFrom="margin">
                  <wp:posOffset>547370</wp:posOffset>
                </wp:positionH>
                <wp:positionV relativeFrom="paragraph">
                  <wp:posOffset>774065</wp:posOffset>
                </wp:positionV>
                <wp:extent cx="5326380" cy="1143000"/>
                <wp:effectExtent l="0" t="0" r="26670" b="19050"/>
                <wp:wrapNone/>
                <wp:docPr id="42" name="Pole tekstowe 42"/>
                <wp:cNvGraphicFramePr/>
                <a:graphic xmlns:a="http://schemas.openxmlformats.org/drawingml/2006/main">
                  <a:graphicData uri="http://schemas.microsoft.com/office/word/2010/wordprocessingShape">
                    <wps:wsp>
                      <wps:cNvSpPr txBox="1"/>
                      <wps:spPr>
                        <a:xfrm>
                          <a:off x="0" y="0"/>
                          <a:ext cx="5326380" cy="1143000"/>
                        </a:xfrm>
                        <a:prstGeom prst="rect">
                          <a:avLst/>
                        </a:prstGeom>
                        <a:solidFill>
                          <a:schemeClr val="accent1">
                            <a:lumMod val="20000"/>
                            <a:lumOff val="80000"/>
                          </a:schemeClr>
                        </a:solidFill>
                        <a:ln w="6350">
                          <a:solidFill>
                            <a:schemeClr val="accent1"/>
                          </a:solidFill>
                        </a:ln>
                      </wps:spPr>
                      <wps:txbx>
                        <w:txbxContent>
                          <w:p w14:paraId="2CEBA502" w14:textId="4BEE527A" w:rsidR="00B14787" w:rsidRPr="00462BEC" w:rsidRDefault="00B14787" w:rsidP="00462BEC">
                            <w:pPr>
                              <w:ind w:left="142"/>
                              <w:jc w:val="both"/>
                              <w:rPr>
                                <w:szCs w:val="24"/>
                                <w:lang w:val="pl-PL"/>
                              </w:rPr>
                            </w:pPr>
                            <w:r w:rsidRPr="00462BEC">
                              <w:rPr>
                                <w:b/>
                                <w:bCs/>
                                <w:szCs w:val="24"/>
                                <w:lang w:val="pl-PL"/>
                              </w:rPr>
                              <w:t>66,22%</w:t>
                            </w:r>
                            <w:r w:rsidRPr="00462BEC">
                              <w:rPr>
                                <w:szCs w:val="24"/>
                                <w:lang w:val="pl-PL"/>
                              </w:rPr>
                              <w:t xml:space="preserve"> uczniów ostatnich klas szkół średnich, biorących udział w badaniu ankietowym w styczniu 2021 r.  planuje zamieszkać poza obszarem Partnerstwa (w regionie, innym województwie, zagranicą). Tylko </w:t>
                            </w:r>
                            <w:r w:rsidRPr="00462BEC">
                              <w:rPr>
                                <w:b/>
                                <w:bCs/>
                                <w:szCs w:val="24"/>
                                <w:lang w:val="pl-PL"/>
                              </w:rPr>
                              <w:t>19,18%</w:t>
                            </w:r>
                            <w:r w:rsidRPr="00462BEC">
                              <w:rPr>
                                <w:szCs w:val="24"/>
                                <w:lang w:val="pl-PL"/>
                              </w:rPr>
                              <w:t xml:space="preserve"> młodzieży</w:t>
                            </w:r>
                            <w:r>
                              <w:rPr>
                                <w:szCs w:val="24"/>
                                <w:lang w:val="pl-PL"/>
                              </w:rPr>
                              <w:t xml:space="preserve"> </w:t>
                            </w:r>
                            <w:r w:rsidRPr="00462BEC">
                              <w:rPr>
                                <w:szCs w:val="24"/>
                                <w:lang w:val="pl-PL"/>
                              </w:rPr>
                              <w:t>chce wiązać swoją przyszłość z obszarem Partnerstwa jako miejscem zamieszkania.</w:t>
                            </w:r>
                          </w:p>
                          <w:tbl>
                            <w:tblPr>
                              <w:tblW w:w="4991" w:type="pct"/>
                              <w:tblCellSpacing w:w="0" w:type="dxa"/>
                              <w:tblCellMar>
                                <w:left w:w="0" w:type="dxa"/>
                                <w:right w:w="0" w:type="dxa"/>
                              </w:tblCellMar>
                              <w:tblLook w:val="04A0" w:firstRow="1" w:lastRow="0" w:firstColumn="1" w:lastColumn="0" w:noHBand="0" w:noVBand="1"/>
                            </w:tblPr>
                            <w:tblGrid>
                              <w:gridCol w:w="8090"/>
                            </w:tblGrid>
                            <w:tr w:rsidR="00B14787" w:rsidRPr="00176303" w14:paraId="39B97A7D" w14:textId="77777777" w:rsidTr="003711E3">
                              <w:trPr>
                                <w:tblCellSpacing w:w="0" w:type="dxa"/>
                              </w:trPr>
                              <w:tc>
                                <w:tcPr>
                                  <w:tcW w:w="0" w:type="auto"/>
                                  <w:shd w:val="clear" w:color="auto" w:fill="D3E5F4"/>
                                  <w:vAlign w:val="center"/>
                                  <w:hideMark/>
                                </w:tcPr>
                                <w:p w14:paraId="67260C79" w14:textId="77777777" w:rsidR="00B14787" w:rsidRPr="00733091" w:rsidRDefault="00B14787" w:rsidP="003711E3">
                                  <w:pPr>
                                    <w:spacing w:after="0" w:line="240" w:lineRule="auto"/>
                                    <w:rPr>
                                      <w:rFonts w:ascii="Verdana" w:eastAsia="Times New Roman" w:hAnsi="Verdana" w:cs="Times New Roman"/>
                                      <w:color w:val="000000"/>
                                      <w:sz w:val="16"/>
                                      <w:szCs w:val="16"/>
                                      <w:lang w:val="pl-PL" w:eastAsia="pl-PL"/>
                                    </w:rPr>
                                  </w:pPr>
                                </w:p>
                              </w:tc>
                            </w:tr>
                          </w:tbl>
                          <w:p w14:paraId="1B9CE2E8" w14:textId="77777777" w:rsidR="00B14787" w:rsidRPr="00733091" w:rsidRDefault="00B14787" w:rsidP="00636B20">
                            <w:pPr>
                              <w:rPr>
                                <w:sz w:val="18"/>
                                <w:szCs w:val="18"/>
                                <w:lang w:val="pl-P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FA120F" id="Pole tekstowe 42" o:spid="_x0000_s1032" type="#_x0000_t202" style="position:absolute;left:0;text-align:left;margin-left:43.1pt;margin-top:60.95pt;width:419.4pt;height:90pt;z-index:2516582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" fillcolor="#d9e2f3 [660]" strokecolor="#4472c4 [3204]" strokeweight=".5pt">
                <v:textbox>
                  <w:txbxContent>
                    <w:p w14:paraId="2CEBA502" w14:textId="4BEE527A" w:rsidR="00B14787" w:rsidRPr="00462BEC" w:rsidRDefault="00B14787" w:rsidP="00462BEC">
                      <w:pPr>
                        <w:ind w:left="142"/>
                        <w:jc w:val="both"/>
                        <w:rPr>
                          <w:szCs w:val="24"/>
                          <w:lang w:val="pl-PL"/>
                        </w:rPr>
                      </w:pPr>
                      <w:r w:rsidRPr="00462BEC">
                        <w:rPr>
                          <w:b/>
                          <w:bCs/>
                          <w:szCs w:val="24"/>
                          <w:lang w:val="pl-PL"/>
                        </w:rPr>
                        <w:t>66,22%</w:t>
                      </w:r>
                      <w:r w:rsidRPr="00462BEC">
                        <w:rPr>
                          <w:szCs w:val="24"/>
                          <w:lang w:val="pl-PL"/>
                        </w:rPr>
                        <w:t xml:space="preserve"> uczniów ostatnich klas szkół średnich, biorących udział w badaniu ankietowym w styczniu 2021 r.  planuje zamieszkać poza obszarem Partnerstwa (w regionie, innym województwie, zagranicą). Tylko </w:t>
                      </w:r>
                      <w:r w:rsidRPr="00462BEC">
                        <w:rPr>
                          <w:b/>
                          <w:bCs/>
                          <w:szCs w:val="24"/>
                          <w:lang w:val="pl-PL"/>
                        </w:rPr>
                        <w:t>19,18%</w:t>
                      </w:r>
                      <w:r w:rsidRPr="00462BEC">
                        <w:rPr>
                          <w:szCs w:val="24"/>
                          <w:lang w:val="pl-PL"/>
                        </w:rPr>
                        <w:t xml:space="preserve"> młodzieży</w:t>
                      </w:r>
                      <w:r>
                        <w:rPr>
                          <w:szCs w:val="24"/>
                          <w:lang w:val="pl-PL"/>
                        </w:rPr>
                        <w:t xml:space="preserve"> </w:t>
                      </w:r>
                      <w:r w:rsidRPr="00462BEC">
                        <w:rPr>
                          <w:szCs w:val="24"/>
                          <w:lang w:val="pl-PL"/>
                        </w:rPr>
                        <w:t>chce wiązać swoją przyszłość z obszarem Partnerstwa jako miejscem zamieszkania.</w:t>
                      </w:r>
                    </w:p>
                    <w:tbl>
                      <w:tblPr>
                        <w:tblW w:w="4991" w:type="pct"/>
                        <w:tblCellSpacing w:w="0" w:type="dxa"/>
                        <w:tblCellMar>
                          <w:left w:w="0" w:type="dxa"/>
                          <w:right w:w="0" w:type="dxa"/>
                        </w:tblCellMar>
                        <w:tblLook w:val="04A0" w:firstRow="1" w:lastRow="0" w:firstColumn="1" w:lastColumn="0" w:noHBand="0" w:noVBand="1"/>
                      </w:tblPr>
                      <w:tblGrid>
                        <w:gridCol w:w="8090"/>
                      </w:tblGrid>
                      <w:tr w:rsidR="00B14787" w:rsidRPr="00176303" w14:paraId="39B97A7D" w14:textId="77777777" w:rsidTr="003711E3">
                        <w:trPr>
                          <w:tblCellSpacing w:w="0" w:type="dxa"/>
                        </w:trPr>
                        <w:tc>
                          <w:tcPr>
                            <w:tcW w:w="0" w:type="auto"/>
                            <w:shd w:val="clear" w:color="auto" w:fill="D3E5F4"/>
                            <w:vAlign w:val="center"/>
                            <w:hideMark/>
                          </w:tcPr>
                          <w:p w14:paraId="67260C79" w14:textId="77777777" w:rsidR="00B14787" w:rsidRPr="00733091" w:rsidRDefault="00B14787" w:rsidP="003711E3">
                            <w:pPr>
                              <w:spacing w:after="0" w:line="240" w:lineRule="auto"/>
                              <w:rPr>
                                <w:rFonts w:ascii="Verdana" w:eastAsia="Times New Roman" w:hAnsi="Verdana" w:cs="Times New Roman"/>
                                <w:color w:val="000000"/>
                                <w:sz w:val="16"/>
                                <w:szCs w:val="16"/>
                                <w:lang w:val="pl-PL" w:eastAsia="pl-PL"/>
                              </w:rPr>
                            </w:pPr>
                          </w:p>
                        </w:tc>
                      </w:tr>
                    </w:tbl>
                    <w:p w14:paraId="1B9CE2E8" w14:textId="77777777" w:rsidR="00B14787" w:rsidRPr="00733091" w:rsidRDefault="00B14787" w:rsidP="00636B20">
                      <w:pPr>
                        <w:rPr>
                          <w:sz w:val="18"/>
                          <w:szCs w:val="18"/>
                          <w:lang w:val="pl-PL"/>
                        </w:rPr>
                      </w:pPr>
                    </w:p>
                  </w:txbxContent>
                </v:textbox>
                <w10:wrap anchorx="margin"/>
              </v:shape>
            </w:pict>
          </mc:Fallback>
        </mc:AlternateContent>
      </w:r>
      <w:r>
        <w:rPr>
          <w:lang w:val="pl-PL"/>
        </w:rPr>
        <w:t>P</w:t>
      </w:r>
      <w:r w:rsidR="00636B20" w:rsidRPr="00733091">
        <w:rPr>
          <w:lang w:val="pl-PL"/>
        </w:rPr>
        <w:t>rognozy demograficzne</w:t>
      </w:r>
      <w:r>
        <w:rPr>
          <w:lang w:val="pl-PL"/>
        </w:rPr>
        <w:t xml:space="preserve"> oraz </w:t>
      </w:r>
      <w:r w:rsidR="00636B20" w:rsidRPr="00733091">
        <w:rPr>
          <w:lang w:val="pl-PL"/>
        </w:rPr>
        <w:t>wyniki badań mieszkańców potwierdzają duże prawdopodobieństwo utrzymania się ujemnej dynamiki salda migracji ludzi młodych w przyszłości.</w:t>
      </w:r>
    </w:p>
    <w:p w14:paraId="78E36BAB" w14:textId="141CA474" w:rsidR="00636B20" w:rsidRPr="00733091" w:rsidRDefault="00636B20" w:rsidP="00733091">
      <w:pPr>
        <w:contextualSpacing/>
        <w:rPr>
          <w:rFonts w:cstheme="majorHAnsi"/>
          <w:lang w:val="pl-PL"/>
        </w:rPr>
      </w:pPr>
    </w:p>
    <w:p w14:paraId="47A67129" w14:textId="7E92E3EB" w:rsidR="00636B20" w:rsidRPr="00A54E82" w:rsidRDefault="00636B20" w:rsidP="00733091">
      <w:pPr>
        <w:contextualSpacing/>
        <w:rPr>
          <w:rFonts w:cstheme="majorHAnsi"/>
          <w:lang w:val="pl-PL"/>
        </w:rPr>
      </w:pPr>
    </w:p>
    <w:p w14:paraId="57501D6A" w14:textId="77777777" w:rsidR="00636B20" w:rsidRPr="00A54E82" w:rsidRDefault="00636B20" w:rsidP="00733091">
      <w:pPr>
        <w:contextualSpacing/>
        <w:rPr>
          <w:rFonts w:cstheme="majorHAnsi"/>
          <w:lang w:val="pl-PL"/>
        </w:rPr>
      </w:pPr>
    </w:p>
    <w:p w14:paraId="37855E73" w14:textId="794F1156" w:rsidR="00636B20" w:rsidRPr="00A54E82" w:rsidRDefault="00636B20" w:rsidP="00733091">
      <w:pPr>
        <w:contextualSpacing/>
        <w:rPr>
          <w:rFonts w:ascii="Segoe UI" w:hAnsi="Segoe UI" w:cs="Segoe UI"/>
          <w:color w:val="44546A" w:themeColor="text2"/>
          <w:sz w:val="21"/>
          <w:szCs w:val="21"/>
          <w:lang w:val="pl-PL"/>
        </w:rPr>
      </w:pPr>
    </w:p>
    <w:p w14:paraId="69590D25" w14:textId="185A3CDB" w:rsidR="00462BEC" w:rsidRPr="00A54E82" w:rsidRDefault="00462BEC" w:rsidP="00733091">
      <w:pPr>
        <w:contextualSpacing/>
        <w:rPr>
          <w:rFonts w:ascii="Segoe UI" w:hAnsi="Segoe UI" w:cs="Segoe UI"/>
          <w:color w:val="44546A" w:themeColor="text2"/>
          <w:sz w:val="21"/>
          <w:szCs w:val="21"/>
          <w:lang w:val="pl-PL"/>
        </w:rPr>
      </w:pPr>
    </w:p>
    <w:p w14:paraId="58DD4D10" w14:textId="77777777" w:rsidR="00462BEC" w:rsidRPr="00A54E82" w:rsidRDefault="00462BEC" w:rsidP="00733091">
      <w:pPr>
        <w:contextualSpacing/>
        <w:rPr>
          <w:rFonts w:ascii="Segoe UI" w:hAnsi="Segoe UI" w:cs="Segoe UI"/>
          <w:color w:val="44546A" w:themeColor="text2"/>
          <w:sz w:val="21"/>
          <w:szCs w:val="21"/>
          <w:lang w:val="pl-PL"/>
        </w:rPr>
      </w:pPr>
    </w:p>
    <w:p w14:paraId="298DE3EF" w14:textId="20F2A946" w:rsidR="00284D34" w:rsidRPr="00733091" w:rsidRDefault="00494EB2" w:rsidP="00733091">
      <w:pPr>
        <w:pStyle w:val="Nagwek3"/>
        <w:spacing w:after="240"/>
        <w:rPr>
          <w:lang w:val="pl-PL"/>
        </w:rPr>
      </w:pPr>
      <w:bookmarkStart w:id="62" w:name="_Toc69725437"/>
      <w:r w:rsidRPr="00733091">
        <w:rPr>
          <w:rStyle w:val="Nagwek4Znak"/>
          <w:b/>
          <w:lang w:val="pl-PL"/>
        </w:rPr>
        <w:t>Dostępność i jakość usług i infrastruktury</w:t>
      </w:r>
      <w:bookmarkEnd w:id="62"/>
    </w:p>
    <w:p w14:paraId="5AD81B66" w14:textId="074B1228" w:rsidR="00284D34" w:rsidRPr="00091BAE" w:rsidRDefault="007C787B" w:rsidP="00733091">
      <w:pPr>
        <w:pStyle w:val="Nagwek4"/>
        <w:spacing w:before="120" w:after="240"/>
      </w:pPr>
      <w:r w:rsidRPr="007C787B">
        <w:rPr>
          <w:rStyle w:val="Nagwek4Znak"/>
          <w:b/>
          <w:iCs/>
        </w:rPr>
        <w:t>Usługi edukacyjne i wychowawcze</w:t>
      </w:r>
    </w:p>
    <w:p w14:paraId="4CA3D0F0" w14:textId="19FF4B57" w:rsidR="00636B20" w:rsidRPr="00733091" w:rsidRDefault="00636B20" w:rsidP="00733091">
      <w:pPr>
        <w:rPr>
          <w:rFonts w:cstheme="minorHAnsi"/>
          <w:lang w:val="pl-PL"/>
        </w:rPr>
      </w:pPr>
      <w:bookmarkStart w:id="63" w:name="_Toc59526401"/>
      <w:bookmarkStart w:id="64" w:name="_Toc60150784"/>
      <w:bookmarkStart w:id="65" w:name="_Toc60232975"/>
      <w:bookmarkStart w:id="66" w:name="_Toc60233037"/>
      <w:bookmarkStart w:id="67" w:name="_Toc61214108"/>
      <w:bookmarkStart w:id="68" w:name="_Toc62431057"/>
      <w:r w:rsidRPr="00733091">
        <w:rPr>
          <w:lang w:val="pl-PL"/>
        </w:rPr>
        <w:t xml:space="preserve">Edukacja i towarzyszące jej wychowanie to procesy polegające na zdobywaniu, przekazywaniu oraz kształtowaniu wiedzy, umiejętności i postaw. Jakość i stan edukacji ma kluczowe znaczenie dla szans rozwojowych człowieka i społeczeństw. Organizacja i funkcjonowanie systemu wychowania i edukacji (obejmującego zinstytucjonalizowaną opiekę nad dziećmi do lat trzech, wychowanie przedszkolne                     i edukację szkolną: podstawową i ponadpodstawową, a także pozaszkolne formy kształcenia) oddziałuje przede wszystkim na rynek pracy, zarówno przyszły, jak </w:t>
      </w:r>
      <w:r w:rsidR="006120C4">
        <w:rPr>
          <w:lang w:val="pl-PL"/>
        </w:rPr>
        <w:br/>
      </w:r>
      <w:r w:rsidRPr="00733091">
        <w:rPr>
          <w:lang w:val="pl-PL"/>
        </w:rPr>
        <w:t xml:space="preserve">i obecny. Związek ten tworzy się z jednej strony poprzez zapewnienie kadr odpowiadających potrzebom pracodawców, z drugiej zaś przez aktywizację </w:t>
      </w:r>
      <w:r w:rsidRPr="00733091">
        <w:rPr>
          <w:lang w:val="pl-PL"/>
        </w:rPr>
        <w:lastRenderedPageBreak/>
        <w:t>zawodową osób posiadających dzieci (głównie kobiet) w drodze zapewnienia dostępności do opieki nad dzieckiem</w:t>
      </w:r>
      <w:bookmarkEnd w:id="63"/>
      <w:bookmarkEnd w:id="64"/>
      <w:bookmarkEnd w:id="65"/>
      <w:bookmarkEnd w:id="66"/>
      <w:bookmarkEnd w:id="67"/>
      <w:bookmarkEnd w:id="68"/>
      <w:r w:rsidRPr="00733091">
        <w:rPr>
          <w:rFonts w:cstheme="minorHAnsi"/>
          <w:lang w:val="pl-PL"/>
        </w:rPr>
        <w:t>.</w:t>
      </w:r>
    </w:p>
    <w:p w14:paraId="525D9145" w14:textId="1C98629D" w:rsidR="00D17F85" w:rsidRPr="00733091" w:rsidRDefault="00D17F85" w:rsidP="00733091">
      <w:pPr>
        <w:pStyle w:val="Nagwek5"/>
        <w:spacing w:before="120" w:after="240"/>
        <w:rPr>
          <w:rStyle w:val="Nagwek4Znak"/>
          <w:rFonts w:asciiTheme="majorHAnsi" w:hAnsiTheme="majorHAnsi"/>
          <w:iCs w:val="0"/>
          <w:noProof w:val="0"/>
          <w:lang w:val="pl-PL"/>
        </w:rPr>
      </w:pPr>
      <w:r w:rsidRPr="00733091">
        <w:rPr>
          <w:rStyle w:val="Nagwek4Znak"/>
          <w:rFonts w:asciiTheme="majorHAnsi" w:hAnsiTheme="majorHAnsi"/>
          <w:iCs w:val="0"/>
          <w:noProof w:val="0"/>
          <w:lang w:val="pl-PL"/>
        </w:rPr>
        <w:t xml:space="preserve">Opieka nad dziećmi do lat 3 i opieka przedszkolna  </w:t>
      </w:r>
    </w:p>
    <w:p w14:paraId="41F2BE6B" w14:textId="0C0A712C" w:rsidR="00636B20" w:rsidRPr="00733091" w:rsidRDefault="00636B20" w:rsidP="006120C4">
      <w:pPr>
        <w:rPr>
          <w:rFonts w:cstheme="majorHAnsi"/>
          <w:lang w:val="pl-PL"/>
        </w:rPr>
      </w:pPr>
      <w:r w:rsidRPr="00733091">
        <w:rPr>
          <w:lang w:val="pl-PL"/>
        </w:rPr>
        <w:t xml:space="preserve">Zinstytucjonalizowana opieka nad dziećmi do lat 3 sprawowana jest przez żłobki </w:t>
      </w:r>
      <w:r w:rsidR="001C373F">
        <w:rPr>
          <w:lang w:val="pl-PL"/>
        </w:rPr>
        <w:br/>
      </w:r>
      <w:r w:rsidRPr="00733091">
        <w:rPr>
          <w:lang w:val="pl-PL"/>
        </w:rPr>
        <w:t xml:space="preserve">i kluby dziecięce. W 2019 r. na terenie Południowych Mazur działało 7 tego typu placówek (5 żłobków </w:t>
      </w:r>
      <w:r w:rsidRPr="00733091">
        <w:rPr>
          <w:rFonts w:cstheme="majorHAnsi"/>
          <w:lang w:val="pl-PL"/>
        </w:rPr>
        <w:t>i 2 kluby dziecięce), które oferując 175 miejsc (w tym 138 miejsc żłobki, 37 kluby dziecięce)</w:t>
      </w:r>
      <w:r>
        <w:rPr>
          <w:rStyle w:val="Odwoanieprzypisudolnego"/>
          <w:rFonts w:cstheme="majorHAnsi"/>
        </w:rPr>
        <w:footnoteReference w:id="46"/>
      </w:r>
      <w:r w:rsidRPr="00733091">
        <w:rPr>
          <w:rFonts w:cstheme="majorHAnsi"/>
          <w:lang w:val="pl-PL"/>
        </w:rPr>
        <w:t xml:space="preserve"> świadczyły opiekę na rzecz 150 dzieci. Popyt na usługi opieki nad dziećmi do lat 3 nieprzewyższający podaży pozwala na stwierdzenie, że usługi w zakresie opieki nad dzieckiem do lat trzech są zapewnione mieszkańcom Południowych Mazur w odpowiednim zakresie</w:t>
      </w:r>
      <w:r>
        <w:rPr>
          <w:rStyle w:val="Odwoanieprzypisudolnego"/>
          <w:rFonts w:cstheme="majorHAnsi"/>
        </w:rPr>
        <w:footnoteReference w:id="47"/>
      </w:r>
      <w:r w:rsidRPr="00733091">
        <w:rPr>
          <w:rFonts w:cstheme="majorHAnsi"/>
          <w:lang w:val="pl-PL"/>
        </w:rPr>
        <w:t>.</w:t>
      </w:r>
    </w:p>
    <w:p w14:paraId="239AE118" w14:textId="517E2347" w:rsidR="003A308C" w:rsidRPr="00733091" w:rsidRDefault="00636B20" w:rsidP="003A308C">
      <w:pPr>
        <w:rPr>
          <w:rFonts w:cstheme="minorHAnsi"/>
          <w:lang w:val="pl-PL"/>
        </w:rPr>
      </w:pPr>
      <w:r w:rsidRPr="00733091">
        <w:rPr>
          <w:rFonts w:cstheme="minorHAnsi"/>
          <w:lang w:val="pl-PL"/>
        </w:rPr>
        <w:t>Wychowanie przedszkolne (obejmujące dzieci od 3 roku życia do osiągnięcia wieku szkolnego) realizowane jest w przedszkolach (w tym publicznych i niepublicznych), oddziałach przedszkolnych w szkołach podstawowych i punktach przedszkolnych</w:t>
      </w:r>
      <w:r w:rsidRPr="00676A6C">
        <w:rPr>
          <w:rStyle w:val="Odwoanieprzypisudolnego"/>
          <w:rFonts w:cstheme="minorHAnsi"/>
        </w:rPr>
        <w:footnoteReference w:id="48"/>
      </w:r>
      <w:r w:rsidRPr="00733091">
        <w:rPr>
          <w:rFonts w:cstheme="minorHAnsi"/>
          <w:lang w:val="pl-PL"/>
        </w:rPr>
        <w:t xml:space="preserve">. W 2018 r. na obszarze Południowych Mazur funkcjonowało 48 przedszkoli (w tym </w:t>
      </w:r>
      <w:r w:rsidR="001C373F">
        <w:rPr>
          <w:rFonts w:cstheme="minorHAnsi"/>
          <w:lang w:val="pl-PL"/>
        </w:rPr>
        <w:br/>
      </w:r>
      <w:r w:rsidRPr="00733091">
        <w:rPr>
          <w:rFonts w:cstheme="minorHAnsi"/>
          <w:lang w:val="pl-PL"/>
        </w:rPr>
        <w:t xml:space="preserve">3 specjalne), w których dostępnych było 5.242 miejsc (w tym 44 miejsca w przedszkolach specjalnych). Na jedno miejsce w placówce przedszkolnej przypadało 1,3 dziecka; więcej niż średnia w województwie warmińsko-mazurskim (1,0) i w Polsce (0,89). </w:t>
      </w:r>
      <w:r w:rsidRPr="00733091">
        <w:rPr>
          <w:rFonts w:cstheme="minorHAnsi"/>
          <w:b/>
          <w:bCs/>
          <w:lang w:val="pl-PL"/>
        </w:rPr>
        <w:t>Niewystarczająca dostępność usług opiekuńczo-wychowawczych w placówkach przedszkolnych może zmniejszać się w przyszłości</w:t>
      </w:r>
      <w:r>
        <w:rPr>
          <w:rStyle w:val="Odwoanieprzypisudolnego"/>
          <w:rFonts w:cstheme="minorHAnsi"/>
          <w:b/>
          <w:bCs/>
        </w:rPr>
        <w:footnoteReference w:id="49"/>
      </w:r>
      <w:r w:rsidRPr="00733091">
        <w:rPr>
          <w:rFonts w:cstheme="minorHAnsi"/>
          <w:lang w:val="pl-PL"/>
        </w:rPr>
        <w:t xml:space="preserve"> z uwagi na znaczny (-32,45%)</w:t>
      </w:r>
      <w:r w:rsidR="003A308C">
        <w:rPr>
          <w:rFonts w:cstheme="minorHAnsi"/>
          <w:lang w:val="pl-PL"/>
        </w:rPr>
        <w:t xml:space="preserve"> prognozowany</w:t>
      </w:r>
      <w:r w:rsidRPr="00733091">
        <w:rPr>
          <w:rFonts w:cstheme="minorHAnsi"/>
          <w:lang w:val="pl-PL"/>
        </w:rPr>
        <w:t xml:space="preserve"> spadek liczby osób w wieku do 3-6 lat</w:t>
      </w:r>
      <w:r w:rsidR="003A308C">
        <w:rPr>
          <w:rFonts w:cstheme="minorHAnsi"/>
          <w:lang w:val="pl-PL"/>
        </w:rPr>
        <w:t>.</w:t>
      </w:r>
    </w:p>
    <w:p w14:paraId="033DC350" w14:textId="633B0B74" w:rsidR="00284D34" w:rsidRPr="00733091" w:rsidRDefault="00D17F85" w:rsidP="00733091">
      <w:pPr>
        <w:pStyle w:val="Nagwek5"/>
        <w:spacing w:before="120" w:after="240"/>
        <w:rPr>
          <w:lang w:val="pl-PL"/>
        </w:rPr>
      </w:pPr>
      <w:r w:rsidRPr="00733091">
        <w:rPr>
          <w:rStyle w:val="Nagwek4Znak"/>
          <w:rFonts w:asciiTheme="majorHAnsi" w:hAnsiTheme="majorHAnsi"/>
          <w:iCs w:val="0"/>
          <w:noProof w:val="0"/>
          <w:lang w:val="pl-PL"/>
        </w:rPr>
        <w:t>Edukacja na szczeblu podstawowym</w:t>
      </w:r>
    </w:p>
    <w:p w14:paraId="53994B9D" w14:textId="3081662F" w:rsidR="00636B20" w:rsidRPr="00733091" w:rsidRDefault="00636B20" w:rsidP="00427A68">
      <w:pPr>
        <w:rPr>
          <w:lang w:val="pl-PL"/>
        </w:rPr>
      </w:pPr>
      <w:r w:rsidRPr="00733091">
        <w:rPr>
          <w:lang w:val="pl-PL"/>
        </w:rPr>
        <w:t>W 2019 r. na terenie Południowych Mazur funkcjonowało 105 szkół podstawowych (zwykłych, specjalnych) z 1.167 oddziałami, do których uczęszczało 17.927 osób (średnio 15 osób w oddziale).  Organem prowadzącym dla większości z nich był samorząd gminny (82,7%), a w przypadku szkół specjalnych - samorząd powiatowy (75,0%). Na terenie Południowych Mazur działały również trzy szkoły artystyczne (muzyczne) niedające uprawnień zawodowych. W 2019 r. uczęszczało do nich 197 uczniów.</w:t>
      </w:r>
    </w:p>
    <w:p w14:paraId="262E9A35" w14:textId="6C25CB1C" w:rsidR="00636B20" w:rsidRPr="00AB3E29" w:rsidRDefault="00636B20" w:rsidP="00AB3E29">
      <w:pPr>
        <w:rPr>
          <w:b/>
          <w:bCs/>
          <w:lang w:val="pl-PL"/>
        </w:rPr>
      </w:pPr>
      <w:r w:rsidRPr="00733091">
        <w:rPr>
          <w:lang w:val="pl-PL"/>
        </w:rPr>
        <w:lastRenderedPageBreak/>
        <w:t xml:space="preserve">Współczynnik skolaryzacji netto w szkołach podstawowych cechujący Południowe Mazury w 2018 r. wynosił </w:t>
      </w:r>
      <w:r w:rsidRPr="00733091">
        <w:rPr>
          <w:rFonts w:eastAsia="Calibri"/>
          <w:lang w:val="pl-PL"/>
        </w:rPr>
        <w:t>88,69% i był niższy od współczynnika skolaryzacji dla województwa warmińsko-mazurskiego (89,21%) i Polski (93,85%). W badanym okresie (2010-2018) współczynnik ten zmniejszył się o prawie 5 punktów procentowych co oznacza</w:t>
      </w:r>
      <w:r w:rsidRPr="00733091">
        <w:rPr>
          <w:lang w:val="pl-PL"/>
        </w:rPr>
        <w:t xml:space="preserve">, że coraz większa liczba uczniów Południowych Mazur korzystała z placówek edukacji w szkołach podstawowych w ośrodkach poza Partnerstwem. Dotychczasowy trend spadkowy wysokości wskaźnika skolaryzacji netto w powiązaniu z prognozowanym spadkiem liczby mieszkańców Południowych Mazur w wieku 7-15 lat (o 37,72%) czyni wysoce prawdopodobnym (przy zachowaniu dotychczasowego stanu infrastruktury szkolnej i zatrudnienia nauczycieli) zwiększenie </w:t>
      </w:r>
      <w:r w:rsidRPr="00733091">
        <w:rPr>
          <w:b/>
          <w:bCs/>
          <w:lang w:val="pl-PL"/>
        </w:rPr>
        <w:t>kosztów funkcjonowania placówek, nierekompensowanych subwencją oświatową</w:t>
      </w:r>
      <w:r w:rsidRPr="005935E6">
        <w:rPr>
          <w:rStyle w:val="Odwoanieprzypisudolnego"/>
          <w:rFonts w:cstheme="minorHAnsi"/>
          <w:b/>
          <w:bCs/>
        </w:rPr>
        <w:footnoteReference w:id="50"/>
      </w:r>
      <w:r w:rsidRPr="00733091">
        <w:rPr>
          <w:b/>
          <w:bCs/>
          <w:lang w:val="pl-PL"/>
        </w:rPr>
        <w:t>.</w:t>
      </w:r>
    </w:p>
    <w:p w14:paraId="3F5DEF25" w14:textId="77777777" w:rsidR="00AB3E29" w:rsidRDefault="00636B20" w:rsidP="00427A68">
      <w:pPr>
        <w:rPr>
          <w:lang w:val="pl-PL"/>
        </w:rPr>
      </w:pPr>
      <w:r w:rsidRPr="00733091">
        <w:rPr>
          <w:lang w:val="pl-PL"/>
        </w:rPr>
        <w:t xml:space="preserve">Będąca konsekwencją spadku wysokości wskaźnika skolaryzacji niska liczba uczniów w oddziałach (a co z tym związane lepsze warunki nauczania) nie przekłada się na osiągnięcia uczniów. Wyniki egzaminów ośmioklasisty świadczą o </w:t>
      </w:r>
      <w:r w:rsidRPr="00733091">
        <w:rPr>
          <w:b/>
          <w:bCs/>
          <w:lang w:val="pl-PL"/>
        </w:rPr>
        <w:t xml:space="preserve">niezadawalającej jakość kształcenia w szkołach podstawowych </w:t>
      </w:r>
      <w:r w:rsidRPr="00733091">
        <w:rPr>
          <w:lang w:val="pl-PL"/>
        </w:rPr>
        <w:t xml:space="preserve">na terenie Południowych Mazur. </w:t>
      </w:r>
    </w:p>
    <w:p w14:paraId="328C447A" w14:textId="77777777" w:rsidR="003A308C" w:rsidRPr="00AB3E29" w:rsidRDefault="003A308C" w:rsidP="003A308C">
      <w:pPr>
        <w:rPr>
          <w:rStyle w:val="Nagwek4Znak"/>
          <w:rFonts w:asciiTheme="minorHAnsi" w:eastAsiaTheme="minorHAnsi" w:hAnsiTheme="minorHAnsi" w:cstheme="minorBidi"/>
          <w:b w:val="0"/>
          <w:bCs w:val="0"/>
          <w:iCs w:val="0"/>
          <w:noProof w:val="0"/>
          <w:lang w:val="pl-PL"/>
        </w:rPr>
      </w:pPr>
      <w:r w:rsidRPr="00733091">
        <w:rPr>
          <w:lang w:val="pl-PL"/>
        </w:rPr>
        <w:t>Średnia liczba punktów osiągana przez uczniów szkół podstawowych Południowych Mazur z egzaminów końcowych w szkole podstawowej była niższa ze wszystkich przedmiotów (za wyjątkiem egzaminów w języka polskiego w powiecie szczycieńskim) od średniej w województwie warmińsko-mazurskim i kraju (wynoszącej dla języka polskiego – odpowiednio – 55% i 59%, matematyki – odpowiednio - 42% i 46%, języka angielskiego</w:t>
      </w:r>
      <w:r w:rsidRPr="005935E6">
        <w:rPr>
          <w:rStyle w:val="Odwoanieprzypisudolnego"/>
          <w:rFonts w:cstheme="minorHAnsi"/>
        </w:rPr>
        <w:footnoteReference w:id="51"/>
      </w:r>
      <w:r w:rsidRPr="00733091">
        <w:rPr>
          <w:lang w:val="pl-PL"/>
        </w:rPr>
        <w:t xml:space="preserve"> –odpowiednio - 50% i 54%).</w:t>
      </w:r>
    </w:p>
    <w:p w14:paraId="77072A15" w14:textId="68E65133" w:rsidR="003A308C" w:rsidRDefault="003A308C" w:rsidP="003A308C">
      <w:pPr>
        <w:rPr>
          <w:lang w:val="pl-PL"/>
        </w:rPr>
      </w:pPr>
      <w:r w:rsidRPr="00733091">
        <w:rPr>
          <w:lang w:val="pl-PL"/>
        </w:rPr>
        <w:t>Wyniki egzaminu ośmioklasisty w</w:t>
      </w:r>
      <w:r>
        <w:rPr>
          <w:lang w:val="pl-PL"/>
        </w:rPr>
        <w:t xml:space="preserve"> </w:t>
      </w:r>
      <w:r w:rsidRPr="00733091">
        <w:rPr>
          <w:lang w:val="pl-PL"/>
        </w:rPr>
        <w:t>2020 r. prezentuje poniższa tabela</w:t>
      </w:r>
      <w:r>
        <w:rPr>
          <w:lang w:val="pl-PL"/>
        </w:rPr>
        <w:t>.</w:t>
      </w:r>
    </w:p>
    <w:p w14:paraId="0E140EE6" w14:textId="77777777" w:rsidR="003A308C" w:rsidRDefault="003A308C" w:rsidP="00AB3E29">
      <w:pPr>
        <w:rPr>
          <w:lang w:val="pl-PL"/>
        </w:rPr>
      </w:pPr>
    </w:p>
    <w:p w14:paraId="30FD26AA" w14:textId="26A24B6A" w:rsidR="00636B20" w:rsidRPr="00733091" w:rsidRDefault="00636B20" w:rsidP="002E24A9">
      <w:pPr>
        <w:pStyle w:val="Legenda"/>
        <w:rPr>
          <w:lang w:val="pl-PL"/>
        </w:rPr>
      </w:pPr>
      <w:bookmarkStart w:id="69" w:name="_Toc69723256"/>
      <w:r w:rsidRPr="00733091">
        <w:rPr>
          <w:lang w:val="pl-PL"/>
        </w:rPr>
        <w:lastRenderedPageBreak/>
        <w:t xml:space="preserve">Tabela </w:t>
      </w:r>
      <w:r w:rsidR="00733091">
        <w:fldChar w:fldCharType="begin"/>
      </w:r>
      <w:r w:rsidR="00733091" w:rsidRPr="00733091">
        <w:rPr>
          <w:lang w:val="pl-PL"/>
        </w:rPr>
        <w:instrText xml:space="preserve"> SEQ Tabela \* ARABIC </w:instrText>
      </w:r>
      <w:r w:rsidR="00733091">
        <w:fldChar w:fldCharType="separate"/>
      </w:r>
      <w:r w:rsidR="00B14787">
        <w:rPr>
          <w:noProof/>
          <w:lang w:val="pl-PL"/>
        </w:rPr>
        <w:t>7</w:t>
      </w:r>
      <w:r w:rsidR="00733091">
        <w:rPr>
          <w:noProof/>
        </w:rPr>
        <w:fldChar w:fldCharType="end"/>
      </w:r>
      <w:r w:rsidRPr="00733091">
        <w:rPr>
          <w:lang w:val="pl-PL"/>
        </w:rPr>
        <w:t>. Wyniki egzaminów ośmioklasisty w 2020 r.</w:t>
      </w:r>
      <w:bookmarkEnd w:id="69"/>
    </w:p>
    <w:tbl>
      <w:tblPr>
        <w:tblStyle w:val="CWD"/>
        <w:tblW w:w="5059" w:type="pct"/>
        <w:jc w:val="center"/>
        <w:tblLook w:val="04A0" w:firstRow="1" w:lastRow="0" w:firstColumn="1" w:lastColumn="0" w:noHBand="0" w:noVBand="1"/>
      </w:tblPr>
      <w:tblGrid>
        <w:gridCol w:w="928"/>
        <w:gridCol w:w="975"/>
        <w:gridCol w:w="633"/>
        <w:gridCol w:w="633"/>
        <w:gridCol w:w="512"/>
        <w:gridCol w:w="971"/>
        <w:gridCol w:w="631"/>
        <w:gridCol w:w="631"/>
        <w:gridCol w:w="510"/>
        <w:gridCol w:w="971"/>
        <w:gridCol w:w="631"/>
        <w:gridCol w:w="631"/>
        <w:gridCol w:w="510"/>
      </w:tblGrid>
      <w:tr w:rsidR="00AB3E29" w:rsidRPr="003277B3" w14:paraId="0EE4E0B0" w14:textId="77777777" w:rsidTr="00AB3E2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17" w:type="dxa"/>
            <w:vMerge w:val="restart"/>
            <w:shd w:val="clear" w:color="auto" w:fill="FFC000"/>
            <w:textDirection w:val="btLr"/>
          </w:tcPr>
          <w:p w14:paraId="286ADD7D" w14:textId="6ABDFC13" w:rsidR="00507F25" w:rsidRPr="00AB3E29" w:rsidRDefault="00507F25" w:rsidP="00A53827">
            <w:pPr>
              <w:pStyle w:val="elementgraficznytabela"/>
              <w:spacing w:after="240"/>
              <w:ind w:left="113" w:right="113"/>
              <w:jc w:val="center"/>
              <w:rPr>
                <w:i/>
              </w:rPr>
            </w:pPr>
            <w:r w:rsidRPr="00AB3E29">
              <w:t>Powiaty</w:t>
            </w:r>
          </w:p>
        </w:tc>
        <w:tc>
          <w:tcPr>
            <w:tcW w:w="2826" w:type="dxa"/>
            <w:gridSpan w:val="4"/>
            <w:shd w:val="clear" w:color="auto" w:fill="FFC000"/>
          </w:tcPr>
          <w:p w14:paraId="26BFBC15" w14:textId="77777777" w:rsidR="00507F25" w:rsidRPr="00AB3E29" w:rsidRDefault="00507F25" w:rsidP="00A53827">
            <w:pPr>
              <w:pStyle w:val="elementgraficznytabela"/>
              <w:spacing w:after="240"/>
              <w:ind w:right="2"/>
              <w:jc w:val="center"/>
              <w:cnfStyle w:val="100000000000" w:firstRow="1" w:lastRow="0" w:firstColumn="0" w:lastColumn="0" w:oddVBand="0" w:evenVBand="0" w:oddHBand="0" w:evenHBand="0" w:firstRowFirstColumn="0" w:firstRowLastColumn="0" w:lastRowFirstColumn="0" w:lastRowLastColumn="0"/>
              <w:rPr>
                <w:i/>
              </w:rPr>
            </w:pPr>
            <w:r w:rsidRPr="00AB3E29">
              <w:t>Język polski</w:t>
            </w:r>
          </w:p>
        </w:tc>
        <w:tc>
          <w:tcPr>
            <w:tcW w:w="2712" w:type="dxa"/>
            <w:gridSpan w:val="4"/>
            <w:shd w:val="clear" w:color="auto" w:fill="FFC000"/>
          </w:tcPr>
          <w:p w14:paraId="249F49E5" w14:textId="77777777" w:rsidR="00507F25" w:rsidRPr="00AB3E29" w:rsidRDefault="00507F25" w:rsidP="00A53827">
            <w:pPr>
              <w:pStyle w:val="elementgraficznytabela"/>
              <w:spacing w:after="240"/>
              <w:jc w:val="center"/>
              <w:cnfStyle w:val="100000000000" w:firstRow="1" w:lastRow="0" w:firstColumn="0" w:lastColumn="0" w:oddVBand="0" w:evenVBand="0" w:oddHBand="0" w:evenHBand="0" w:firstRowFirstColumn="0" w:firstRowLastColumn="0" w:lastRowFirstColumn="0" w:lastRowLastColumn="0"/>
              <w:rPr>
                <w:i/>
              </w:rPr>
            </w:pPr>
            <w:r w:rsidRPr="00AB3E29">
              <w:t>Matematyka</w:t>
            </w:r>
          </w:p>
        </w:tc>
        <w:tc>
          <w:tcPr>
            <w:tcW w:w="2712" w:type="dxa"/>
            <w:gridSpan w:val="4"/>
            <w:shd w:val="clear" w:color="auto" w:fill="FFC000"/>
          </w:tcPr>
          <w:p w14:paraId="4C5FB663" w14:textId="7250DEC3" w:rsidR="00507F25" w:rsidRPr="00AB3E29" w:rsidRDefault="00507F25" w:rsidP="00A53827">
            <w:pPr>
              <w:pStyle w:val="elementgraficznytabela"/>
              <w:spacing w:after="240"/>
              <w:jc w:val="center"/>
              <w:cnfStyle w:val="100000000000" w:firstRow="1" w:lastRow="0" w:firstColumn="0" w:lastColumn="0" w:oddVBand="0" w:evenVBand="0" w:oddHBand="0" w:evenHBand="0" w:firstRowFirstColumn="0" w:firstRowLastColumn="0" w:lastRowFirstColumn="0" w:lastRowLastColumn="0"/>
              <w:rPr>
                <w:i/>
              </w:rPr>
            </w:pPr>
            <w:r w:rsidRPr="00AB3E29">
              <w:t>Język angielski</w:t>
            </w:r>
          </w:p>
        </w:tc>
      </w:tr>
      <w:tr w:rsidR="00AB3E29" w:rsidRPr="00B14787" w14:paraId="1C0C7AF1" w14:textId="77777777" w:rsidTr="00AB3E29">
        <w:trPr>
          <w:cantSplit/>
          <w:trHeight w:val="2169"/>
          <w:jc w:val="center"/>
        </w:trPr>
        <w:tc>
          <w:tcPr>
            <w:cnfStyle w:val="001000000000" w:firstRow="0" w:lastRow="0" w:firstColumn="1" w:lastColumn="0" w:oddVBand="0" w:evenVBand="0" w:oddHBand="0" w:evenHBand="0" w:firstRowFirstColumn="0" w:firstRowLastColumn="0" w:lastRowFirstColumn="0" w:lastRowLastColumn="0"/>
            <w:tcW w:w="917" w:type="dxa"/>
            <w:vMerge/>
            <w:shd w:val="clear" w:color="auto" w:fill="FFC000"/>
          </w:tcPr>
          <w:p w14:paraId="7D8C88EA" w14:textId="77777777" w:rsidR="00507F25" w:rsidRPr="00AB3E29" w:rsidRDefault="00507F25" w:rsidP="00733091">
            <w:pPr>
              <w:pStyle w:val="elementgraficznytabela"/>
              <w:spacing w:after="240"/>
              <w:rPr>
                <w:i/>
              </w:rPr>
            </w:pPr>
          </w:p>
        </w:tc>
        <w:tc>
          <w:tcPr>
            <w:tcW w:w="1063" w:type="dxa"/>
            <w:shd w:val="clear" w:color="auto" w:fill="FFC000"/>
            <w:textDirection w:val="btLr"/>
          </w:tcPr>
          <w:p w14:paraId="136D7611" w14:textId="38536DC9" w:rsidR="00507F25" w:rsidRPr="00AB3E29" w:rsidRDefault="006120C4" w:rsidP="00A53827">
            <w:pPr>
              <w:pStyle w:val="elementgraficznytabela"/>
              <w:spacing w:after="240"/>
              <w:ind w:left="113" w:right="2"/>
              <w:jc w:val="center"/>
              <w:cnfStyle w:val="000000000000" w:firstRow="0" w:lastRow="0" w:firstColumn="0" w:lastColumn="0" w:oddVBand="0" w:evenVBand="0" w:oddHBand="0" w:evenHBand="0" w:firstRowFirstColumn="0" w:firstRowLastColumn="0" w:lastRowFirstColumn="0" w:lastRowLastColumn="0"/>
              <w:rPr>
                <w:b/>
                <w:i/>
                <w:szCs w:val="18"/>
              </w:rPr>
            </w:pPr>
            <w:r w:rsidRPr="00AB3E29">
              <w:rPr>
                <w:b/>
                <w:szCs w:val="18"/>
              </w:rPr>
              <w:t>Punkty</w:t>
            </w:r>
          </w:p>
        </w:tc>
        <w:tc>
          <w:tcPr>
            <w:tcW w:w="1759" w:type="dxa"/>
            <w:gridSpan w:val="3"/>
            <w:shd w:val="clear" w:color="auto" w:fill="FFC000"/>
          </w:tcPr>
          <w:p w14:paraId="695723CB" w14:textId="7663E943" w:rsidR="00AB3E29" w:rsidRPr="00AB3E29" w:rsidRDefault="00507F25" w:rsidP="00AB3E29">
            <w:pPr>
              <w:pStyle w:val="elementgraficznytabela"/>
              <w:spacing w:after="240"/>
              <w:ind w:right="2"/>
              <w:jc w:val="center"/>
              <w:cnfStyle w:val="000000000000" w:firstRow="0" w:lastRow="0" w:firstColumn="0" w:lastColumn="0" w:oddVBand="0" w:evenVBand="0" w:oddHBand="0" w:evenHBand="0" w:firstRowFirstColumn="0" w:firstRowLastColumn="0" w:lastRowFirstColumn="0" w:lastRowLastColumn="0"/>
              <w:rPr>
                <w:b/>
                <w:szCs w:val="18"/>
              </w:rPr>
            </w:pPr>
            <w:r w:rsidRPr="00AB3E29">
              <w:rPr>
                <w:b/>
                <w:szCs w:val="18"/>
              </w:rPr>
              <w:t xml:space="preserve">Liczba szkół wg </w:t>
            </w:r>
            <w:r w:rsidR="00AB3E29" w:rsidRPr="00AB3E29">
              <w:rPr>
                <w:b/>
                <w:szCs w:val="18"/>
              </w:rPr>
              <w:t xml:space="preserve">poziomów zależnych od wyników </w:t>
            </w:r>
            <w:r w:rsidRPr="00AB3E29">
              <w:rPr>
                <w:b/>
                <w:szCs w:val="18"/>
              </w:rPr>
              <w:t>egzaminów</w:t>
            </w:r>
            <w:r w:rsidR="00AB3E29" w:rsidRPr="00AB3E29">
              <w:rPr>
                <w:b/>
                <w:szCs w:val="18"/>
              </w:rPr>
              <w:br/>
            </w:r>
          </w:p>
        </w:tc>
        <w:tc>
          <w:tcPr>
            <w:tcW w:w="959" w:type="dxa"/>
            <w:shd w:val="clear" w:color="auto" w:fill="FFC000"/>
            <w:textDirection w:val="btLr"/>
          </w:tcPr>
          <w:p w14:paraId="4F0516BC" w14:textId="61C149CD" w:rsidR="00507F25" w:rsidRPr="00AB3E29" w:rsidRDefault="006120C4" w:rsidP="00AB3E29">
            <w:pPr>
              <w:pStyle w:val="elementgraficznytabela"/>
              <w:spacing w:after="240"/>
              <w:ind w:left="113" w:right="113"/>
              <w:jc w:val="center"/>
              <w:cnfStyle w:val="000000000000" w:firstRow="0" w:lastRow="0" w:firstColumn="0" w:lastColumn="0" w:oddVBand="0" w:evenVBand="0" w:oddHBand="0" w:evenHBand="0" w:firstRowFirstColumn="0" w:firstRowLastColumn="0" w:lastRowFirstColumn="0" w:lastRowLastColumn="0"/>
              <w:rPr>
                <w:b/>
                <w:i/>
                <w:szCs w:val="18"/>
              </w:rPr>
            </w:pPr>
            <w:r w:rsidRPr="00AB3E29">
              <w:rPr>
                <w:b/>
                <w:szCs w:val="18"/>
              </w:rPr>
              <w:t>Punkty</w:t>
            </w:r>
          </w:p>
        </w:tc>
        <w:tc>
          <w:tcPr>
            <w:tcW w:w="1753" w:type="dxa"/>
            <w:gridSpan w:val="3"/>
            <w:shd w:val="clear" w:color="auto" w:fill="FFC000"/>
          </w:tcPr>
          <w:p w14:paraId="11460B08" w14:textId="1D431CFF" w:rsidR="00507F25" w:rsidRPr="00AB3E29" w:rsidRDefault="00AB3E29" w:rsidP="00AB3E29">
            <w:pPr>
              <w:pStyle w:val="elementgraficznytabela"/>
              <w:spacing w:after="240"/>
              <w:jc w:val="center"/>
              <w:cnfStyle w:val="000000000000" w:firstRow="0" w:lastRow="0" w:firstColumn="0" w:lastColumn="0" w:oddVBand="0" w:evenVBand="0" w:oddHBand="0" w:evenHBand="0" w:firstRowFirstColumn="0" w:firstRowLastColumn="0" w:lastRowFirstColumn="0" w:lastRowLastColumn="0"/>
              <w:rPr>
                <w:b/>
                <w:i/>
                <w:szCs w:val="18"/>
              </w:rPr>
            </w:pPr>
            <w:r w:rsidRPr="00AB3E29">
              <w:rPr>
                <w:b/>
                <w:szCs w:val="18"/>
              </w:rPr>
              <w:t>Liczba szkół wg poziomów zależnych od wyników egzaminów</w:t>
            </w:r>
          </w:p>
        </w:tc>
        <w:tc>
          <w:tcPr>
            <w:tcW w:w="959" w:type="dxa"/>
            <w:shd w:val="clear" w:color="auto" w:fill="FFC000"/>
            <w:textDirection w:val="btLr"/>
          </w:tcPr>
          <w:p w14:paraId="4721F87D" w14:textId="5C8DC63E" w:rsidR="00507F25" w:rsidRPr="00AB3E29" w:rsidRDefault="006120C4" w:rsidP="00AB3E29">
            <w:pPr>
              <w:pStyle w:val="elementgraficznytabela"/>
              <w:spacing w:after="240"/>
              <w:ind w:left="113" w:right="113"/>
              <w:jc w:val="center"/>
              <w:cnfStyle w:val="000000000000" w:firstRow="0" w:lastRow="0" w:firstColumn="0" w:lastColumn="0" w:oddVBand="0" w:evenVBand="0" w:oddHBand="0" w:evenHBand="0" w:firstRowFirstColumn="0" w:firstRowLastColumn="0" w:lastRowFirstColumn="0" w:lastRowLastColumn="0"/>
              <w:rPr>
                <w:b/>
                <w:i/>
                <w:szCs w:val="18"/>
              </w:rPr>
            </w:pPr>
            <w:r w:rsidRPr="00AB3E29">
              <w:rPr>
                <w:b/>
                <w:szCs w:val="18"/>
              </w:rPr>
              <w:t>Punkty</w:t>
            </w:r>
          </w:p>
        </w:tc>
        <w:tc>
          <w:tcPr>
            <w:tcW w:w="1753" w:type="dxa"/>
            <w:gridSpan w:val="3"/>
            <w:shd w:val="clear" w:color="auto" w:fill="FFC000"/>
          </w:tcPr>
          <w:p w14:paraId="7D46B14B" w14:textId="1BE18936" w:rsidR="00AB3E29" w:rsidRPr="00AB3E29" w:rsidRDefault="00AB3E29" w:rsidP="00AB3E29">
            <w:pPr>
              <w:pStyle w:val="elementgraficznytabela"/>
              <w:spacing w:after="240"/>
              <w:jc w:val="center"/>
              <w:cnfStyle w:val="000000000000" w:firstRow="0" w:lastRow="0" w:firstColumn="0" w:lastColumn="0" w:oddVBand="0" w:evenVBand="0" w:oddHBand="0" w:evenHBand="0" w:firstRowFirstColumn="0" w:firstRowLastColumn="0" w:lastRowFirstColumn="0" w:lastRowLastColumn="0"/>
              <w:rPr>
                <w:b/>
                <w:szCs w:val="18"/>
              </w:rPr>
            </w:pPr>
            <w:r w:rsidRPr="00AB3E29">
              <w:rPr>
                <w:b/>
                <w:szCs w:val="18"/>
              </w:rPr>
              <w:t>Liczba szkół wg poziomów zależnych od wyników egzaminów</w:t>
            </w:r>
          </w:p>
        </w:tc>
      </w:tr>
      <w:tr w:rsidR="00AB3E29" w:rsidRPr="003277B3" w14:paraId="70A106ED" w14:textId="77777777" w:rsidTr="00AB3E29">
        <w:trPr>
          <w:trHeight w:val="968"/>
          <w:jc w:val="center"/>
        </w:trPr>
        <w:tc>
          <w:tcPr>
            <w:cnfStyle w:val="001000000000" w:firstRow="0" w:lastRow="0" w:firstColumn="1" w:lastColumn="0" w:oddVBand="0" w:evenVBand="0" w:oddHBand="0" w:evenHBand="0" w:firstRowFirstColumn="0" w:firstRowLastColumn="0" w:lastRowFirstColumn="0" w:lastRowLastColumn="0"/>
            <w:tcW w:w="917" w:type="dxa"/>
            <w:vMerge/>
            <w:shd w:val="clear" w:color="auto" w:fill="FFC000"/>
          </w:tcPr>
          <w:p w14:paraId="25D52A39" w14:textId="77777777" w:rsidR="00AB3E29" w:rsidRPr="00AB3E29" w:rsidRDefault="00AB3E29" w:rsidP="00AB3E29">
            <w:pPr>
              <w:pStyle w:val="elementgraficznytabela"/>
              <w:spacing w:after="240"/>
              <w:rPr>
                <w:i/>
              </w:rPr>
            </w:pPr>
          </w:p>
        </w:tc>
        <w:tc>
          <w:tcPr>
            <w:tcW w:w="1063" w:type="dxa"/>
            <w:shd w:val="clear" w:color="auto" w:fill="FFC000"/>
          </w:tcPr>
          <w:p w14:paraId="7DC188CC" w14:textId="77777777" w:rsidR="00AB3E29" w:rsidRPr="00AB3E29" w:rsidRDefault="00AB3E29" w:rsidP="00AB3E29">
            <w:pPr>
              <w:pStyle w:val="elementgraficznytabela"/>
              <w:spacing w:after="240"/>
              <w:ind w:right="2"/>
              <w:jc w:val="center"/>
              <w:cnfStyle w:val="000000000000" w:firstRow="0" w:lastRow="0" w:firstColumn="0" w:lastColumn="0" w:oddVBand="0" w:evenVBand="0" w:oddHBand="0" w:evenHBand="0" w:firstRowFirstColumn="0" w:firstRowLastColumn="0" w:lastRowFirstColumn="0" w:lastRowLastColumn="0"/>
              <w:rPr>
                <w:b/>
                <w:i/>
                <w:szCs w:val="18"/>
              </w:rPr>
            </w:pPr>
            <w:r w:rsidRPr="00AB3E29">
              <w:rPr>
                <w:b/>
                <w:szCs w:val="18"/>
              </w:rPr>
              <w:t>Średnia</w:t>
            </w:r>
          </w:p>
        </w:tc>
        <w:tc>
          <w:tcPr>
            <w:tcW w:w="626" w:type="dxa"/>
            <w:shd w:val="clear" w:color="auto" w:fill="FFC000"/>
          </w:tcPr>
          <w:p w14:paraId="04A9EDE1" w14:textId="45692F78" w:rsidR="00AB3E29" w:rsidRPr="00AB3E29" w:rsidRDefault="00AB3E29" w:rsidP="00AB3E29">
            <w:pPr>
              <w:pStyle w:val="elementgraficznytabela"/>
              <w:spacing w:after="240"/>
              <w:ind w:right="2"/>
              <w:jc w:val="center"/>
              <w:cnfStyle w:val="000000000000" w:firstRow="0" w:lastRow="0" w:firstColumn="0" w:lastColumn="0" w:oddVBand="0" w:evenVBand="0" w:oddHBand="0" w:evenHBand="0" w:firstRowFirstColumn="0" w:firstRowLastColumn="0" w:lastRowFirstColumn="0" w:lastRowLastColumn="0"/>
              <w:rPr>
                <w:b/>
                <w:iCs/>
                <w:szCs w:val="18"/>
              </w:rPr>
            </w:pPr>
            <w:r w:rsidRPr="00AB3E29">
              <w:rPr>
                <w:b/>
                <w:iCs/>
                <w:szCs w:val="18"/>
              </w:rPr>
              <w:t>N</w:t>
            </w:r>
          </w:p>
        </w:tc>
        <w:tc>
          <w:tcPr>
            <w:tcW w:w="626" w:type="dxa"/>
            <w:shd w:val="clear" w:color="auto" w:fill="FFC000"/>
          </w:tcPr>
          <w:p w14:paraId="06177648" w14:textId="20C1E9F7" w:rsidR="00AB3E29" w:rsidRPr="00AB3E29" w:rsidRDefault="00AB3E29" w:rsidP="00AB3E29">
            <w:pPr>
              <w:pStyle w:val="elementgraficznytabela"/>
              <w:spacing w:after="240"/>
              <w:ind w:right="2"/>
              <w:jc w:val="center"/>
              <w:cnfStyle w:val="000000000000" w:firstRow="0" w:lastRow="0" w:firstColumn="0" w:lastColumn="0" w:oddVBand="0" w:evenVBand="0" w:oddHBand="0" w:evenHBand="0" w:firstRowFirstColumn="0" w:firstRowLastColumn="0" w:lastRowFirstColumn="0" w:lastRowLastColumn="0"/>
              <w:rPr>
                <w:b/>
                <w:iCs/>
                <w:szCs w:val="18"/>
              </w:rPr>
            </w:pPr>
            <w:r w:rsidRPr="00AB3E29">
              <w:rPr>
                <w:b/>
                <w:iCs/>
                <w:szCs w:val="18"/>
              </w:rPr>
              <w:t>Ś</w:t>
            </w:r>
          </w:p>
        </w:tc>
        <w:tc>
          <w:tcPr>
            <w:tcW w:w="507" w:type="dxa"/>
            <w:shd w:val="clear" w:color="auto" w:fill="FFC000"/>
          </w:tcPr>
          <w:p w14:paraId="4D215BB5" w14:textId="4A396319" w:rsidR="00AB3E29" w:rsidRPr="00AB3E29" w:rsidRDefault="00AB3E29" w:rsidP="00AB3E29">
            <w:pPr>
              <w:pStyle w:val="elementgraficznytabela"/>
              <w:spacing w:after="240"/>
              <w:ind w:right="2"/>
              <w:jc w:val="center"/>
              <w:cnfStyle w:val="000000000000" w:firstRow="0" w:lastRow="0" w:firstColumn="0" w:lastColumn="0" w:oddVBand="0" w:evenVBand="0" w:oddHBand="0" w:evenHBand="0" w:firstRowFirstColumn="0" w:firstRowLastColumn="0" w:lastRowFirstColumn="0" w:lastRowLastColumn="0"/>
              <w:rPr>
                <w:b/>
                <w:iCs/>
                <w:szCs w:val="18"/>
              </w:rPr>
            </w:pPr>
            <w:r w:rsidRPr="00AB3E29">
              <w:rPr>
                <w:b/>
                <w:iCs/>
                <w:szCs w:val="18"/>
              </w:rPr>
              <w:t>W</w:t>
            </w:r>
          </w:p>
        </w:tc>
        <w:tc>
          <w:tcPr>
            <w:tcW w:w="959" w:type="dxa"/>
            <w:shd w:val="clear" w:color="auto" w:fill="FFC000"/>
          </w:tcPr>
          <w:p w14:paraId="13C80766" w14:textId="1181C479" w:rsidR="00AB3E29" w:rsidRPr="00AB3E29" w:rsidRDefault="00AB3E29" w:rsidP="00AB3E29">
            <w:pPr>
              <w:pStyle w:val="elementgraficznytabela"/>
              <w:spacing w:after="240"/>
              <w:jc w:val="center"/>
              <w:cnfStyle w:val="000000000000" w:firstRow="0" w:lastRow="0" w:firstColumn="0" w:lastColumn="0" w:oddVBand="0" w:evenVBand="0" w:oddHBand="0" w:evenHBand="0" w:firstRowFirstColumn="0" w:firstRowLastColumn="0" w:lastRowFirstColumn="0" w:lastRowLastColumn="0"/>
              <w:rPr>
                <w:b/>
                <w:iCs/>
                <w:szCs w:val="18"/>
              </w:rPr>
            </w:pPr>
            <w:r w:rsidRPr="00AB3E29">
              <w:rPr>
                <w:b/>
                <w:szCs w:val="18"/>
              </w:rPr>
              <w:t>Średnia</w:t>
            </w:r>
          </w:p>
        </w:tc>
        <w:tc>
          <w:tcPr>
            <w:tcW w:w="624" w:type="dxa"/>
            <w:shd w:val="clear" w:color="auto" w:fill="FFC000"/>
          </w:tcPr>
          <w:p w14:paraId="7BD082F5" w14:textId="799C6823" w:rsidR="00AB3E29" w:rsidRPr="00AB3E29" w:rsidRDefault="00AB3E29" w:rsidP="00AB3E29">
            <w:pPr>
              <w:pStyle w:val="elementgraficznytabela"/>
              <w:spacing w:after="240"/>
              <w:jc w:val="center"/>
              <w:cnfStyle w:val="000000000000" w:firstRow="0" w:lastRow="0" w:firstColumn="0" w:lastColumn="0" w:oddVBand="0" w:evenVBand="0" w:oddHBand="0" w:evenHBand="0" w:firstRowFirstColumn="0" w:firstRowLastColumn="0" w:lastRowFirstColumn="0" w:lastRowLastColumn="0"/>
              <w:rPr>
                <w:b/>
                <w:iCs/>
                <w:szCs w:val="18"/>
              </w:rPr>
            </w:pPr>
            <w:r w:rsidRPr="00AB3E29">
              <w:rPr>
                <w:b/>
                <w:iCs/>
                <w:szCs w:val="18"/>
              </w:rPr>
              <w:t>N</w:t>
            </w:r>
          </w:p>
        </w:tc>
        <w:tc>
          <w:tcPr>
            <w:tcW w:w="624" w:type="dxa"/>
            <w:shd w:val="clear" w:color="auto" w:fill="FFC000"/>
          </w:tcPr>
          <w:p w14:paraId="093CE5F8" w14:textId="0053FF34" w:rsidR="00AB3E29" w:rsidRPr="00AB3E29" w:rsidRDefault="00AB3E29" w:rsidP="00AB3E29">
            <w:pPr>
              <w:pStyle w:val="elementgraficznytabela"/>
              <w:spacing w:after="240"/>
              <w:jc w:val="center"/>
              <w:cnfStyle w:val="000000000000" w:firstRow="0" w:lastRow="0" w:firstColumn="0" w:lastColumn="0" w:oddVBand="0" w:evenVBand="0" w:oddHBand="0" w:evenHBand="0" w:firstRowFirstColumn="0" w:firstRowLastColumn="0" w:lastRowFirstColumn="0" w:lastRowLastColumn="0"/>
              <w:rPr>
                <w:b/>
                <w:iCs/>
                <w:szCs w:val="18"/>
              </w:rPr>
            </w:pPr>
            <w:r w:rsidRPr="00AB3E29">
              <w:rPr>
                <w:b/>
                <w:iCs/>
                <w:szCs w:val="18"/>
              </w:rPr>
              <w:t>Ś</w:t>
            </w:r>
          </w:p>
        </w:tc>
        <w:tc>
          <w:tcPr>
            <w:tcW w:w="505" w:type="dxa"/>
            <w:shd w:val="clear" w:color="auto" w:fill="FFC000"/>
          </w:tcPr>
          <w:p w14:paraId="004F2367" w14:textId="3172245D" w:rsidR="00AB3E29" w:rsidRPr="00AB3E29" w:rsidRDefault="00AB3E29" w:rsidP="00AB3E29">
            <w:pPr>
              <w:pStyle w:val="elementgraficznytabela"/>
              <w:spacing w:after="240"/>
              <w:jc w:val="center"/>
              <w:cnfStyle w:val="000000000000" w:firstRow="0" w:lastRow="0" w:firstColumn="0" w:lastColumn="0" w:oddVBand="0" w:evenVBand="0" w:oddHBand="0" w:evenHBand="0" w:firstRowFirstColumn="0" w:firstRowLastColumn="0" w:lastRowFirstColumn="0" w:lastRowLastColumn="0"/>
              <w:rPr>
                <w:b/>
                <w:iCs/>
                <w:szCs w:val="18"/>
              </w:rPr>
            </w:pPr>
            <w:r w:rsidRPr="00AB3E29">
              <w:rPr>
                <w:b/>
                <w:iCs/>
                <w:szCs w:val="18"/>
              </w:rPr>
              <w:t>W</w:t>
            </w:r>
          </w:p>
        </w:tc>
        <w:tc>
          <w:tcPr>
            <w:tcW w:w="959" w:type="dxa"/>
            <w:shd w:val="clear" w:color="auto" w:fill="FFC000"/>
          </w:tcPr>
          <w:p w14:paraId="770DE4C1" w14:textId="3A5B211C" w:rsidR="00AB3E29" w:rsidRPr="00AB3E29" w:rsidRDefault="00AB3E29" w:rsidP="00AB3E29">
            <w:pPr>
              <w:pStyle w:val="elementgraficznytabela"/>
              <w:spacing w:after="240"/>
              <w:jc w:val="center"/>
              <w:cnfStyle w:val="000000000000" w:firstRow="0" w:lastRow="0" w:firstColumn="0" w:lastColumn="0" w:oddVBand="0" w:evenVBand="0" w:oddHBand="0" w:evenHBand="0" w:firstRowFirstColumn="0" w:firstRowLastColumn="0" w:lastRowFirstColumn="0" w:lastRowLastColumn="0"/>
              <w:rPr>
                <w:b/>
                <w:iCs/>
                <w:szCs w:val="18"/>
              </w:rPr>
            </w:pPr>
            <w:r w:rsidRPr="00AB3E29">
              <w:rPr>
                <w:b/>
                <w:szCs w:val="18"/>
              </w:rPr>
              <w:t>Średnia</w:t>
            </w:r>
          </w:p>
        </w:tc>
        <w:tc>
          <w:tcPr>
            <w:tcW w:w="624" w:type="dxa"/>
            <w:shd w:val="clear" w:color="auto" w:fill="FFC000"/>
          </w:tcPr>
          <w:p w14:paraId="6B0DC51C" w14:textId="7E176DCE" w:rsidR="00AB3E29" w:rsidRPr="00AB3E29" w:rsidRDefault="00AB3E29" w:rsidP="00AB3E29">
            <w:pPr>
              <w:pStyle w:val="elementgraficznytabela"/>
              <w:spacing w:after="240"/>
              <w:jc w:val="center"/>
              <w:cnfStyle w:val="000000000000" w:firstRow="0" w:lastRow="0" w:firstColumn="0" w:lastColumn="0" w:oddVBand="0" w:evenVBand="0" w:oddHBand="0" w:evenHBand="0" w:firstRowFirstColumn="0" w:firstRowLastColumn="0" w:lastRowFirstColumn="0" w:lastRowLastColumn="0"/>
              <w:rPr>
                <w:b/>
                <w:iCs/>
                <w:szCs w:val="18"/>
              </w:rPr>
            </w:pPr>
            <w:r w:rsidRPr="00AB3E29">
              <w:rPr>
                <w:b/>
                <w:iCs/>
                <w:szCs w:val="18"/>
              </w:rPr>
              <w:t>N</w:t>
            </w:r>
          </w:p>
        </w:tc>
        <w:tc>
          <w:tcPr>
            <w:tcW w:w="624" w:type="dxa"/>
            <w:shd w:val="clear" w:color="auto" w:fill="FFC000"/>
          </w:tcPr>
          <w:p w14:paraId="0A4FBB49" w14:textId="63DC72CB" w:rsidR="00AB3E29" w:rsidRPr="00AB3E29" w:rsidRDefault="00AB3E29" w:rsidP="00AB3E29">
            <w:pPr>
              <w:pStyle w:val="elementgraficznytabela"/>
              <w:spacing w:after="240"/>
              <w:jc w:val="center"/>
              <w:cnfStyle w:val="000000000000" w:firstRow="0" w:lastRow="0" w:firstColumn="0" w:lastColumn="0" w:oddVBand="0" w:evenVBand="0" w:oddHBand="0" w:evenHBand="0" w:firstRowFirstColumn="0" w:firstRowLastColumn="0" w:lastRowFirstColumn="0" w:lastRowLastColumn="0"/>
              <w:rPr>
                <w:b/>
                <w:iCs/>
                <w:szCs w:val="18"/>
              </w:rPr>
            </w:pPr>
            <w:r w:rsidRPr="00AB3E29">
              <w:rPr>
                <w:b/>
                <w:iCs/>
                <w:szCs w:val="18"/>
              </w:rPr>
              <w:t>Ś</w:t>
            </w:r>
          </w:p>
        </w:tc>
        <w:tc>
          <w:tcPr>
            <w:tcW w:w="505" w:type="dxa"/>
            <w:shd w:val="clear" w:color="auto" w:fill="FFC000"/>
          </w:tcPr>
          <w:p w14:paraId="2FD09997" w14:textId="1B2CB26F" w:rsidR="00AB3E29" w:rsidRPr="00AB3E29" w:rsidRDefault="00AB3E29" w:rsidP="00AB3E29">
            <w:pPr>
              <w:pStyle w:val="elementgraficznytabela"/>
              <w:spacing w:after="240"/>
              <w:jc w:val="center"/>
              <w:cnfStyle w:val="000000000000" w:firstRow="0" w:lastRow="0" w:firstColumn="0" w:lastColumn="0" w:oddVBand="0" w:evenVBand="0" w:oddHBand="0" w:evenHBand="0" w:firstRowFirstColumn="0" w:firstRowLastColumn="0" w:lastRowFirstColumn="0" w:lastRowLastColumn="0"/>
              <w:rPr>
                <w:b/>
                <w:iCs/>
                <w:szCs w:val="18"/>
              </w:rPr>
            </w:pPr>
            <w:r w:rsidRPr="00AB3E29">
              <w:rPr>
                <w:b/>
                <w:iCs/>
                <w:szCs w:val="18"/>
              </w:rPr>
              <w:t>W</w:t>
            </w:r>
          </w:p>
        </w:tc>
      </w:tr>
      <w:tr w:rsidR="00AB3E29" w:rsidRPr="003277B3" w14:paraId="2E34CD33" w14:textId="77777777" w:rsidTr="00AB3E29">
        <w:trPr>
          <w:cantSplit/>
          <w:trHeight w:val="1134"/>
          <w:jc w:val="center"/>
        </w:trPr>
        <w:tc>
          <w:tcPr>
            <w:cnfStyle w:val="001000000000" w:firstRow="0" w:lastRow="0" w:firstColumn="1" w:lastColumn="0" w:oddVBand="0" w:evenVBand="0" w:oddHBand="0" w:evenHBand="0" w:firstRowFirstColumn="0" w:firstRowLastColumn="0" w:lastRowFirstColumn="0" w:lastRowLastColumn="0"/>
            <w:tcW w:w="917" w:type="dxa"/>
            <w:textDirection w:val="btLr"/>
          </w:tcPr>
          <w:p w14:paraId="6C93A077" w14:textId="77777777" w:rsidR="00507F25" w:rsidRPr="00507F25" w:rsidRDefault="00507F25" w:rsidP="00AB3E29">
            <w:pPr>
              <w:pStyle w:val="elementgraficznytabela"/>
              <w:spacing w:after="240"/>
              <w:ind w:left="113" w:right="113"/>
              <w:jc w:val="center"/>
              <w:rPr>
                <w:i/>
              </w:rPr>
            </w:pPr>
            <w:r w:rsidRPr="00507F25">
              <w:t>Piski</w:t>
            </w:r>
          </w:p>
        </w:tc>
        <w:tc>
          <w:tcPr>
            <w:tcW w:w="1063" w:type="dxa"/>
          </w:tcPr>
          <w:p w14:paraId="767FE47F" w14:textId="77777777" w:rsidR="00507F25" w:rsidRPr="003277B3" w:rsidRDefault="00507F25" w:rsidP="002F493F">
            <w:pPr>
              <w:pStyle w:val="elementgraficznytabela"/>
              <w:spacing w:after="240"/>
              <w:ind w:right="2"/>
              <w:jc w:val="center"/>
              <w:cnfStyle w:val="000000000000" w:firstRow="0" w:lastRow="0" w:firstColumn="0" w:lastColumn="0" w:oddVBand="0" w:evenVBand="0" w:oddHBand="0" w:evenHBand="0" w:firstRowFirstColumn="0" w:firstRowLastColumn="0" w:lastRowFirstColumn="0" w:lastRowLastColumn="0"/>
              <w:rPr>
                <w:i/>
                <w:szCs w:val="18"/>
              </w:rPr>
            </w:pPr>
            <w:r w:rsidRPr="003277B3">
              <w:rPr>
                <w:szCs w:val="18"/>
              </w:rPr>
              <w:t>52%</w:t>
            </w:r>
          </w:p>
        </w:tc>
        <w:tc>
          <w:tcPr>
            <w:tcW w:w="626" w:type="dxa"/>
          </w:tcPr>
          <w:p w14:paraId="236DD24D" w14:textId="77777777" w:rsidR="00507F25" w:rsidRPr="003277B3" w:rsidRDefault="00507F25" w:rsidP="002F493F">
            <w:pPr>
              <w:pStyle w:val="elementgraficznytabela"/>
              <w:spacing w:after="240"/>
              <w:ind w:right="2"/>
              <w:jc w:val="center"/>
              <w:cnfStyle w:val="000000000000" w:firstRow="0" w:lastRow="0" w:firstColumn="0" w:lastColumn="0" w:oddVBand="0" w:evenVBand="0" w:oddHBand="0" w:evenHBand="0" w:firstRowFirstColumn="0" w:firstRowLastColumn="0" w:lastRowFirstColumn="0" w:lastRowLastColumn="0"/>
              <w:rPr>
                <w:i/>
                <w:szCs w:val="18"/>
              </w:rPr>
            </w:pPr>
            <w:r w:rsidRPr="003277B3">
              <w:rPr>
                <w:szCs w:val="18"/>
              </w:rPr>
              <w:t>11</w:t>
            </w:r>
          </w:p>
        </w:tc>
        <w:tc>
          <w:tcPr>
            <w:tcW w:w="626" w:type="dxa"/>
          </w:tcPr>
          <w:p w14:paraId="472998AF" w14:textId="77777777" w:rsidR="00507F25" w:rsidRPr="003277B3" w:rsidRDefault="00507F25" w:rsidP="002F493F">
            <w:pPr>
              <w:pStyle w:val="elementgraficznytabela"/>
              <w:spacing w:after="240"/>
              <w:ind w:right="2"/>
              <w:jc w:val="center"/>
              <w:cnfStyle w:val="000000000000" w:firstRow="0" w:lastRow="0" w:firstColumn="0" w:lastColumn="0" w:oddVBand="0" w:evenVBand="0" w:oddHBand="0" w:evenHBand="0" w:firstRowFirstColumn="0" w:firstRowLastColumn="0" w:lastRowFirstColumn="0" w:lastRowLastColumn="0"/>
              <w:rPr>
                <w:i/>
                <w:szCs w:val="18"/>
              </w:rPr>
            </w:pPr>
            <w:r w:rsidRPr="003277B3">
              <w:rPr>
                <w:szCs w:val="18"/>
              </w:rPr>
              <w:t>10</w:t>
            </w:r>
          </w:p>
        </w:tc>
        <w:tc>
          <w:tcPr>
            <w:tcW w:w="507" w:type="dxa"/>
          </w:tcPr>
          <w:p w14:paraId="21D33AB5" w14:textId="77777777" w:rsidR="00507F25" w:rsidRPr="003277B3" w:rsidRDefault="00507F25" w:rsidP="002F493F">
            <w:pPr>
              <w:pStyle w:val="elementgraficznytabela"/>
              <w:spacing w:after="240"/>
              <w:ind w:right="2"/>
              <w:jc w:val="center"/>
              <w:cnfStyle w:val="000000000000" w:firstRow="0" w:lastRow="0" w:firstColumn="0" w:lastColumn="0" w:oddVBand="0" w:evenVBand="0" w:oddHBand="0" w:evenHBand="0" w:firstRowFirstColumn="0" w:firstRowLastColumn="0" w:lastRowFirstColumn="0" w:lastRowLastColumn="0"/>
              <w:rPr>
                <w:i/>
                <w:szCs w:val="18"/>
              </w:rPr>
            </w:pPr>
            <w:r w:rsidRPr="003277B3">
              <w:rPr>
                <w:szCs w:val="18"/>
              </w:rPr>
              <w:t>1</w:t>
            </w:r>
          </w:p>
        </w:tc>
        <w:tc>
          <w:tcPr>
            <w:tcW w:w="959" w:type="dxa"/>
          </w:tcPr>
          <w:p w14:paraId="3F7FF005" w14:textId="77777777" w:rsidR="00507F25" w:rsidRPr="003277B3" w:rsidRDefault="00507F25" w:rsidP="002F493F">
            <w:pPr>
              <w:pStyle w:val="elementgraficznytabela"/>
              <w:spacing w:after="240"/>
              <w:jc w:val="center"/>
              <w:cnfStyle w:val="000000000000" w:firstRow="0" w:lastRow="0" w:firstColumn="0" w:lastColumn="0" w:oddVBand="0" w:evenVBand="0" w:oddHBand="0" w:evenHBand="0" w:firstRowFirstColumn="0" w:firstRowLastColumn="0" w:lastRowFirstColumn="0" w:lastRowLastColumn="0"/>
              <w:rPr>
                <w:i/>
                <w:szCs w:val="18"/>
              </w:rPr>
            </w:pPr>
            <w:r w:rsidRPr="003277B3">
              <w:rPr>
                <w:szCs w:val="18"/>
              </w:rPr>
              <w:t>38%</w:t>
            </w:r>
          </w:p>
        </w:tc>
        <w:tc>
          <w:tcPr>
            <w:tcW w:w="624" w:type="dxa"/>
          </w:tcPr>
          <w:p w14:paraId="2A27C77C" w14:textId="77777777" w:rsidR="00507F25" w:rsidRPr="003277B3" w:rsidRDefault="00507F25" w:rsidP="002F493F">
            <w:pPr>
              <w:pStyle w:val="elementgraficznytabela"/>
              <w:spacing w:after="240"/>
              <w:jc w:val="center"/>
              <w:cnfStyle w:val="000000000000" w:firstRow="0" w:lastRow="0" w:firstColumn="0" w:lastColumn="0" w:oddVBand="0" w:evenVBand="0" w:oddHBand="0" w:evenHBand="0" w:firstRowFirstColumn="0" w:firstRowLastColumn="0" w:lastRowFirstColumn="0" w:lastRowLastColumn="0"/>
              <w:rPr>
                <w:i/>
                <w:szCs w:val="18"/>
              </w:rPr>
            </w:pPr>
            <w:r w:rsidRPr="003277B3">
              <w:rPr>
                <w:szCs w:val="18"/>
              </w:rPr>
              <w:t>14</w:t>
            </w:r>
          </w:p>
        </w:tc>
        <w:tc>
          <w:tcPr>
            <w:tcW w:w="624" w:type="dxa"/>
          </w:tcPr>
          <w:p w14:paraId="531CA774" w14:textId="77777777" w:rsidR="00507F25" w:rsidRPr="003277B3" w:rsidRDefault="00507F25" w:rsidP="002F493F">
            <w:pPr>
              <w:pStyle w:val="elementgraficznytabela"/>
              <w:spacing w:after="240"/>
              <w:jc w:val="center"/>
              <w:cnfStyle w:val="000000000000" w:firstRow="0" w:lastRow="0" w:firstColumn="0" w:lastColumn="0" w:oddVBand="0" w:evenVBand="0" w:oddHBand="0" w:evenHBand="0" w:firstRowFirstColumn="0" w:firstRowLastColumn="0" w:lastRowFirstColumn="0" w:lastRowLastColumn="0"/>
              <w:rPr>
                <w:i/>
                <w:szCs w:val="18"/>
              </w:rPr>
            </w:pPr>
            <w:r w:rsidRPr="003277B3">
              <w:rPr>
                <w:szCs w:val="18"/>
              </w:rPr>
              <w:t>5</w:t>
            </w:r>
          </w:p>
        </w:tc>
        <w:tc>
          <w:tcPr>
            <w:tcW w:w="505" w:type="dxa"/>
          </w:tcPr>
          <w:p w14:paraId="0D50EAF4" w14:textId="77777777" w:rsidR="00507F25" w:rsidRPr="003277B3" w:rsidRDefault="00507F25" w:rsidP="002F493F">
            <w:pPr>
              <w:pStyle w:val="elementgraficznytabela"/>
              <w:spacing w:after="240"/>
              <w:jc w:val="center"/>
              <w:cnfStyle w:val="000000000000" w:firstRow="0" w:lastRow="0" w:firstColumn="0" w:lastColumn="0" w:oddVBand="0" w:evenVBand="0" w:oddHBand="0" w:evenHBand="0" w:firstRowFirstColumn="0" w:firstRowLastColumn="0" w:lastRowFirstColumn="0" w:lastRowLastColumn="0"/>
              <w:rPr>
                <w:i/>
                <w:szCs w:val="18"/>
              </w:rPr>
            </w:pPr>
            <w:r w:rsidRPr="003277B3">
              <w:rPr>
                <w:szCs w:val="18"/>
              </w:rPr>
              <w:t>3</w:t>
            </w:r>
          </w:p>
        </w:tc>
        <w:tc>
          <w:tcPr>
            <w:tcW w:w="959" w:type="dxa"/>
          </w:tcPr>
          <w:p w14:paraId="74525600" w14:textId="77777777" w:rsidR="00507F25" w:rsidRPr="003277B3" w:rsidRDefault="00507F25" w:rsidP="002F493F">
            <w:pPr>
              <w:pStyle w:val="elementgraficznytabela"/>
              <w:spacing w:after="240"/>
              <w:jc w:val="center"/>
              <w:cnfStyle w:val="000000000000" w:firstRow="0" w:lastRow="0" w:firstColumn="0" w:lastColumn="0" w:oddVBand="0" w:evenVBand="0" w:oddHBand="0" w:evenHBand="0" w:firstRowFirstColumn="0" w:firstRowLastColumn="0" w:lastRowFirstColumn="0" w:lastRowLastColumn="0"/>
              <w:rPr>
                <w:i/>
                <w:szCs w:val="18"/>
              </w:rPr>
            </w:pPr>
            <w:r w:rsidRPr="003277B3">
              <w:rPr>
                <w:szCs w:val="18"/>
              </w:rPr>
              <w:t>46%</w:t>
            </w:r>
          </w:p>
        </w:tc>
        <w:tc>
          <w:tcPr>
            <w:tcW w:w="624" w:type="dxa"/>
          </w:tcPr>
          <w:p w14:paraId="15BA2328" w14:textId="77777777" w:rsidR="00507F25" w:rsidRPr="003277B3" w:rsidRDefault="00507F25" w:rsidP="002F493F">
            <w:pPr>
              <w:pStyle w:val="elementgraficznytabela"/>
              <w:spacing w:after="240"/>
              <w:jc w:val="center"/>
              <w:cnfStyle w:val="000000000000" w:firstRow="0" w:lastRow="0" w:firstColumn="0" w:lastColumn="0" w:oddVBand="0" w:evenVBand="0" w:oddHBand="0" w:evenHBand="0" w:firstRowFirstColumn="0" w:firstRowLastColumn="0" w:lastRowFirstColumn="0" w:lastRowLastColumn="0"/>
              <w:rPr>
                <w:i/>
                <w:szCs w:val="18"/>
              </w:rPr>
            </w:pPr>
            <w:r w:rsidRPr="003277B3">
              <w:rPr>
                <w:szCs w:val="18"/>
              </w:rPr>
              <w:t>9</w:t>
            </w:r>
          </w:p>
        </w:tc>
        <w:tc>
          <w:tcPr>
            <w:tcW w:w="624" w:type="dxa"/>
          </w:tcPr>
          <w:p w14:paraId="20E37167" w14:textId="77777777" w:rsidR="00507F25" w:rsidRPr="003277B3" w:rsidRDefault="00507F25" w:rsidP="002F493F">
            <w:pPr>
              <w:pStyle w:val="elementgraficznytabela"/>
              <w:spacing w:after="240"/>
              <w:jc w:val="center"/>
              <w:cnfStyle w:val="000000000000" w:firstRow="0" w:lastRow="0" w:firstColumn="0" w:lastColumn="0" w:oddVBand="0" w:evenVBand="0" w:oddHBand="0" w:evenHBand="0" w:firstRowFirstColumn="0" w:firstRowLastColumn="0" w:lastRowFirstColumn="0" w:lastRowLastColumn="0"/>
              <w:rPr>
                <w:i/>
                <w:szCs w:val="18"/>
              </w:rPr>
            </w:pPr>
            <w:r w:rsidRPr="003277B3">
              <w:rPr>
                <w:szCs w:val="18"/>
              </w:rPr>
              <w:t>7</w:t>
            </w:r>
          </w:p>
        </w:tc>
        <w:tc>
          <w:tcPr>
            <w:tcW w:w="505" w:type="dxa"/>
          </w:tcPr>
          <w:p w14:paraId="508234EA" w14:textId="77777777" w:rsidR="00507F25" w:rsidRPr="003277B3" w:rsidRDefault="00507F25" w:rsidP="002F493F">
            <w:pPr>
              <w:pStyle w:val="elementgraficznytabela"/>
              <w:spacing w:after="240"/>
              <w:jc w:val="center"/>
              <w:cnfStyle w:val="000000000000" w:firstRow="0" w:lastRow="0" w:firstColumn="0" w:lastColumn="0" w:oddVBand="0" w:evenVBand="0" w:oddHBand="0" w:evenHBand="0" w:firstRowFirstColumn="0" w:firstRowLastColumn="0" w:lastRowFirstColumn="0" w:lastRowLastColumn="0"/>
              <w:rPr>
                <w:i/>
                <w:szCs w:val="18"/>
              </w:rPr>
            </w:pPr>
            <w:r w:rsidRPr="003277B3">
              <w:rPr>
                <w:szCs w:val="18"/>
              </w:rPr>
              <w:t>4</w:t>
            </w:r>
          </w:p>
        </w:tc>
      </w:tr>
      <w:tr w:rsidR="00AB3E29" w:rsidRPr="003277B3" w14:paraId="6D282C3E" w14:textId="77777777" w:rsidTr="00AB3E29">
        <w:trPr>
          <w:cantSplit/>
          <w:trHeight w:val="1134"/>
          <w:jc w:val="center"/>
        </w:trPr>
        <w:tc>
          <w:tcPr>
            <w:cnfStyle w:val="001000000000" w:firstRow="0" w:lastRow="0" w:firstColumn="1" w:lastColumn="0" w:oddVBand="0" w:evenVBand="0" w:oddHBand="0" w:evenHBand="0" w:firstRowFirstColumn="0" w:firstRowLastColumn="0" w:lastRowFirstColumn="0" w:lastRowLastColumn="0"/>
            <w:tcW w:w="917" w:type="dxa"/>
            <w:textDirection w:val="btLr"/>
          </w:tcPr>
          <w:p w14:paraId="3AB0EF5A" w14:textId="38927443" w:rsidR="00507F25" w:rsidRPr="00507F25" w:rsidRDefault="00507F25" w:rsidP="00AB3E29">
            <w:pPr>
              <w:pStyle w:val="elementgraficznytabela"/>
              <w:spacing w:after="240"/>
              <w:ind w:left="113" w:right="113"/>
              <w:jc w:val="center"/>
              <w:rPr>
                <w:i/>
              </w:rPr>
            </w:pPr>
            <w:r w:rsidRPr="00507F25">
              <w:t>Nidzic</w:t>
            </w:r>
            <w:r w:rsidR="00A53827">
              <w:t>-</w:t>
            </w:r>
            <w:r w:rsidRPr="00507F25">
              <w:t>ki</w:t>
            </w:r>
          </w:p>
        </w:tc>
        <w:tc>
          <w:tcPr>
            <w:tcW w:w="1063" w:type="dxa"/>
          </w:tcPr>
          <w:p w14:paraId="30DB10A9" w14:textId="77777777" w:rsidR="00507F25" w:rsidRPr="003277B3" w:rsidRDefault="00507F25" w:rsidP="002F493F">
            <w:pPr>
              <w:pStyle w:val="elementgraficznytabela"/>
              <w:spacing w:after="240"/>
              <w:ind w:right="2"/>
              <w:jc w:val="center"/>
              <w:cnfStyle w:val="000000000000" w:firstRow="0" w:lastRow="0" w:firstColumn="0" w:lastColumn="0" w:oddVBand="0" w:evenVBand="0" w:oddHBand="0" w:evenHBand="0" w:firstRowFirstColumn="0" w:firstRowLastColumn="0" w:lastRowFirstColumn="0" w:lastRowLastColumn="0"/>
              <w:rPr>
                <w:i/>
                <w:szCs w:val="18"/>
              </w:rPr>
            </w:pPr>
            <w:r w:rsidRPr="003277B3">
              <w:rPr>
                <w:szCs w:val="18"/>
              </w:rPr>
              <w:t>53%</w:t>
            </w:r>
          </w:p>
        </w:tc>
        <w:tc>
          <w:tcPr>
            <w:tcW w:w="626" w:type="dxa"/>
          </w:tcPr>
          <w:p w14:paraId="5F1AE960" w14:textId="77777777" w:rsidR="00507F25" w:rsidRPr="003277B3" w:rsidRDefault="00507F25" w:rsidP="002F493F">
            <w:pPr>
              <w:pStyle w:val="elementgraficznytabela"/>
              <w:spacing w:after="240"/>
              <w:ind w:right="2"/>
              <w:jc w:val="center"/>
              <w:cnfStyle w:val="000000000000" w:firstRow="0" w:lastRow="0" w:firstColumn="0" w:lastColumn="0" w:oddVBand="0" w:evenVBand="0" w:oddHBand="0" w:evenHBand="0" w:firstRowFirstColumn="0" w:firstRowLastColumn="0" w:lastRowFirstColumn="0" w:lastRowLastColumn="0"/>
              <w:rPr>
                <w:i/>
                <w:szCs w:val="18"/>
              </w:rPr>
            </w:pPr>
            <w:r w:rsidRPr="003277B3">
              <w:rPr>
                <w:szCs w:val="18"/>
              </w:rPr>
              <w:t>7</w:t>
            </w:r>
          </w:p>
        </w:tc>
        <w:tc>
          <w:tcPr>
            <w:tcW w:w="626" w:type="dxa"/>
          </w:tcPr>
          <w:p w14:paraId="2677FABE" w14:textId="77777777" w:rsidR="00507F25" w:rsidRPr="003277B3" w:rsidRDefault="00507F25" w:rsidP="002F493F">
            <w:pPr>
              <w:pStyle w:val="elementgraficznytabela"/>
              <w:spacing w:after="240"/>
              <w:ind w:right="2"/>
              <w:jc w:val="center"/>
              <w:cnfStyle w:val="000000000000" w:firstRow="0" w:lastRow="0" w:firstColumn="0" w:lastColumn="0" w:oddVBand="0" w:evenVBand="0" w:oddHBand="0" w:evenHBand="0" w:firstRowFirstColumn="0" w:firstRowLastColumn="0" w:lastRowFirstColumn="0" w:lastRowLastColumn="0"/>
              <w:rPr>
                <w:i/>
                <w:szCs w:val="18"/>
              </w:rPr>
            </w:pPr>
            <w:r w:rsidRPr="003277B3">
              <w:rPr>
                <w:szCs w:val="18"/>
              </w:rPr>
              <w:t>7</w:t>
            </w:r>
          </w:p>
        </w:tc>
        <w:tc>
          <w:tcPr>
            <w:tcW w:w="507" w:type="dxa"/>
          </w:tcPr>
          <w:p w14:paraId="63DB0FF5" w14:textId="77777777" w:rsidR="00507F25" w:rsidRPr="003277B3" w:rsidRDefault="00507F25" w:rsidP="002F493F">
            <w:pPr>
              <w:pStyle w:val="elementgraficznytabela"/>
              <w:spacing w:after="240"/>
              <w:ind w:right="2"/>
              <w:jc w:val="center"/>
              <w:cnfStyle w:val="000000000000" w:firstRow="0" w:lastRow="0" w:firstColumn="0" w:lastColumn="0" w:oddVBand="0" w:evenVBand="0" w:oddHBand="0" w:evenHBand="0" w:firstRowFirstColumn="0" w:firstRowLastColumn="0" w:lastRowFirstColumn="0" w:lastRowLastColumn="0"/>
              <w:rPr>
                <w:i/>
                <w:szCs w:val="18"/>
              </w:rPr>
            </w:pPr>
            <w:r w:rsidRPr="003277B3">
              <w:rPr>
                <w:szCs w:val="18"/>
              </w:rPr>
              <w:t>1</w:t>
            </w:r>
          </w:p>
        </w:tc>
        <w:tc>
          <w:tcPr>
            <w:tcW w:w="959" w:type="dxa"/>
          </w:tcPr>
          <w:p w14:paraId="66000809" w14:textId="77777777" w:rsidR="00507F25" w:rsidRPr="003277B3" w:rsidRDefault="00507F25" w:rsidP="002F493F">
            <w:pPr>
              <w:pStyle w:val="elementgraficznytabela"/>
              <w:spacing w:after="240"/>
              <w:jc w:val="center"/>
              <w:cnfStyle w:val="000000000000" w:firstRow="0" w:lastRow="0" w:firstColumn="0" w:lastColumn="0" w:oddVBand="0" w:evenVBand="0" w:oddHBand="0" w:evenHBand="0" w:firstRowFirstColumn="0" w:firstRowLastColumn="0" w:lastRowFirstColumn="0" w:lastRowLastColumn="0"/>
              <w:rPr>
                <w:i/>
                <w:szCs w:val="18"/>
              </w:rPr>
            </w:pPr>
            <w:r w:rsidRPr="003277B3">
              <w:rPr>
                <w:szCs w:val="18"/>
              </w:rPr>
              <w:t>34%</w:t>
            </w:r>
          </w:p>
        </w:tc>
        <w:tc>
          <w:tcPr>
            <w:tcW w:w="624" w:type="dxa"/>
          </w:tcPr>
          <w:p w14:paraId="2A413FE6" w14:textId="77777777" w:rsidR="00507F25" w:rsidRPr="003277B3" w:rsidRDefault="00507F25" w:rsidP="002F493F">
            <w:pPr>
              <w:pStyle w:val="elementgraficznytabela"/>
              <w:spacing w:after="240"/>
              <w:jc w:val="center"/>
              <w:cnfStyle w:val="000000000000" w:firstRow="0" w:lastRow="0" w:firstColumn="0" w:lastColumn="0" w:oddVBand="0" w:evenVBand="0" w:oddHBand="0" w:evenHBand="0" w:firstRowFirstColumn="0" w:firstRowLastColumn="0" w:lastRowFirstColumn="0" w:lastRowLastColumn="0"/>
              <w:rPr>
                <w:i/>
                <w:szCs w:val="18"/>
              </w:rPr>
            </w:pPr>
            <w:r w:rsidRPr="003277B3">
              <w:rPr>
                <w:szCs w:val="18"/>
              </w:rPr>
              <w:t>9</w:t>
            </w:r>
          </w:p>
        </w:tc>
        <w:tc>
          <w:tcPr>
            <w:tcW w:w="624" w:type="dxa"/>
          </w:tcPr>
          <w:p w14:paraId="243D3359" w14:textId="77777777" w:rsidR="00507F25" w:rsidRPr="003277B3" w:rsidRDefault="00507F25" w:rsidP="002F493F">
            <w:pPr>
              <w:pStyle w:val="elementgraficznytabela"/>
              <w:spacing w:after="240"/>
              <w:jc w:val="center"/>
              <w:cnfStyle w:val="000000000000" w:firstRow="0" w:lastRow="0" w:firstColumn="0" w:lastColumn="0" w:oddVBand="0" w:evenVBand="0" w:oddHBand="0" w:evenHBand="0" w:firstRowFirstColumn="0" w:firstRowLastColumn="0" w:lastRowFirstColumn="0" w:lastRowLastColumn="0"/>
              <w:rPr>
                <w:i/>
                <w:szCs w:val="18"/>
              </w:rPr>
            </w:pPr>
            <w:r w:rsidRPr="003277B3">
              <w:rPr>
                <w:szCs w:val="18"/>
              </w:rPr>
              <w:t>5</w:t>
            </w:r>
          </w:p>
        </w:tc>
        <w:tc>
          <w:tcPr>
            <w:tcW w:w="505" w:type="dxa"/>
          </w:tcPr>
          <w:p w14:paraId="5AE79A2C" w14:textId="77777777" w:rsidR="00507F25" w:rsidRPr="003277B3" w:rsidRDefault="00507F25" w:rsidP="002F493F">
            <w:pPr>
              <w:pStyle w:val="elementgraficznytabela"/>
              <w:spacing w:after="240"/>
              <w:jc w:val="center"/>
              <w:cnfStyle w:val="000000000000" w:firstRow="0" w:lastRow="0" w:firstColumn="0" w:lastColumn="0" w:oddVBand="0" w:evenVBand="0" w:oddHBand="0" w:evenHBand="0" w:firstRowFirstColumn="0" w:firstRowLastColumn="0" w:lastRowFirstColumn="0" w:lastRowLastColumn="0"/>
              <w:rPr>
                <w:i/>
                <w:szCs w:val="18"/>
              </w:rPr>
            </w:pPr>
            <w:r w:rsidRPr="003277B3">
              <w:rPr>
                <w:szCs w:val="18"/>
              </w:rPr>
              <w:t>1</w:t>
            </w:r>
          </w:p>
        </w:tc>
        <w:tc>
          <w:tcPr>
            <w:tcW w:w="959" w:type="dxa"/>
          </w:tcPr>
          <w:p w14:paraId="021276B6" w14:textId="77777777" w:rsidR="00507F25" w:rsidRPr="003277B3" w:rsidRDefault="00507F25" w:rsidP="002F493F">
            <w:pPr>
              <w:pStyle w:val="elementgraficznytabela"/>
              <w:spacing w:after="240"/>
              <w:jc w:val="center"/>
              <w:cnfStyle w:val="000000000000" w:firstRow="0" w:lastRow="0" w:firstColumn="0" w:lastColumn="0" w:oddVBand="0" w:evenVBand="0" w:oddHBand="0" w:evenHBand="0" w:firstRowFirstColumn="0" w:firstRowLastColumn="0" w:lastRowFirstColumn="0" w:lastRowLastColumn="0"/>
              <w:rPr>
                <w:i/>
                <w:szCs w:val="18"/>
              </w:rPr>
            </w:pPr>
            <w:r w:rsidRPr="003277B3">
              <w:rPr>
                <w:szCs w:val="18"/>
              </w:rPr>
              <w:t>44%</w:t>
            </w:r>
          </w:p>
        </w:tc>
        <w:tc>
          <w:tcPr>
            <w:tcW w:w="624" w:type="dxa"/>
          </w:tcPr>
          <w:p w14:paraId="1960C6BD" w14:textId="77777777" w:rsidR="00507F25" w:rsidRPr="003277B3" w:rsidRDefault="00507F25" w:rsidP="002F493F">
            <w:pPr>
              <w:pStyle w:val="elementgraficznytabela"/>
              <w:spacing w:after="240"/>
              <w:jc w:val="center"/>
              <w:cnfStyle w:val="000000000000" w:firstRow="0" w:lastRow="0" w:firstColumn="0" w:lastColumn="0" w:oddVBand="0" w:evenVBand="0" w:oddHBand="0" w:evenHBand="0" w:firstRowFirstColumn="0" w:firstRowLastColumn="0" w:lastRowFirstColumn="0" w:lastRowLastColumn="0"/>
              <w:rPr>
                <w:i/>
                <w:szCs w:val="18"/>
              </w:rPr>
            </w:pPr>
            <w:r w:rsidRPr="003277B3">
              <w:rPr>
                <w:szCs w:val="18"/>
              </w:rPr>
              <w:t>6</w:t>
            </w:r>
          </w:p>
        </w:tc>
        <w:tc>
          <w:tcPr>
            <w:tcW w:w="624" w:type="dxa"/>
          </w:tcPr>
          <w:p w14:paraId="30B4F0FE" w14:textId="77777777" w:rsidR="00507F25" w:rsidRPr="003277B3" w:rsidRDefault="00507F25" w:rsidP="002F493F">
            <w:pPr>
              <w:pStyle w:val="elementgraficznytabela"/>
              <w:spacing w:after="240"/>
              <w:jc w:val="center"/>
              <w:cnfStyle w:val="000000000000" w:firstRow="0" w:lastRow="0" w:firstColumn="0" w:lastColumn="0" w:oddVBand="0" w:evenVBand="0" w:oddHBand="0" w:evenHBand="0" w:firstRowFirstColumn="0" w:firstRowLastColumn="0" w:lastRowFirstColumn="0" w:lastRowLastColumn="0"/>
              <w:rPr>
                <w:i/>
                <w:szCs w:val="18"/>
              </w:rPr>
            </w:pPr>
            <w:r w:rsidRPr="003277B3">
              <w:rPr>
                <w:szCs w:val="18"/>
              </w:rPr>
              <w:t>8</w:t>
            </w:r>
          </w:p>
        </w:tc>
        <w:tc>
          <w:tcPr>
            <w:tcW w:w="505" w:type="dxa"/>
          </w:tcPr>
          <w:p w14:paraId="288E10D3" w14:textId="77777777" w:rsidR="00507F25" w:rsidRPr="003277B3" w:rsidRDefault="00507F25" w:rsidP="002F493F">
            <w:pPr>
              <w:pStyle w:val="elementgraficznytabela"/>
              <w:spacing w:after="240"/>
              <w:jc w:val="center"/>
              <w:cnfStyle w:val="000000000000" w:firstRow="0" w:lastRow="0" w:firstColumn="0" w:lastColumn="0" w:oddVBand="0" w:evenVBand="0" w:oddHBand="0" w:evenHBand="0" w:firstRowFirstColumn="0" w:firstRowLastColumn="0" w:lastRowFirstColumn="0" w:lastRowLastColumn="0"/>
              <w:rPr>
                <w:i/>
                <w:szCs w:val="18"/>
              </w:rPr>
            </w:pPr>
            <w:r w:rsidRPr="003277B3">
              <w:rPr>
                <w:szCs w:val="18"/>
              </w:rPr>
              <w:t>0</w:t>
            </w:r>
          </w:p>
        </w:tc>
      </w:tr>
      <w:tr w:rsidR="00AB3E29" w:rsidRPr="003277B3" w14:paraId="339C93C8" w14:textId="77777777" w:rsidTr="00AB3E29">
        <w:trPr>
          <w:cantSplit/>
          <w:trHeight w:val="1497"/>
          <w:jc w:val="center"/>
        </w:trPr>
        <w:tc>
          <w:tcPr>
            <w:cnfStyle w:val="001000000000" w:firstRow="0" w:lastRow="0" w:firstColumn="1" w:lastColumn="0" w:oddVBand="0" w:evenVBand="0" w:oddHBand="0" w:evenHBand="0" w:firstRowFirstColumn="0" w:firstRowLastColumn="0" w:lastRowFirstColumn="0" w:lastRowLastColumn="0"/>
            <w:tcW w:w="917" w:type="dxa"/>
            <w:textDirection w:val="btLr"/>
          </w:tcPr>
          <w:p w14:paraId="39362C34" w14:textId="399F0E78" w:rsidR="00507F25" w:rsidRPr="00507F25" w:rsidRDefault="00507F25" w:rsidP="00AB3E29">
            <w:pPr>
              <w:pStyle w:val="elementgraficznytabela"/>
              <w:spacing w:after="240"/>
              <w:ind w:left="113" w:right="113"/>
              <w:jc w:val="center"/>
              <w:rPr>
                <w:i/>
              </w:rPr>
            </w:pPr>
            <w:r w:rsidRPr="00507F25">
              <w:t>Działdowski</w:t>
            </w:r>
          </w:p>
        </w:tc>
        <w:tc>
          <w:tcPr>
            <w:tcW w:w="1063" w:type="dxa"/>
          </w:tcPr>
          <w:p w14:paraId="6E4A8D19" w14:textId="77777777" w:rsidR="00507F25" w:rsidRPr="003277B3" w:rsidRDefault="00507F25" w:rsidP="002F493F">
            <w:pPr>
              <w:pStyle w:val="elementgraficznytabela"/>
              <w:spacing w:after="240"/>
              <w:ind w:right="2"/>
              <w:jc w:val="center"/>
              <w:cnfStyle w:val="000000000000" w:firstRow="0" w:lastRow="0" w:firstColumn="0" w:lastColumn="0" w:oddVBand="0" w:evenVBand="0" w:oddHBand="0" w:evenHBand="0" w:firstRowFirstColumn="0" w:firstRowLastColumn="0" w:lastRowFirstColumn="0" w:lastRowLastColumn="0"/>
              <w:rPr>
                <w:i/>
                <w:szCs w:val="18"/>
              </w:rPr>
            </w:pPr>
            <w:r w:rsidRPr="003277B3">
              <w:rPr>
                <w:szCs w:val="18"/>
              </w:rPr>
              <w:t>54%</w:t>
            </w:r>
          </w:p>
        </w:tc>
        <w:tc>
          <w:tcPr>
            <w:tcW w:w="626" w:type="dxa"/>
          </w:tcPr>
          <w:p w14:paraId="3D13D97D" w14:textId="77777777" w:rsidR="00507F25" w:rsidRPr="003277B3" w:rsidRDefault="00507F25" w:rsidP="002F493F">
            <w:pPr>
              <w:pStyle w:val="elementgraficznytabela"/>
              <w:spacing w:after="240"/>
              <w:ind w:right="2"/>
              <w:jc w:val="center"/>
              <w:cnfStyle w:val="000000000000" w:firstRow="0" w:lastRow="0" w:firstColumn="0" w:lastColumn="0" w:oddVBand="0" w:evenVBand="0" w:oddHBand="0" w:evenHBand="0" w:firstRowFirstColumn="0" w:firstRowLastColumn="0" w:lastRowFirstColumn="0" w:lastRowLastColumn="0"/>
              <w:rPr>
                <w:i/>
                <w:szCs w:val="18"/>
              </w:rPr>
            </w:pPr>
            <w:r w:rsidRPr="003277B3">
              <w:rPr>
                <w:szCs w:val="18"/>
              </w:rPr>
              <w:t>15</w:t>
            </w:r>
          </w:p>
        </w:tc>
        <w:tc>
          <w:tcPr>
            <w:tcW w:w="626" w:type="dxa"/>
          </w:tcPr>
          <w:p w14:paraId="3D8B6F58" w14:textId="77777777" w:rsidR="00507F25" w:rsidRPr="003277B3" w:rsidRDefault="00507F25" w:rsidP="002F493F">
            <w:pPr>
              <w:pStyle w:val="elementgraficznytabela"/>
              <w:spacing w:after="240"/>
              <w:ind w:right="2"/>
              <w:jc w:val="center"/>
              <w:cnfStyle w:val="000000000000" w:firstRow="0" w:lastRow="0" w:firstColumn="0" w:lastColumn="0" w:oddVBand="0" w:evenVBand="0" w:oddHBand="0" w:evenHBand="0" w:firstRowFirstColumn="0" w:firstRowLastColumn="0" w:lastRowFirstColumn="0" w:lastRowLastColumn="0"/>
              <w:rPr>
                <w:i/>
                <w:szCs w:val="18"/>
              </w:rPr>
            </w:pPr>
            <w:r w:rsidRPr="003277B3">
              <w:rPr>
                <w:szCs w:val="18"/>
              </w:rPr>
              <w:t>14</w:t>
            </w:r>
          </w:p>
        </w:tc>
        <w:tc>
          <w:tcPr>
            <w:tcW w:w="507" w:type="dxa"/>
          </w:tcPr>
          <w:p w14:paraId="293B6221" w14:textId="77777777" w:rsidR="00507F25" w:rsidRPr="003277B3" w:rsidRDefault="00507F25" w:rsidP="002F493F">
            <w:pPr>
              <w:pStyle w:val="elementgraficznytabela"/>
              <w:spacing w:after="240"/>
              <w:ind w:right="2"/>
              <w:jc w:val="center"/>
              <w:cnfStyle w:val="000000000000" w:firstRow="0" w:lastRow="0" w:firstColumn="0" w:lastColumn="0" w:oddVBand="0" w:evenVBand="0" w:oddHBand="0" w:evenHBand="0" w:firstRowFirstColumn="0" w:firstRowLastColumn="0" w:lastRowFirstColumn="0" w:lastRowLastColumn="0"/>
              <w:rPr>
                <w:i/>
                <w:szCs w:val="18"/>
              </w:rPr>
            </w:pPr>
            <w:r w:rsidRPr="003277B3">
              <w:rPr>
                <w:szCs w:val="18"/>
              </w:rPr>
              <w:t>2</w:t>
            </w:r>
          </w:p>
        </w:tc>
        <w:tc>
          <w:tcPr>
            <w:tcW w:w="959" w:type="dxa"/>
          </w:tcPr>
          <w:p w14:paraId="663059B0" w14:textId="77777777" w:rsidR="00507F25" w:rsidRPr="003277B3" w:rsidRDefault="00507F25" w:rsidP="002F493F">
            <w:pPr>
              <w:pStyle w:val="elementgraficznytabela"/>
              <w:spacing w:after="240"/>
              <w:jc w:val="center"/>
              <w:cnfStyle w:val="000000000000" w:firstRow="0" w:lastRow="0" w:firstColumn="0" w:lastColumn="0" w:oddVBand="0" w:evenVBand="0" w:oddHBand="0" w:evenHBand="0" w:firstRowFirstColumn="0" w:firstRowLastColumn="0" w:lastRowFirstColumn="0" w:lastRowLastColumn="0"/>
              <w:rPr>
                <w:i/>
                <w:szCs w:val="18"/>
              </w:rPr>
            </w:pPr>
            <w:r w:rsidRPr="003277B3">
              <w:rPr>
                <w:szCs w:val="18"/>
              </w:rPr>
              <w:t>40%</w:t>
            </w:r>
          </w:p>
        </w:tc>
        <w:tc>
          <w:tcPr>
            <w:tcW w:w="624" w:type="dxa"/>
          </w:tcPr>
          <w:p w14:paraId="67ED9CA3" w14:textId="77777777" w:rsidR="00507F25" w:rsidRPr="003277B3" w:rsidRDefault="00507F25" w:rsidP="002F493F">
            <w:pPr>
              <w:pStyle w:val="elementgraficznytabela"/>
              <w:spacing w:after="240"/>
              <w:jc w:val="center"/>
              <w:cnfStyle w:val="000000000000" w:firstRow="0" w:lastRow="0" w:firstColumn="0" w:lastColumn="0" w:oddVBand="0" w:evenVBand="0" w:oddHBand="0" w:evenHBand="0" w:firstRowFirstColumn="0" w:firstRowLastColumn="0" w:lastRowFirstColumn="0" w:lastRowLastColumn="0"/>
              <w:rPr>
                <w:i/>
                <w:szCs w:val="18"/>
              </w:rPr>
            </w:pPr>
            <w:r w:rsidRPr="003277B3">
              <w:rPr>
                <w:szCs w:val="18"/>
              </w:rPr>
              <w:t>13</w:t>
            </w:r>
          </w:p>
        </w:tc>
        <w:tc>
          <w:tcPr>
            <w:tcW w:w="624" w:type="dxa"/>
          </w:tcPr>
          <w:p w14:paraId="219F020B" w14:textId="77777777" w:rsidR="00507F25" w:rsidRPr="003277B3" w:rsidRDefault="00507F25" w:rsidP="002F493F">
            <w:pPr>
              <w:pStyle w:val="elementgraficznytabela"/>
              <w:spacing w:after="240"/>
              <w:jc w:val="center"/>
              <w:cnfStyle w:val="000000000000" w:firstRow="0" w:lastRow="0" w:firstColumn="0" w:lastColumn="0" w:oddVBand="0" w:evenVBand="0" w:oddHBand="0" w:evenHBand="0" w:firstRowFirstColumn="0" w:firstRowLastColumn="0" w:lastRowFirstColumn="0" w:lastRowLastColumn="0"/>
              <w:rPr>
                <w:i/>
                <w:szCs w:val="18"/>
              </w:rPr>
            </w:pPr>
            <w:r w:rsidRPr="003277B3">
              <w:rPr>
                <w:szCs w:val="18"/>
              </w:rPr>
              <w:t>17</w:t>
            </w:r>
          </w:p>
        </w:tc>
        <w:tc>
          <w:tcPr>
            <w:tcW w:w="505" w:type="dxa"/>
          </w:tcPr>
          <w:p w14:paraId="6C1E17E4" w14:textId="77777777" w:rsidR="00507F25" w:rsidRPr="003277B3" w:rsidRDefault="00507F25" w:rsidP="002F493F">
            <w:pPr>
              <w:pStyle w:val="elementgraficznytabela"/>
              <w:spacing w:after="240"/>
              <w:jc w:val="center"/>
              <w:cnfStyle w:val="000000000000" w:firstRow="0" w:lastRow="0" w:firstColumn="0" w:lastColumn="0" w:oddVBand="0" w:evenVBand="0" w:oddHBand="0" w:evenHBand="0" w:firstRowFirstColumn="0" w:firstRowLastColumn="0" w:lastRowFirstColumn="0" w:lastRowLastColumn="0"/>
              <w:rPr>
                <w:i/>
                <w:szCs w:val="18"/>
              </w:rPr>
            </w:pPr>
            <w:r w:rsidRPr="003277B3">
              <w:rPr>
                <w:szCs w:val="18"/>
              </w:rPr>
              <w:t>1</w:t>
            </w:r>
          </w:p>
        </w:tc>
        <w:tc>
          <w:tcPr>
            <w:tcW w:w="959" w:type="dxa"/>
          </w:tcPr>
          <w:p w14:paraId="598772FF" w14:textId="77777777" w:rsidR="00507F25" w:rsidRPr="003277B3" w:rsidRDefault="00507F25" w:rsidP="002F493F">
            <w:pPr>
              <w:pStyle w:val="elementgraficznytabela"/>
              <w:spacing w:after="240"/>
              <w:jc w:val="center"/>
              <w:cnfStyle w:val="000000000000" w:firstRow="0" w:lastRow="0" w:firstColumn="0" w:lastColumn="0" w:oddVBand="0" w:evenVBand="0" w:oddHBand="0" w:evenHBand="0" w:firstRowFirstColumn="0" w:firstRowLastColumn="0" w:lastRowFirstColumn="0" w:lastRowLastColumn="0"/>
              <w:rPr>
                <w:i/>
                <w:szCs w:val="18"/>
              </w:rPr>
            </w:pPr>
            <w:r w:rsidRPr="003277B3">
              <w:rPr>
                <w:szCs w:val="18"/>
              </w:rPr>
              <w:t>45%</w:t>
            </w:r>
          </w:p>
        </w:tc>
        <w:tc>
          <w:tcPr>
            <w:tcW w:w="624" w:type="dxa"/>
          </w:tcPr>
          <w:p w14:paraId="3C539381" w14:textId="77777777" w:rsidR="00507F25" w:rsidRPr="003277B3" w:rsidRDefault="00507F25" w:rsidP="002F493F">
            <w:pPr>
              <w:pStyle w:val="elementgraficznytabela"/>
              <w:spacing w:after="240"/>
              <w:jc w:val="center"/>
              <w:cnfStyle w:val="000000000000" w:firstRow="0" w:lastRow="0" w:firstColumn="0" w:lastColumn="0" w:oddVBand="0" w:evenVBand="0" w:oddHBand="0" w:evenHBand="0" w:firstRowFirstColumn="0" w:firstRowLastColumn="0" w:lastRowFirstColumn="0" w:lastRowLastColumn="0"/>
              <w:rPr>
                <w:i/>
                <w:szCs w:val="18"/>
              </w:rPr>
            </w:pPr>
            <w:r w:rsidRPr="003277B3">
              <w:rPr>
                <w:szCs w:val="18"/>
              </w:rPr>
              <w:t>11</w:t>
            </w:r>
          </w:p>
        </w:tc>
        <w:tc>
          <w:tcPr>
            <w:tcW w:w="624" w:type="dxa"/>
          </w:tcPr>
          <w:p w14:paraId="6D4E80CB" w14:textId="77777777" w:rsidR="00507F25" w:rsidRPr="003277B3" w:rsidRDefault="00507F25" w:rsidP="002F493F">
            <w:pPr>
              <w:pStyle w:val="elementgraficznytabela"/>
              <w:spacing w:after="240"/>
              <w:jc w:val="center"/>
              <w:cnfStyle w:val="000000000000" w:firstRow="0" w:lastRow="0" w:firstColumn="0" w:lastColumn="0" w:oddVBand="0" w:evenVBand="0" w:oddHBand="0" w:evenHBand="0" w:firstRowFirstColumn="0" w:firstRowLastColumn="0" w:lastRowFirstColumn="0" w:lastRowLastColumn="0"/>
              <w:rPr>
                <w:i/>
                <w:szCs w:val="18"/>
              </w:rPr>
            </w:pPr>
            <w:r w:rsidRPr="003277B3">
              <w:rPr>
                <w:szCs w:val="18"/>
              </w:rPr>
              <w:t>19</w:t>
            </w:r>
          </w:p>
        </w:tc>
        <w:tc>
          <w:tcPr>
            <w:tcW w:w="505" w:type="dxa"/>
          </w:tcPr>
          <w:p w14:paraId="77AFF024" w14:textId="77777777" w:rsidR="00507F25" w:rsidRPr="003277B3" w:rsidRDefault="00507F25" w:rsidP="002F493F">
            <w:pPr>
              <w:pStyle w:val="elementgraficznytabela"/>
              <w:spacing w:after="240"/>
              <w:jc w:val="center"/>
              <w:cnfStyle w:val="000000000000" w:firstRow="0" w:lastRow="0" w:firstColumn="0" w:lastColumn="0" w:oddVBand="0" w:evenVBand="0" w:oddHBand="0" w:evenHBand="0" w:firstRowFirstColumn="0" w:firstRowLastColumn="0" w:lastRowFirstColumn="0" w:lastRowLastColumn="0"/>
              <w:rPr>
                <w:i/>
                <w:szCs w:val="18"/>
              </w:rPr>
            </w:pPr>
            <w:r w:rsidRPr="003277B3">
              <w:rPr>
                <w:szCs w:val="18"/>
              </w:rPr>
              <w:t>1</w:t>
            </w:r>
          </w:p>
        </w:tc>
      </w:tr>
      <w:tr w:rsidR="00AB3E29" w:rsidRPr="003277B3" w14:paraId="5E49D0D9" w14:textId="77777777" w:rsidTr="00AB3E29">
        <w:trPr>
          <w:cantSplit/>
          <w:trHeight w:val="1547"/>
          <w:jc w:val="center"/>
        </w:trPr>
        <w:tc>
          <w:tcPr>
            <w:cnfStyle w:val="001000000000" w:firstRow="0" w:lastRow="0" w:firstColumn="1" w:lastColumn="0" w:oddVBand="0" w:evenVBand="0" w:oddHBand="0" w:evenHBand="0" w:firstRowFirstColumn="0" w:firstRowLastColumn="0" w:lastRowFirstColumn="0" w:lastRowLastColumn="0"/>
            <w:tcW w:w="917" w:type="dxa"/>
            <w:textDirection w:val="btLr"/>
          </w:tcPr>
          <w:p w14:paraId="18DE3F7E" w14:textId="32BC2E9D" w:rsidR="00507F25" w:rsidRPr="00507F25" w:rsidRDefault="00507F25" w:rsidP="00AB3E29">
            <w:pPr>
              <w:pStyle w:val="elementgraficznytabela"/>
              <w:spacing w:after="240"/>
              <w:ind w:left="113" w:right="113"/>
              <w:jc w:val="center"/>
              <w:rPr>
                <w:i/>
              </w:rPr>
            </w:pPr>
            <w:r w:rsidRPr="00507F25">
              <w:t>Szczycieński</w:t>
            </w:r>
          </w:p>
        </w:tc>
        <w:tc>
          <w:tcPr>
            <w:tcW w:w="1063" w:type="dxa"/>
          </w:tcPr>
          <w:p w14:paraId="21368477" w14:textId="77777777" w:rsidR="00507F25" w:rsidRPr="003277B3" w:rsidRDefault="00507F25" w:rsidP="002F493F">
            <w:pPr>
              <w:pStyle w:val="elementgraficznytabela"/>
              <w:spacing w:after="240"/>
              <w:ind w:right="2"/>
              <w:jc w:val="center"/>
              <w:cnfStyle w:val="000000000000" w:firstRow="0" w:lastRow="0" w:firstColumn="0" w:lastColumn="0" w:oddVBand="0" w:evenVBand="0" w:oddHBand="0" w:evenHBand="0" w:firstRowFirstColumn="0" w:firstRowLastColumn="0" w:lastRowFirstColumn="0" w:lastRowLastColumn="0"/>
              <w:rPr>
                <w:i/>
                <w:szCs w:val="18"/>
              </w:rPr>
            </w:pPr>
            <w:r w:rsidRPr="003277B3">
              <w:rPr>
                <w:szCs w:val="18"/>
              </w:rPr>
              <w:t>55%</w:t>
            </w:r>
          </w:p>
        </w:tc>
        <w:tc>
          <w:tcPr>
            <w:tcW w:w="626" w:type="dxa"/>
          </w:tcPr>
          <w:p w14:paraId="43848BD8" w14:textId="77777777" w:rsidR="00507F25" w:rsidRPr="003277B3" w:rsidRDefault="00507F25" w:rsidP="002F493F">
            <w:pPr>
              <w:pStyle w:val="elementgraficznytabela"/>
              <w:spacing w:after="240"/>
              <w:ind w:right="2"/>
              <w:jc w:val="center"/>
              <w:cnfStyle w:val="000000000000" w:firstRow="0" w:lastRow="0" w:firstColumn="0" w:lastColumn="0" w:oddVBand="0" w:evenVBand="0" w:oddHBand="0" w:evenHBand="0" w:firstRowFirstColumn="0" w:firstRowLastColumn="0" w:lastRowFirstColumn="0" w:lastRowLastColumn="0"/>
              <w:rPr>
                <w:i/>
                <w:szCs w:val="18"/>
              </w:rPr>
            </w:pPr>
            <w:r w:rsidRPr="003277B3">
              <w:rPr>
                <w:szCs w:val="18"/>
              </w:rPr>
              <w:t>8</w:t>
            </w:r>
          </w:p>
        </w:tc>
        <w:tc>
          <w:tcPr>
            <w:tcW w:w="626" w:type="dxa"/>
          </w:tcPr>
          <w:p w14:paraId="4EF5A34D" w14:textId="77777777" w:rsidR="00507F25" w:rsidRPr="003277B3" w:rsidRDefault="00507F25" w:rsidP="002F493F">
            <w:pPr>
              <w:pStyle w:val="elementgraficznytabela"/>
              <w:spacing w:after="240"/>
              <w:ind w:right="2"/>
              <w:jc w:val="center"/>
              <w:cnfStyle w:val="000000000000" w:firstRow="0" w:lastRow="0" w:firstColumn="0" w:lastColumn="0" w:oddVBand="0" w:evenVBand="0" w:oddHBand="0" w:evenHBand="0" w:firstRowFirstColumn="0" w:firstRowLastColumn="0" w:lastRowFirstColumn="0" w:lastRowLastColumn="0"/>
              <w:rPr>
                <w:i/>
                <w:szCs w:val="18"/>
              </w:rPr>
            </w:pPr>
            <w:r w:rsidRPr="003277B3">
              <w:rPr>
                <w:szCs w:val="18"/>
              </w:rPr>
              <w:t>17</w:t>
            </w:r>
          </w:p>
        </w:tc>
        <w:tc>
          <w:tcPr>
            <w:tcW w:w="507" w:type="dxa"/>
          </w:tcPr>
          <w:p w14:paraId="4086A5E7" w14:textId="77777777" w:rsidR="00507F25" w:rsidRPr="003277B3" w:rsidRDefault="00507F25" w:rsidP="002F493F">
            <w:pPr>
              <w:pStyle w:val="elementgraficznytabela"/>
              <w:spacing w:after="240"/>
              <w:ind w:right="2"/>
              <w:jc w:val="center"/>
              <w:cnfStyle w:val="000000000000" w:firstRow="0" w:lastRow="0" w:firstColumn="0" w:lastColumn="0" w:oddVBand="0" w:evenVBand="0" w:oddHBand="0" w:evenHBand="0" w:firstRowFirstColumn="0" w:firstRowLastColumn="0" w:lastRowFirstColumn="0" w:lastRowLastColumn="0"/>
              <w:rPr>
                <w:i/>
                <w:szCs w:val="18"/>
              </w:rPr>
            </w:pPr>
            <w:r w:rsidRPr="003277B3">
              <w:rPr>
                <w:szCs w:val="18"/>
              </w:rPr>
              <w:t>2</w:t>
            </w:r>
          </w:p>
        </w:tc>
        <w:tc>
          <w:tcPr>
            <w:tcW w:w="959" w:type="dxa"/>
          </w:tcPr>
          <w:p w14:paraId="08975C19" w14:textId="77777777" w:rsidR="00507F25" w:rsidRPr="003277B3" w:rsidRDefault="00507F25" w:rsidP="002F493F">
            <w:pPr>
              <w:pStyle w:val="elementgraficznytabela"/>
              <w:spacing w:after="240"/>
              <w:jc w:val="center"/>
              <w:cnfStyle w:val="000000000000" w:firstRow="0" w:lastRow="0" w:firstColumn="0" w:lastColumn="0" w:oddVBand="0" w:evenVBand="0" w:oddHBand="0" w:evenHBand="0" w:firstRowFirstColumn="0" w:firstRowLastColumn="0" w:lastRowFirstColumn="0" w:lastRowLastColumn="0"/>
              <w:rPr>
                <w:i/>
                <w:szCs w:val="18"/>
              </w:rPr>
            </w:pPr>
            <w:r w:rsidRPr="003277B3">
              <w:rPr>
                <w:szCs w:val="18"/>
              </w:rPr>
              <w:t>40%</w:t>
            </w:r>
          </w:p>
        </w:tc>
        <w:tc>
          <w:tcPr>
            <w:tcW w:w="624" w:type="dxa"/>
          </w:tcPr>
          <w:p w14:paraId="31B4E201" w14:textId="77777777" w:rsidR="00507F25" w:rsidRPr="003277B3" w:rsidRDefault="00507F25" w:rsidP="002F493F">
            <w:pPr>
              <w:pStyle w:val="elementgraficznytabela"/>
              <w:spacing w:after="240"/>
              <w:jc w:val="center"/>
              <w:cnfStyle w:val="000000000000" w:firstRow="0" w:lastRow="0" w:firstColumn="0" w:lastColumn="0" w:oddVBand="0" w:evenVBand="0" w:oddHBand="0" w:evenHBand="0" w:firstRowFirstColumn="0" w:firstRowLastColumn="0" w:lastRowFirstColumn="0" w:lastRowLastColumn="0"/>
              <w:rPr>
                <w:i/>
                <w:szCs w:val="18"/>
              </w:rPr>
            </w:pPr>
            <w:r w:rsidRPr="003277B3">
              <w:rPr>
                <w:szCs w:val="18"/>
              </w:rPr>
              <w:t>10</w:t>
            </w:r>
          </w:p>
        </w:tc>
        <w:tc>
          <w:tcPr>
            <w:tcW w:w="624" w:type="dxa"/>
          </w:tcPr>
          <w:p w14:paraId="034F1FAD" w14:textId="77777777" w:rsidR="00507F25" w:rsidRPr="003277B3" w:rsidRDefault="00507F25" w:rsidP="002F493F">
            <w:pPr>
              <w:pStyle w:val="elementgraficznytabela"/>
              <w:spacing w:after="240"/>
              <w:jc w:val="center"/>
              <w:cnfStyle w:val="000000000000" w:firstRow="0" w:lastRow="0" w:firstColumn="0" w:lastColumn="0" w:oddVBand="0" w:evenVBand="0" w:oddHBand="0" w:evenHBand="0" w:firstRowFirstColumn="0" w:firstRowLastColumn="0" w:lastRowFirstColumn="0" w:lastRowLastColumn="0"/>
              <w:rPr>
                <w:i/>
                <w:szCs w:val="18"/>
              </w:rPr>
            </w:pPr>
            <w:r w:rsidRPr="003277B3">
              <w:rPr>
                <w:szCs w:val="18"/>
              </w:rPr>
              <w:t>17</w:t>
            </w:r>
          </w:p>
        </w:tc>
        <w:tc>
          <w:tcPr>
            <w:tcW w:w="505" w:type="dxa"/>
          </w:tcPr>
          <w:p w14:paraId="0D7EE520" w14:textId="77777777" w:rsidR="00507F25" w:rsidRPr="003277B3" w:rsidRDefault="00507F25" w:rsidP="002F493F">
            <w:pPr>
              <w:pStyle w:val="elementgraficznytabela"/>
              <w:spacing w:after="240"/>
              <w:jc w:val="center"/>
              <w:cnfStyle w:val="000000000000" w:firstRow="0" w:lastRow="0" w:firstColumn="0" w:lastColumn="0" w:oddVBand="0" w:evenVBand="0" w:oddHBand="0" w:evenHBand="0" w:firstRowFirstColumn="0" w:firstRowLastColumn="0" w:lastRowFirstColumn="0" w:lastRowLastColumn="0"/>
              <w:rPr>
                <w:i/>
                <w:szCs w:val="18"/>
              </w:rPr>
            </w:pPr>
            <w:r w:rsidRPr="003277B3">
              <w:rPr>
                <w:szCs w:val="18"/>
              </w:rPr>
              <w:t>0</w:t>
            </w:r>
          </w:p>
        </w:tc>
        <w:tc>
          <w:tcPr>
            <w:tcW w:w="959" w:type="dxa"/>
          </w:tcPr>
          <w:p w14:paraId="5828B5B9" w14:textId="77777777" w:rsidR="00507F25" w:rsidRPr="003277B3" w:rsidRDefault="00507F25" w:rsidP="002F493F">
            <w:pPr>
              <w:pStyle w:val="elementgraficznytabela"/>
              <w:spacing w:after="240"/>
              <w:jc w:val="center"/>
              <w:cnfStyle w:val="000000000000" w:firstRow="0" w:lastRow="0" w:firstColumn="0" w:lastColumn="0" w:oddVBand="0" w:evenVBand="0" w:oddHBand="0" w:evenHBand="0" w:firstRowFirstColumn="0" w:firstRowLastColumn="0" w:lastRowFirstColumn="0" w:lastRowLastColumn="0"/>
              <w:rPr>
                <w:i/>
                <w:szCs w:val="18"/>
              </w:rPr>
            </w:pPr>
            <w:r w:rsidRPr="003277B3">
              <w:rPr>
                <w:szCs w:val="18"/>
              </w:rPr>
              <w:t>44%</w:t>
            </w:r>
          </w:p>
        </w:tc>
        <w:tc>
          <w:tcPr>
            <w:tcW w:w="624" w:type="dxa"/>
          </w:tcPr>
          <w:p w14:paraId="2CD0546C" w14:textId="77777777" w:rsidR="00507F25" w:rsidRPr="003277B3" w:rsidRDefault="00507F25" w:rsidP="002F493F">
            <w:pPr>
              <w:pStyle w:val="elementgraficznytabela"/>
              <w:spacing w:after="240"/>
              <w:jc w:val="center"/>
              <w:cnfStyle w:val="000000000000" w:firstRow="0" w:lastRow="0" w:firstColumn="0" w:lastColumn="0" w:oddVBand="0" w:evenVBand="0" w:oddHBand="0" w:evenHBand="0" w:firstRowFirstColumn="0" w:firstRowLastColumn="0" w:lastRowFirstColumn="0" w:lastRowLastColumn="0"/>
              <w:rPr>
                <w:i/>
                <w:szCs w:val="18"/>
              </w:rPr>
            </w:pPr>
            <w:r w:rsidRPr="003277B3">
              <w:rPr>
                <w:szCs w:val="18"/>
              </w:rPr>
              <w:t>12</w:t>
            </w:r>
          </w:p>
        </w:tc>
        <w:tc>
          <w:tcPr>
            <w:tcW w:w="624" w:type="dxa"/>
          </w:tcPr>
          <w:p w14:paraId="4F438162" w14:textId="77777777" w:rsidR="00507F25" w:rsidRPr="003277B3" w:rsidRDefault="00507F25" w:rsidP="002F493F">
            <w:pPr>
              <w:pStyle w:val="elementgraficznytabela"/>
              <w:spacing w:after="240"/>
              <w:jc w:val="center"/>
              <w:cnfStyle w:val="000000000000" w:firstRow="0" w:lastRow="0" w:firstColumn="0" w:lastColumn="0" w:oddVBand="0" w:evenVBand="0" w:oddHBand="0" w:evenHBand="0" w:firstRowFirstColumn="0" w:firstRowLastColumn="0" w:lastRowFirstColumn="0" w:lastRowLastColumn="0"/>
              <w:rPr>
                <w:i/>
                <w:szCs w:val="18"/>
              </w:rPr>
            </w:pPr>
            <w:r w:rsidRPr="003277B3">
              <w:rPr>
                <w:szCs w:val="18"/>
              </w:rPr>
              <w:t>13</w:t>
            </w:r>
          </w:p>
        </w:tc>
        <w:tc>
          <w:tcPr>
            <w:tcW w:w="505" w:type="dxa"/>
          </w:tcPr>
          <w:p w14:paraId="6BC777BF" w14:textId="77777777" w:rsidR="00507F25" w:rsidRPr="003277B3" w:rsidRDefault="00507F25" w:rsidP="002F493F">
            <w:pPr>
              <w:pStyle w:val="elementgraficznytabela"/>
              <w:spacing w:after="240"/>
              <w:jc w:val="center"/>
              <w:cnfStyle w:val="000000000000" w:firstRow="0" w:lastRow="0" w:firstColumn="0" w:lastColumn="0" w:oddVBand="0" w:evenVBand="0" w:oddHBand="0" w:evenHBand="0" w:firstRowFirstColumn="0" w:firstRowLastColumn="0" w:lastRowFirstColumn="0" w:lastRowLastColumn="0"/>
              <w:rPr>
                <w:i/>
                <w:szCs w:val="18"/>
              </w:rPr>
            </w:pPr>
            <w:r w:rsidRPr="003277B3">
              <w:rPr>
                <w:szCs w:val="18"/>
              </w:rPr>
              <w:t>2</w:t>
            </w:r>
          </w:p>
        </w:tc>
      </w:tr>
      <w:tr w:rsidR="00AB3E29" w:rsidRPr="003277B3" w14:paraId="64DA899A" w14:textId="77777777" w:rsidTr="00AB3E29">
        <w:trPr>
          <w:cantSplit/>
          <w:trHeight w:val="1134"/>
          <w:jc w:val="center"/>
        </w:trPr>
        <w:tc>
          <w:tcPr>
            <w:cnfStyle w:val="001000000000" w:firstRow="0" w:lastRow="0" w:firstColumn="1" w:lastColumn="0" w:oddVBand="0" w:evenVBand="0" w:oddHBand="0" w:evenHBand="0" w:firstRowFirstColumn="0" w:firstRowLastColumn="0" w:lastRowFirstColumn="0" w:lastRowLastColumn="0"/>
            <w:tcW w:w="917" w:type="dxa"/>
            <w:textDirection w:val="btLr"/>
          </w:tcPr>
          <w:p w14:paraId="50DDF56A" w14:textId="77777777" w:rsidR="00507F25" w:rsidRPr="00507F25" w:rsidRDefault="00507F25" w:rsidP="00AE4C8C">
            <w:pPr>
              <w:pStyle w:val="elementgraficznytabela"/>
              <w:spacing w:after="240"/>
              <w:ind w:left="113" w:right="113"/>
              <w:rPr>
                <w:i/>
              </w:rPr>
            </w:pPr>
            <w:r w:rsidRPr="00507F25">
              <w:t xml:space="preserve">Razem </w:t>
            </w:r>
          </w:p>
        </w:tc>
        <w:tc>
          <w:tcPr>
            <w:tcW w:w="1063" w:type="dxa"/>
          </w:tcPr>
          <w:p w14:paraId="6E1CC284" w14:textId="77777777" w:rsidR="00507F25" w:rsidRPr="003277B3" w:rsidRDefault="00507F25" w:rsidP="002F493F">
            <w:pPr>
              <w:pStyle w:val="elementgraficznytabela"/>
              <w:spacing w:after="240"/>
              <w:ind w:right="2"/>
              <w:jc w:val="center"/>
              <w:cnfStyle w:val="000000000000" w:firstRow="0" w:lastRow="0" w:firstColumn="0" w:lastColumn="0" w:oddVBand="0" w:evenVBand="0" w:oddHBand="0" w:evenHBand="0" w:firstRowFirstColumn="0" w:firstRowLastColumn="0" w:lastRowFirstColumn="0" w:lastRowLastColumn="0"/>
              <w:rPr>
                <w:i/>
                <w:szCs w:val="18"/>
              </w:rPr>
            </w:pPr>
            <w:r w:rsidRPr="003277B3">
              <w:rPr>
                <w:szCs w:val="18"/>
              </w:rPr>
              <w:t>x</w:t>
            </w:r>
          </w:p>
        </w:tc>
        <w:tc>
          <w:tcPr>
            <w:tcW w:w="626" w:type="dxa"/>
          </w:tcPr>
          <w:p w14:paraId="605F2814" w14:textId="77777777" w:rsidR="00507F25" w:rsidRPr="003277B3" w:rsidRDefault="00507F25" w:rsidP="002F493F">
            <w:pPr>
              <w:pStyle w:val="elementgraficznytabela"/>
              <w:spacing w:after="240"/>
              <w:ind w:right="2"/>
              <w:jc w:val="center"/>
              <w:cnfStyle w:val="000000000000" w:firstRow="0" w:lastRow="0" w:firstColumn="0" w:lastColumn="0" w:oddVBand="0" w:evenVBand="0" w:oddHBand="0" w:evenHBand="0" w:firstRowFirstColumn="0" w:firstRowLastColumn="0" w:lastRowFirstColumn="0" w:lastRowLastColumn="0"/>
              <w:rPr>
                <w:i/>
                <w:szCs w:val="18"/>
              </w:rPr>
            </w:pPr>
            <w:r w:rsidRPr="003277B3">
              <w:rPr>
                <w:szCs w:val="18"/>
              </w:rPr>
              <w:t>41</w:t>
            </w:r>
          </w:p>
        </w:tc>
        <w:tc>
          <w:tcPr>
            <w:tcW w:w="626" w:type="dxa"/>
          </w:tcPr>
          <w:p w14:paraId="3D917749" w14:textId="77777777" w:rsidR="00507F25" w:rsidRPr="003277B3" w:rsidRDefault="00507F25" w:rsidP="002F493F">
            <w:pPr>
              <w:pStyle w:val="elementgraficznytabela"/>
              <w:spacing w:after="240"/>
              <w:ind w:right="2"/>
              <w:jc w:val="center"/>
              <w:cnfStyle w:val="000000000000" w:firstRow="0" w:lastRow="0" w:firstColumn="0" w:lastColumn="0" w:oddVBand="0" w:evenVBand="0" w:oddHBand="0" w:evenHBand="0" w:firstRowFirstColumn="0" w:firstRowLastColumn="0" w:lastRowFirstColumn="0" w:lastRowLastColumn="0"/>
              <w:rPr>
                <w:i/>
                <w:szCs w:val="18"/>
              </w:rPr>
            </w:pPr>
            <w:r w:rsidRPr="003277B3">
              <w:rPr>
                <w:szCs w:val="18"/>
              </w:rPr>
              <w:t>48</w:t>
            </w:r>
          </w:p>
        </w:tc>
        <w:tc>
          <w:tcPr>
            <w:tcW w:w="507" w:type="dxa"/>
          </w:tcPr>
          <w:p w14:paraId="1099F434" w14:textId="77777777" w:rsidR="00507F25" w:rsidRPr="003277B3" w:rsidRDefault="00507F25" w:rsidP="002F493F">
            <w:pPr>
              <w:pStyle w:val="elementgraficznytabela"/>
              <w:spacing w:after="240"/>
              <w:ind w:right="2"/>
              <w:jc w:val="center"/>
              <w:cnfStyle w:val="000000000000" w:firstRow="0" w:lastRow="0" w:firstColumn="0" w:lastColumn="0" w:oddVBand="0" w:evenVBand="0" w:oddHBand="0" w:evenHBand="0" w:firstRowFirstColumn="0" w:firstRowLastColumn="0" w:lastRowFirstColumn="0" w:lastRowLastColumn="0"/>
              <w:rPr>
                <w:i/>
                <w:szCs w:val="18"/>
              </w:rPr>
            </w:pPr>
            <w:r w:rsidRPr="003277B3">
              <w:rPr>
                <w:szCs w:val="18"/>
              </w:rPr>
              <w:t>6</w:t>
            </w:r>
          </w:p>
        </w:tc>
        <w:tc>
          <w:tcPr>
            <w:tcW w:w="959" w:type="dxa"/>
          </w:tcPr>
          <w:p w14:paraId="7D3A29B5" w14:textId="77777777" w:rsidR="00507F25" w:rsidRPr="003277B3" w:rsidRDefault="00507F25" w:rsidP="002F493F">
            <w:pPr>
              <w:pStyle w:val="elementgraficznytabela"/>
              <w:spacing w:after="240"/>
              <w:jc w:val="center"/>
              <w:cnfStyle w:val="000000000000" w:firstRow="0" w:lastRow="0" w:firstColumn="0" w:lastColumn="0" w:oddVBand="0" w:evenVBand="0" w:oddHBand="0" w:evenHBand="0" w:firstRowFirstColumn="0" w:firstRowLastColumn="0" w:lastRowFirstColumn="0" w:lastRowLastColumn="0"/>
              <w:rPr>
                <w:i/>
                <w:szCs w:val="18"/>
              </w:rPr>
            </w:pPr>
            <w:r w:rsidRPr="003277B3">
              <w:rPr>
                <w:szCs w:val="18"/>
              </w:rPr>
              <w:t>x</w:t>
            </w:r>
          </w:p>
        </w:tc>
        <w:tc>
          <w:tcPr>
            <w:tcW w:w="624" w:type="dxa"/>
          </w:tcPr>
          <w:p w14:paraId="3B5EF526" w14:textId="77777777" w:rsidR="00507F25" w:rsidRPr="003277B3" w:rsidRDefault="00507F25" w:rsidP="002F493F">
            <w:pPr>
              <w:pStyle w:val="elementgraficznytabela"/>
              <w:spacing w:after="240"/>
              <w:jc w:val="center"/>
              <w:cnfStyle w:val="000000000000" w:firstRow="0" w:lastRow="0" w:firstColumn="0" w:lastColumn="0" w:oddVBand="0" w:evenVBand="0" w:oddHBand="0" w:evenHBand="0" w:firstRowFirstColumn="0" w:firstRowLastColumn="0" w:lastRowFirstColumn="0" w:lastRowLastColumn="0"/>
              <w:rPr>
                <w:i/>
                <w:szCs w:val="18"/>
              </w:rPr>
            </w:pPr>
            <w:r w:rsidRPr="003277B3">
              <w:rPr>
                <w:szCs w:val="18"/>
              </w:rPr>
              <w:t>46</w:t>
            </w:r>
          </w:p>
        </w:tc>
        <w:tc>
          <w:tcPr>
            <w:tcW w:w="624" w:type="dxa"/>
          </w:tcPr>
          <w:p w14:paraId="44EF77F7" w14:textId="77777777" w:rsidR="00507F25" w:rsidRPr="003277B3" w:rsidRDefault="00507F25" w:rsidP="002F493F">
            <w:pPr>
              <w:pStyle w:val="elementgraficznytabela"/>
              <w:spacing w:after="240"/>
              <w:jc w:val="center"/>
              <w:cnfStyle w:val="000000000000" w:firstRow="0" w:lastRow="0" w:firstColumn="0" w:lastColumn="0" w:oddVBand="0" w:evenVBand="0" w:oddHBand="0" w:evenHBand="0" w:firstRowFirstColumn="0" w:firstRowLastColumn="0" w:lastRowFirstColumn="0" w:lastRowLastColumn="0"/>
              <w:rPr>
                <w:i/>
                <w:szCs w:val="18"/>
              </w:rPr>
            </w:pPr>
            <w:r w:rsidRPr="003277B3">
              <w:rPr>
                <w:szCs w:val="18"/>
              </w:rPr>
              <w:t>44</w:t>
            </w:r>
          </w:p>
        </w:tc>
        <w:tc>
          <w:tcPr>
            <w:tcW w:w="505" w:type="dxa"/>
          </w:tcPr>
          <w:p w14:paraId="31DA0B4F" w14:textId="77777777" w:rsidR="00507F25" w:rsidRPr="003277B3" w:rsidRDefault="00507F25" w:rsidP="002F493F">
            <w:pPr>
              <w:pStyle w:val="elementgraficznytabela"/>
              <w:spacing w:after="240"/>
              <w:jc w:val="center"/>
              <w:cnfStyle w:val="000000000000" w:firstRow="0" w:lastRow="0" w:firstColumn="0" w:lastColumn="0" w:oddVBand="0" w:evenVBand="0" w:oddHBand="0" w:evenHBand="0" w:firstRowFirstColumn="0" w:firstRowLastColumn="0" w:lastRowFirstColumn="0" w:lastRowLastColumn="0"/>
              <w:rPr>
                <w:i/>
                <w:szCs w:val="18"/>
              </w:rPr>
            </w:pPr>
            <w:r w:rsidRPr="003277B3">
              <w:rPr>
                <w:szCs w:val="18"/>
              </w:rPr>
              <w:t>5</w:t>
            </w:r>
          </w:p>
        </w:tc>
        <w:tc>
          <w:tcPr>
            <w:tcW w:w="959" w:type="dxa"/>
          </w:tcPr>
          <w:p w14:paraId="14F0A19B" w14:textId="77777777" w:rsidR="00507F25" w:rsidRPr="003277B3" w:rsidRDefault="00507F25" w:rsidP="002F493F">
            <w:pPr>
              <w:pStyle w:val="elementgraficznytabela"/>
              <w:spacing w:after="240"/>
              <w:jc w:val="center"/>
              <w:cnfStyle w:val="000000000000" w:firstRow="0" w:lastRow="0" w:firstColumn="0" w:lastColumn="0" w:oddVBand="0" w:evenVBand="0" w:oddHBand="0" w:evenHBand="0" w:firstRowFirstColumn="0" w:firstRowLastColumn="0" w:lastRowFirstColumn="0" w:lastRowLastColumn="0"/>
              <w:rPr>
                <w:i/>
                <w:szCs w:val="18"/>
              </w:rPr>
            </w:pPr>
            <w:r w:rsidRPr="003277B3">
              <w:rPr>
                <w:szCs w:val="18"/>
              </w:rPr>
              <w:t>x</w:t>
            </w:r>
          </w:p>
        </w:tc>
        <w:tc>
          <w:tcPr>
            <w:tcW w:w="624" w:type="dxa"/>
          </w:tcPr>
          <w:p w14:paraId="6E746ADB" w14:textId="77777777" w:rsidR="00507F25" w:rsidRPr="003277B3" w:rsidRDefault="00507F25" w:rsidP="002F493F">
            <w:pPr>
              <w:pStyle w:val="elementgraficznytabela"/>
              <w:spacing w:after="240"/>
              <w:jc w:val="center"/>
              <w:cnfStyle w:val="000000000000" w:firstRow="0" w:lastRow="0" w:firstColumn="0" w:lastColumn="0" w:oddVBand="0" w:evenVBand="0" w:oddHBand="0" w:evenHBand="0" w:firstRowFirstColumn="0" w:firstRowLastColumn="0" w:lastRowFirstColumn="0" w:lastRowLastColumn="0"/>
              <w:rPr>
                <w:i/>
                <w:szCs w:val="18"/>
              </w:rPr>
            </w:pPr>
            <w:r w:rsidRPr="003277B3">
              <w:rPr>
                <w:szCs w:val="18"/>
              </w:rPr>
              <w:t>32</w:t>
            </w:r>
          </w:p>
        </w:tc>
        <w:tc>
          <w:tcPr>
            <w:tcW w:w="624" w:type="dxa"/>
          </w:tcPr>
          <w:p w14:paraId="03345291" w14:textId="77777777" w:rsidR="00507F25" w:rsidRPr="003277B3" w:rsidRDefault="00507F25" w:rsidP="002F493F">
            <w:pPr>
              <w:pStyle w:val="elementgraficznytabela"/>
              <w:spacing w:after="240"/>
              <w:jc w:val="center"/>
              <w:cnfStyle w:val="000000000000" w:firstRow="0" w:lastRow="0" w:firstColumn="0" w:lastColumn="0" w:oddVBand="0" w:evenVBand="0" w:oddHBand="0" w:evenHBand="0" w:firstRowFirstColumn="0" w:firstRowLastColumn="0" w:lastRowFirstColumn="0" w:lastRowLastColumn="0"/>
              <w:rPr>
                <w:i/>
                <w:szCs w:val="18"/>
              </w:rPr>
            </w:pPr>
            <w:r w:rsidRPr="003277B3">
              <w:rPr>
                <w:szCs w:val="18"/>
              </w:rPr>
              <w:t>47</w:t>
            </w:r>
          </w:p>
        </w:tc>
        <w:tc>
          <w:tcPr>
            <w:tcW w:w="505" w:type="dxa"/>
          </w:tcPr>
          <w:p w14:paraId="095033A9" w14:textId="77777777" w:rsidR="00507F25" w:rsidRPr="003277B3" w:rsidRDefault="00507F25" w:rsidP="002F493F">
            <w:pPr>
              <w:pStyle w:val="elementgraficznytabela"/>
              <w:spacing w:after="240"/>
              <w:jc w:val="center"/>
              <w:cnfStyle w:val="000000000000" w:firstRow="0" w:lastRow="0" w:firstColumn="0" w:lastColumn="0" w:oddVBand="0" w:evenVBand="0" w:oddHBand="0" w:evenHBand="0" w:firstRowFirstColumn="0" w:firstRowLastColumn="0" w:lastRowFirstColumn="0" w:lastRowLastColumn="0"/>
              <w:rPr>
                <w:i/>
                <w:szCs w:val="18"/>
              </w:rPr>
            </w:pPr>
            <w:r w:rsidRPr="003277B3">
              <w:rPr>
                <w:szCs w:val="18"/>
              </w:rPr>
              <w:t>7</w:t>
            </w:r>
          </w:p>
        </w:tc>
      </w:tr>
      <w:tr w:rsidR="00AB3E29" w:rsidRPr="00AB3E29" w14:paraId="2728550A" w14:textId="77777777" w:rsidTr="00AB3E29">
        <w:trPr>
          <w:cantSplit/>
          <w:trHeight w:val="1528"/>
          <w:jc w:val="center"/>
        </w:trPr>
        <w:tc>
          <w:tcPr>
            <w:cnfStyle w:val="001000000000" w:firstRow="0" w:lastRow="0" w:firstColumn="1" w:lastColumn="0" w:oddVBand="0" w:evenVBand="0" w:oddHBand="0" w:evenHBand="0" w:firstRowFirstColumn="0" w:firstRowLastColumn="0" w:lastRowFirstColumn="0" w:lastRowLastColumn="0"/>
            <w:tcW w:w="917" w:type="dxa"/>
            <w:textDirection w:val="btLr"/>
          </w:tcPr>
          <w:p w14:paraId="2EDDB40D" w14:textId="7D9DFF25" w:rsidR="00507F25" w:rsidRPr="00AB3E29" w:rsidRDefault="00AB3E29" w:rsidP="00AE4C8C">
            <w:pPr>
              <w:pStyle w:val="elementgraficznytabela"/>
              <w:spacing w:after="240"/>
              <w:ind w:left="113" w:right="113"/>
              <w:rPr>
                <w:iCs/>
              </w:rPr>
            </w:pPr>
            <w:r w:rsidRPr="00AB3E29">
              <w:rPr>
                <w:iCs/>
              </w:rPr>
              <w:t>% szkół wg poziomów</w:t>
            </w:r>
          </w:p>
        </w:tc>
        <w:tc>
          <w:tcPr>
            <w:tcW w:w="1063" w:type="dxa"/>
          </w:tcPr>
          <w:p w14:paraId="0A511C7C" w14:textId="77777777" w:rsidR="00507F25" w:rsidRPr="00AB3E29" w:rsidRDefault="00507F25" w:rsidP="002F493F">
            <w:pPr>
              <w:pStyle w:val="elementgraficznytabela"/>
              <w:spacing w:after="240"/>
              <w:ind w:right="2"/>
              <w:jc w:val="center"/>
              <w:cnfStyle w:val="000000000000" w:firstRow="0" w:lastRow="0" w:firstColumn="0" w:lastColumn="0" w:oddVBand="0" w:evenVBand="0" w:oddHBand="0" w:evenHBand="0" w:firstRowFirstColumn="0" w:firstRowLastColumn="0" w:lastRowFirstColumn="0" w:lastRowLastColumn="0"/>
              <w:rPr>
                <w:iCs/>
                <w:szCs w:val="18"/>
              </w:rPr>
            </w:pPr>
            <w:r w:rsidRPr="00AB3E29">
              <w:rPr>
                <w:iCs/>
                <w:szCs w:val="18"/>
              </w:rPr>
              <w:t>x</w:t>
            </w:r>
          </w:p>
        </w:tc>
        <w:tc>
          <w:tcPr>
            <w:tcW w:w="626" w:type="dxa"/>
          </w:tcPr>
          <w:p w14:paraId="64BE78A4" w14:textId="77777777" w:rsidR="00507F25" w:rsidRPr="00AB3E29" w:rsidRDefault="00507F25" w:rsidP="002F493F">
            <w:pPr>
              <w:pStyle w:val="elementgraficznytabela"/>
              <w:spacing w:after="240"/>
              <w:ind w:right="2"/>
              <w:jc w:val="center"/>
              <w:cnfStyle w:val="000000000000" w:firstRow="0" w:lastRow="0" w:firstColumn="0" w:lastColumn="0" w:oddVBand="0" w:evenVBand="0" w:oddHBand="0" w:evenHBand="0" w:firstRowFirstColumn="0" w:firstRowLastColumn="0" w:lastRowFirstColumn="0" w:lastRowLastColumn="0"/>
              <w:rPr>
                <w:iCs/>
                <w:szCs w:val="18"/>
              </w:rPr>
            </w:pPr>
            <w:r w:rsidRPr="00AB3E29">
              <w:rPr>
                <w:iCs/>
                <w:szCs w:val="18"/>
              </w:rPr>
              <w:t>43%</w:t>
            </w:r>
          </w:p>
        </w:tc>
        <w:tc>
          <w:tcPr>
            <w:tcW w:w="626" w:type="dxa"/>
          </w:tcPr>
          <w:p w14:paraId="7A27233C" w14:textId="77777777" w:rsidR="00507F25" w:rsidRPr="00AB3E29" w:rsidRDefault="00507F25" w:rsidP="002F493F">
            <w:pPr>
              <w:pStyle w:val="elementgraficznytabela"/>
              <w:spacing w:after="240"/>
              <w:ind w:right="2"/>
              <w:jc w:val="center"/>
              <w:cnfStyle w:val="000000000000" w:firstRow="0" w:lastRow="0" w:firstColumn="0" w:lastColumn="0" w:oddVBand="0" w:evenVBand="0" w:oddHBand="0" w:evenHBand="0" w:firstRowFirstColumn="0" w:firstRowLastColumn="0" w:lastRowFirstColumn="0" w:lastRowLastColumn="0"/>
              <w:rPr>
                <w:iCs/>
                <w:szCs w:val="18"/>
              </w:rPr>
            </w:pPr>
            <w:r w:rsidRPr="00AB3E29">
              <w:rPr>
                <w:iCs/>
                <w:szCs w:val="18"/>
              </w:rPr>
              <w:t>50%</w:t>
            </w:r>
          </w:p>
        </w:tc>
        <w:tc>
          <w:tcPr>
            <w:tcW w:w="507" w:type="dxa"/>
          </w:tcPr>
          <w:p w14:paraId="4A7FB812" w14:textId="77777777" w:rsidR="00507F25" w:rsidRPr="00AB3E29" w:rsidRDefault="00507F25" w:rsidP="002F493F">
            <w:pPr>
              <w:pStyle w:val="elementgraficznytabela"/>
              <w:spacing w:after="240"/>
              <w:ind w:right="2"/>
              <w:jc w:val="center"/>
              <w:cnfStyle w:val="000000000000" w:firstRow="0" w:lastRow="0" w:firstColumn="0" w:lastColumn="0" w:oddVBand="0" w:evenVBand="0" w:oddHBand="0" w:evenHBand="0" w:firstRowFirstColumn="0" w:firstRowLastColumn="0" w:lastRowFirstColumn="0" w:lastRowLastColumn="0"/>
              <w:rPr>
                <w:iCs/>
                <w:szCs w:val="18"/>
              </w:rPr>
            </w:pPr>
            <w:r w:rsidRPr="00AB3E29">
              <w:rPr>
                <w:iCs/>
                <w:szCs w:val="18"/>
              </w:rPr>
              <w:t>7%</w:t>
            </w:r>
          </w:p>
        </w:tc>
        <w:tc>
          <w:tcPr>
            <w:tcW w:w="959" w:type="dxa"/>
          </w:tcPr>
          <w:p w14:paraId="20C56D5F" w14:textId="77777777" w:rsidR="00507F25" w:rsidRPr="00AB3E29" w:rsidRDefault="00507F25" w:rsidP="002F493F">
            <w:pPr>
              <w:pStyle w:val="elementgraficznytabela"/>
              <w:spacing w:after="240"/>
              <w:jc w:val="center"/>
              <w:cnfStyle w:val="000000000000" w:firstRow="0" w:lastRow="0" w:firstColumn="0" w:lastColumn="0" w:oddVBand="0" w:evenVBand="0" w:oddHBand="0" w:evenHBand="0" w:firstRowFirstColumn="0" w:firstRowLastColumn="0" w:lastRowFirstColumn="0" w:lastRowLastColumn="0"/>
              <w:rPr>
                <w:iCs/>
                <w:szCs w:val="18"/>
              </w:rPr>
            </w:pPr>
            <w:r w:rsidRPr="00AB3E29">
              <w:rPr>
                <w:iCs/>
                <w:szCs w:val="18"/>
              </w:rPr>
              <w:t>x</w:t>
            </w:r>
          </w:p>
        </w:tc>
        <w:tc>
          <w:tcPr>
            <w:tcW w:w="624" w:type="dxa"/>
          </w:tcPr>
          <w:p w14:paraId="51019F64" w14:textId="77777777" w:rsidR="00507F25" w:rsidRPr="00AB3E29" w:rsidRDefault="00507F25" w:rsidP="002F493F">
            <w:pPr>
              <w:pStyle w:val="elementgraficznytabela"/>
              <w:spacing w:after="240"/>
              <w:jc w:val="center"/>
              <w:cnfStyle w:val="000000000000" w:firstRow="0" w:lastRow="0" w:firstColumn="0" w:lastColumn="0" w:oddVBand="0" w:evenVBand="0" w:oddHBand="0" w:evenHBand="0" w:firstRowFirstColumn="0" w:firstRowLastColumn="0" w:lastRowFirstColumn="0" w:lastRowLastColumn="0"/>
              <w:rPr>
                <w:iCs/>
                <w:szCs w:val="18"/>
              </w:rPr>
            </w:pPr>
            <w:r w:rsidRPr="00AB3E29">
              <w:rPr>
                <w:iCs/>
                <w:szCs w:val="18"/>
              </w:rPr>
              <w:t>48%</w:t>
            </w:r>
          </w:p>
        </w:tc>
        <w:tc>
          <w:tcPr>
            <w:tcW w:w="624" w:type="dxa"/>
          </w:tcPr>
          <w:p w14:paraId="464C9CEA" w14:textId="77777777" w:rsidR="00507F25" w:rsidRPr="00AB3E29" w:rsidRDefault="00507F25" w:rsidP="002F493F">
            <w:pPr>
              <w:pStyle w:val="elementgraficznytabela"/>
              <w:spacing w:after="240"/>
              <w:jc w:val="center"/>
              <w:cnfStyle w:val="000000000000" w:firstRow="0" w:lastRow="0" w:firstColumn="0" w:lastColumn="0" w:oddVBand="0" w:evenVBand="0" w:oddHBand="0" w:evenHBand="0" w:firstRowFirstColumn="0" w:firstRowLastColumn="0" w:lastRowFirstColumn="0" w:lastRowLastColumn="0"/>
              <w:rPr>
                <w:iCs/>
                <w:szCs w:val="18"/>
              </w:rPr>
            </w:pPr>
            <w:r w:rsidRPr="00AB3E29">
              <w:rPr>
                <w:iCs/>
                <w:szCs w:val="18"/>
              </w:rPr>
              <w:t>46%</w:t>
            </w:r>
          </w:p>
        </w:tc>
        <w:tc>
          <w:tcPr>
            <w:tcW w:w="505" w:type="dxa"/>
          </w:tcPr>
          <w:p w14:paraId="042C91D5" w14:textId="77777777" w:rsidR="00507F25" w:rsidRPr="00AB3E29" w:rsidRDefault="00507F25" w:rsidP="002F493F">
            <w:pPr>
              <w:pStyle w:val="elementgraficznytabela"/>
              <w:spacing w:after="240"/>
              <w:jc w:val="center"/>
              <w:cnfStyle w:val="000000000000" w:firstRow="0" w:lastRow="0" w:firstColumn="0" w:lastColumn="0" w:oddVBand="0" w:evenVBand="0" w:oddHBand="0" w:evenHBand="0" w:firstRowFirstColumn="0" w:firstRowLastColumn="0" w:lastRowFirstColumn="0" w:lastRowLastColumn="0"/>
              <w:rPr>
                <w:iCs/>
                <w:szCs w:val="18"/>
              </w:rPr>
            </w:pPr>
            <w:r w:rsidRPr="00AB3E29">
              <w:rPr>
                <w:iCs/>
                <w:szCs w:val="18"/>
              </w:rPr>
              <w:t>6%</w:t>
            </w:r>
          </w:p>
        </w:tc>
        <w:tc>
          <w:tcPr>
            <w:tcW w:w="959" w:type="dxa"/>
          </w:tcPr>
          <w:p w14:paraId="3CE33D2B" w14:textId="77777777" w:rsidR="00507F25" w:rsidRPr="00AB3E29" w:rsidRDefault="00507F25" w:rsidP="002F493F">
            <w:pPr>
              <w:pStyle w:val="elementgraficznytabela"/>
              <w:spacing w:after="240"/>
              <w:jc w:val="center"/>
              <w:cnfStyle w:val="000000000000" w:firstRow="0" w:lastRow="0" w:firstColumn="0" w:lastColumn="0" w:oddVBand="0" w:evenVBand="0" w:oddHBand="0" w:evenHBand="0" w:firstRowFirstColumn="0" w:firstRowLastColumn="0" w:lastRowFirstColumn="0" w:lastRowLastColumn="0"/>
              <w:rPr>
                <w:iCs/>
                <w:szCs w:val="18"/>
              </w:rPr>
            </w:pPr>
            <w:r w:rsidRPr="00AB3E29">
              <w:rPr>
                <w:iCs/>
                <w:szCs w:val="18"/>
              </w:rPr>
              <w:t>x</w:t>
            </w:r>
          </w:p>
        </w:tc>
        <w:tc>
          <w:tcPr>
            <w:tcW w:w="624" w:type="dxa"/>
          </w:tcPr>
          <w:p w14:paraId="74AE7B93" w14:textId="77777777" w:rsidR="00507F25" w:rsidRPr="00AB3E29" w:rsidRDefault="00507F25" w:rsidP="002F493F">
            <w:pPr>
              <w:pStyle w:val="elementgraficznytabela"/>
              <w:spacing w:after="240"/>
              <w:jc w:val="center"/>
              <w:cnfStyle w:val="000000000000" w:firstRow="0" w:lastRow="0" w:firstColumn="0" w:lastColumn="0" w:oddVBand="0" w:evenVBand="0" w:oddHBand="0" w:evenHBand="0" w:firstRowFirstColumn="0" w:firstRowLastColumn="0" w:lastRowFirstColumn="0" w:lastRowLastColumn="0"/>
              <w:rPr>
                <w:iCs/>
                <w:szCs w:val="18"/>
              </w:rPr>
            </w:pPr>
            <w:r w:rsidRPr="00AB3E29">
              <w:rPr>
                <w:iCs/>
                <w:szCs w:val="18"/>
              </w:rPr>
              <w:t>34%</w:t>
            </w:r>
          </w:p>
        </w:tc>
        <w:tc>
          <w:tcPr>
            <w:tcW w:w="624" w:type="dxa"/>
          </w:tcPr>
          <w:p w14:paraId="64C7B840" w14:textId="77777777" w:rsidR="00507F25" w:rsidRPr="00AB3E29" w:rsidRDefault="00507F25" w:rsidP="002F493F">
            <w:pPr>
              <w:pStyle w:val="elementgraficznytabela"/>
              <w:spacing w:after="240"/>
              <w:jc w:val="center"/>
              <w:cnfStyle w:val="000000000000" w:firstRow="0" w:lastRow="0" w:firstColumn="0" w:lastColumn="0" w:oddVBand="0" w:evenVBand="0" w:oddHBand="0" w:evenHBand="0" w:firstRowFirstColumn="0" w:firstRowLastColumn="0" w:lastRowFirstColumn="0" w:lastRowLastColumn="0"/>
              <w:rPr>
                <w:iCs/>
                <w:szCs w:val="18"/>
              </w:rPr>
            </w:pPr>
            <w:r w:rsidRPr="00AB3E29">
              <w:rPr>
                <w:iCs/>
                <w:szCs w:val="18"/>
              </w:rPr>
              <w:t>49%</w:t>
            </w:r>
          </w:p>
        </w:tc>
        <w:tc>
          <w:tcPr>
            <w:tcW w:w="505" w:type="dxa"/>
          </w:tcPr>
          <w:p w14:paraId="5CF46735" w14:textId="77777777" w:rsidR="00507F25" w:rsidRPr="00AB3E29" w:rsidRDefault="00507F25" w:rsidP="002F493F">
            <w:pPr>
              <w:pStyle w:val="elementgraficznytabela"/>
              <w:spacing w:after="240"/>
              <w:jc w:val="center"/>
              <w:cnfStyle w:val="000000000000" w:firstRow="0" w:lastRow="0" w:firstColumn="0" w:lastColumn="0" w:oddVBand="0" w:evenVBand="0" w:oddHBand="0" w:evenHBand="0" w:firstRowFirstColumn="0" w:firstRowLastColumn="0" w:lastRowFirstColumn="0" w:lastRowLastColumn="0"/>
              <w:rPr>
                <w:iCs/>
                <w:szCs w:val="18"/>
              </w:rPr>
            </w:pPr>
            <w:r w:rsidRPr="00AB3E29">
              <w:rPr>
                <w:iCs/>
                <w:szCs w:val="18"/>
              </w:rPr>
              <w:t>7%</w:t>
            </w:r>
          </w:p>
        </w:tc>
      </w:tr>
    </w:tbl>
    <w:p w14:paraId="3F4AAC16" w14:textId="606FEEA1" w:rsidR="00AB3E29" w:rsidRPr="00745CDB" w:rsidRDefault="00AB3E29" w:rsidP="00733091">
      <w:pPr>
        <w:pStyle w:val="podpiselementu"/>
        <w:spacing w:after="240"/>
        <w:rPr>
          <w:rFonts w:asciiTheme="minorHAnsi" w:hAnsiTheme="minorHAnsi" w:cstheme="minorHAnsi"/>
          <w:sz w:val="20"/>
          <w:szCs w:val="20"/>
          <w:lang w:val="pl-PL"/>
        </w:rPr>
      </w:pPr>
      <w:r w:rsidRPr="00745CDB">
        <w:rPr>
          <w:rFonts w:asciiTheme="minorHAnsi" w:hAnsiTheme="minorHAnsi" w:cstheme="minorHAnsi"/>
          <w:iCs/>
          <w:sz w:val="20"/>
          <w:szCs w:val="20"/>
          <w:lang w:val="pl-PL"/>
        </w:rPr>
        <w:t>N-</w:t>
      </w:r>
      <w:r w:rsidRPr="00745CDB">
        <w:rPr>
          <w:rFonts w:asciiTheme="minorHAnsi" w:hAnsiTheme="minorHAnsi" w:cstheme="minorHAnsi"/>
          <w:sz w:val="20"/>
          <w:szCs w:val="20"/>
          <w:lang w:val="pl-PL"/>
        </w:rPr>
        <w:t>poziom niski, Ś- poziom średni, W- poziom wysoki</w:t>
      </w:r>
    </w:p>
    <w:p w14:paraId="19D28A20" w14:textId="04C2C6A0" w:rsidR="00636B20" w:rsidRPr="00733091" w:rsidRDefault="00636B20" w:rsidP="00733091">
      <w:pPr>
        <w:pStyle w:val="podpiselementu"/>
        <w:spacing w:after="240"/>
        <w:rPr>
          <w:lang w:val="pl-PL"/>
        </w:rPr>
      </w:pPr>
      <w:r w:rsidRPr="00733091">
        <w:rPr>
          <w:lang w:val="pl-PL"/>
        </w:rPr>
        <w:t>Źródło: opracowanie własne na podstawie danych OKE w Łomży</w:t>
      </w:r>
    </w:p>
    <w:p w14:paraId="0ACFED7D" w14:textId="44B1AD81" w:rsidR="00B664F9" w:rsidRPr="00733091" w:rsidRDefault="00B664F9" w:rsidP="00733091">
      <w:pPr>
        <w:pStyle w:val="Nagwek5"/>
        <w:spacing w:before="120" w:after="240"/>
        <w:rPr>
          <w:rStyle w:val="Nagwek4Znak"/>
          <w:rFonts w:asciiTheme="majorHAnsi" w:hAnsiTheme="majorHAnsi"/>
          <w:iCs w:val="0"/>
          <w:noProof w:val="0"/>
          <w:lang w:val="pl-PL"/>
        </w:rPr>
      </w:pPr>
      <w:r w:rsidRPr="00733091">
        <w:rPr>
          <w:rStyle w:val="Nagwek4Znak"/>
          <w:rFonts w:asciiTheme="majorHAnsi" w:hAnsiTheme="majorHAnsi"/>
          <w:iCs w:val="0"/>
          <w:noProof w:val="0"/>
          <w:lang w:val="pl-PL"/>
        </w:rPr>
        <w:lastRenderedPageBreak/>
        <w:t xml:space="preserve">Edukacja na szczeblu ponadpodstawowym </w:t>
      </w:r>
    </w:p>
    <w:p w14:paraId="5CF88E64" w14:textId="3DA126DD" w:rsidR="00845AEA" w:rsidRPr="00733091" w:rsidRDefault="00845AEA" w:rsidP="00AB3E29">
      <w:pPr>
        <w:rPr>
          <w:lang w:val="pl-PL"/>
        </w:rPr>
      </w:pPr>
      <w:r w:rsidRPr="00733091">
        <w:rPr>
          <w:lang w:val="pl-PL"/>
        </w:rPr>
        <w:t>Edukacja na szczeblu ponadpodstawowym odbywa się w: liceach ogólnokształcących, technikach, szkołach branżowych I stopnia, szkołach branżowych (II stopnia) oraz szkołach policealnych.</w:t>
      </w:r>
    </w:p>
    <w:p w14:paraId="467B84AB" w14:textId="7E649A2C" w:rsidR="00845AEA" w:rsidRPr="00733091" w:rsidRDefault="00845AEA" w:rsidP="00733091">
      <w:pPr>
        <w:rPr>
          <w:lang w:val="pl-PL"/>
        </w:rPr>
      </w:pPr>
      <w:r w:rsidRPr="00733091">
        <w:rPr>
          <w:lang w:val="pl-PL"/>
        </w:rPr>
        <w:t xml:space="preserve">W 2019 r. na terenie Południowych Mazur funkcjonowały 23 szkoły ogólnokształcące (w tym 7 </w:t>
      </w:r>
      <w:r w:rsidR="003A308C">
        <w:rPr>
          <w:lang w:val="pl-PL"/>
        </w:rPr>
        <w:t xml:space="preserve">szkół </w:t>
      </w:r>
      <w:r w:rsidRPr="00733091">
        <w:rPr>
          <w:lang w:val="pl-PL"/>
        </w:rPr>
        <w:t>dla osób dorosłych, w których w kształciło się 720 osób).</w:t>
      </w:r>
    </w:p>
    <w:p w14:paraId="0B9D7502" w14:textId="0C8B8D26" w:rsidR="00845AEA" w:rsidRPr="00733091" w:rsidRDefault="00845AEA" w:rsidP="00733091">
      <w:pPr>
        <w:rPr>
          <w:lang w:val="pl-PL"/>
        </w:rPr>
      </w:pPr>
      <w:r w:rsidRPr="00733091">
        <w:rPr>
          <w:lang w:val="pl-PL"/>
        </w:rPr>
        <w:t xml:space="preserve">W 16 szkołach średnich dla młodzieży w 125 oddziałach uczyło się 3.058 osób (25 osób na oddział). Organem prowadzącym liceów ogólnokształcących był samorząd powiatowy (10), samorząd gminny (4) oraz organizacje społeczne i stowarzyszenia (2). Współczynnik skolaryzacji dla liceów ogólnokształcących utrzymujący się </w:t>
      </w:r>
      <w:r w:rsidR="003A308C">
        <w:rPr>
          <w:lang w:val="pl-PL"/>
        </w:rPr>
        <w:br/>
      </w:r>
      <w:r w:rsidRPr="00733091">
        <w:rPr>
          <w:lang w:val="pl-PL"/>
        </w:rPr>
        <w:t>w okresie 2010-2019 na porównywalnym poziomie</w:t>
      </w:r>
      <w:r>
        <w:rPr>
          <w:rStyle w:val="Odwoanieprzypisudolnego"/>
          <w:rFonts w:cstheme="majorHAnsi"/>
        </w:rPr>
        <w:footnoteReference w:id="52"/>
      </w:r>
      <w:r w:rsidR="003A308C">
        <w:rPr>
          <w:lang w:val="pl-PL"/>
        </w:rPr>
        <w:t xml:space="preserve"> </w:t>
      </w:r>
      <w:r w:rsidRPr="00733091">
        <w:rPr>
          <w:lang w:val="pl-PL"/>
        </w:rPr>
        <w:t xml:space="preserve">oznacza niesłabnącą popularność kształcenia ogólnego jako </w:t>
      </w:r>
      <w:r w:rsidRPr="00733091">
        <w:rPr>
          <w:b/>
          <w:bCs/>
          <w:lang w:val="pl-PL"/>
        </w:rPr>
        <w:t>punktu wyjścia do kontynuowania nauki na studiach wyższych</w:t>
      </w:r>
      <w:r>
        <w:rPr>
          <w:rStyle w:val="Odwoanieprzypisudolnego"/>
          <w:rFonts w:cstheme="majorHAnsi"/>
        </w:rPr>
        <w:footnoteReference w:id="53"/>
      </w:r>
      <w:r w:rsidRPr="00733091">
        <w:rPr>
          <w:lang w:val="pl-PL"/>
        </w:rPr>
        <w:t>.</w:t>
      </w:r>
    </w:p>
    <w:p w14:paraId="329E7BE2" w14:textId="747C927B" w:rsidR="00845AEA" w:rsidRPr="00733091" w:rsidRDefault="00845AEA" w:rsidP="00733091">
      <w:pPr>
        <w:rPr>
          <w:lang w:val="pl-PL"/>
        </w:rPr>
      </w:pPr>
      <w:r w:rsidRPr="00733091">
        <w:rPr>
          <w:lang w:val="pl-PL"/>
        </w:rPr>
        <w:t>W 2018 r. na terenie Południowych Mazur działało łącznie 14 techników z 113 oddziałami, w których uczyło się 2.554 osób. Organem założycielskim dla większości z nich (13) był samorząd powiatu</w:t>
      </w:r>
      <w:r w:rsidR="00A0313D">
        <w:rPr>
          <w:lang w:val="pl-PL"/>
        </w:rPr>
        <w:t>.</w:t>
      </w:r>
    </w:p>
    <w:p w14:paraId="050362C0" w14:textId="77777777" w:rsidR="00845AEA" w:rsidRPr="00733091" w:rsidRDefault="00845AEA" w:rsidP="00733091">
      <w:pPr>
        <w:rPr>
          <w:lang w:val="pl-PL"/>
        </w:rPr>
      </w:pPr>
      <w:r w:rsidRPr="00733091">
        <w:rPr>
          <w:lang w:val="pl-PL"/>
        </w:rPr>
        <w:t>Od 2010 r. do 2018 r. spadała liczba uczniów liceów ogólnokształcących i techników zlokalizowanych na terenie Południowych Mazur (odpowiednio o 21% i 17,5%), co ma związek ze spadkiem liczby osób w wieku przedprodukcyjnym.</w:t>
      </w:r>
      <w:r w:rsidRPr="00733091">
        <w:rPr>
          <w:rFonts w:cstheme="minorHAnsi"/>
          <w:lang w:val="pl-PL"/>
        </w:rPr>
        <w:t xml:space="preserve"> Dalszy, prognozowany spadek liczby mieszkańców obszaru w przedziale wiekowym 16-18 lat (o 32,34%) wskazuje na duże prawdopodobieństwo redukcji oddziałów </w:t>
      </w:r>
      <w:r w:rsidRPr="00733091">
        <w:rPr>
          <w:rFonts w:cstheme="minorHAnsi"/>
          <w:lang w:val="pl-PL"/>
        </w:rPr>
        <w:br/>
        <w:t>w szkołach lub dalszej redukcji liczby szkół</w:t>
      </w:r>
      <w:r>
        <w:rPr>
          <w:rStyle w:val="Odwoanieprzypisudolnego"/>
          <w:rFonts w:cstheme="minorHAnsi"/>
        </w:rPr>
        <w:footnoteReference w:id="54"/>
      </w:r>
      <w:r w:rsidRPr="00733091">
        <w:rPr>
          <w:rFonts w:cstheme="minorHAnsi"/>
          <w:lang w:val="pl-PL"/>
        </w:rPr>
        <w:t>.</w:t>
      </w:r>
    </w:p>
    <w:p w14:paraId="421E02EB" w14:textId="77777777" w:rsidR="003A308C" w:rsidRDefault="00845AEA" w:rsidP="00AB3E29">
      <w:pPr>
        <w:rPr>
          <w:rFonts w:cstheme="minorHAnsi"/>
          <w:lang w:val="pl-PL"/>
        </w:rPr>
      </w:pPr>
      <w:r w:rsidRPr="00733091">
        <w:rPr>
          <w:rFonts w:cstheme="minorHAnsi"/>
          <w:lang w:val="pl-PL"/>
        </w:rPr>
        <w:t xml:space="preserve">Wyniki egzaminów dojrzałości wskazują na </w:t>
      </w:r>
      <w:r w:rsidRPr="00733091">
        <w:rPr>
          <w:rFonts w:cstheme="minorHAnsi"/>
          <w:b/>
          <w:bCs/>
          <w:lang w:val="pl-PL"/>
        </w:rPr>
        <w:t xml:space="preserve">niezadawalającą jakość kształcenia </w:t>
      </w:r>
      <w:r w:rsidR="006120C4">
        <w:rPr>
          <w:rFonts w:cstheme="minorHAnsi"/>
          <w:b/>
          <w:bCs/>
          <w:lang w:val="pl-PL"/>
        </w:rPr>
        <w:br/>
      </w:r>
      <w:r w:rsidRPr="00733091">
        <w:rPr>
          <w:rFonts w:cstheme="minorHAnsi"/>
          <w:b/>
          <w:bCs/>
          <w:lang w:val="pl-PL"/>
        </w:rPr>
        <w:t xml:space="preserve">w szkołach średnich </w:t>
      </w:r>
      <w:r w:rsidRPr="00733091">
        <w:rPr>
          <w:rFonts w:cstheme="minorHAnsi"/>
          <w:lang w:val="pl-PL"/>
        </w:rPr>
        <w:t xml:space="preserve">na terenie Południowych Mazur. Zdawalność egzaminu maturalnego w 2020 r. była niższa w </w:t>
      </w:r>
      <w:r w:rsidR="008F25ED">
        <w:rPr>
          <w:rFonts w:cstheme="minorHAnsi"/>
          <w:lang w:val="pl-PL"/>
        </w:rPr>
        <w:t>dwóch powiatach</w:t>
      </w:r>
      <w:r w:rsidRPr="00733091">
        <w:rPr>
          <w:rFonts w:cstheme="minorHAnsi"/>
          <w:lang w:val="pl-PL"/>
        </w:rPr>
        <w:t xml:space="preserve"> niż średnia </w:t>
      </w:r>
      <w:r w:rsidR="006120C4">
        <w:rPr>
          <w:rFonts w:cstheme="minorHAnsi"/>
          <w:lang w:val="pl-PL"/>
        </w:rPr>
        <w:br/>
      </w:r>
      <w:r w:rsidRPr="00733091">
        <w:rPr>
          <w:rFonts w:cstheme="minorHAnsi"/>
          <w:lang w:val="pl-PL"/>
        </w:rPr>
        <w:t>w województwie. Także wyniki egzaminów maturalnych</w:t>
      </w:r>
      <w:r>
        <w:rPr>
          <w:rStyle w:val="Odwoanieprzypisudolnego"/>
          <w:rFonts w:cstheme="minorHAnsi"/>
        </w:rPr>
        <w:footnoteReference w:id="55"/>
      </w:r>
      <w:r w:rsidRPr="00733091">
        <w:rPr>
          <w:rFonts w:cstheme="minorHAnsi"/>
          <w:lang w:val="pl-PL"/>
        </w:rPr>
        <w:t xml:space="preserve"> były niższe niż średnie wojewódzkie (szczegółowy opis – tabela </w:t>
      </w:r>
      <w:r w:rsidR="00AB3E29">
        <w:rPr>
          <w:rFonts w:cstheme="minorHAnsi"/>
          <w:lang w:val="pl-PL"/>
        </w:rPr>
        <w:t xml:space="preserve">nr 8 </w:t>
      </w:r>
      <w:r w:rsidRPr="00733091">
        <w:rPr>
          <w:rFonts w:cstheme="minorHAnsi"/>
          <w:lang w:val="pl-PL"/>
        </w:rPr>
        <w:t xml:space="preserve">poniżej). </w:t>
      </w:r>
    </w:p>
    <w:p w14:paraId="113248D8" w14:textId="60B2B030" w:rsidR="00AB3E29" w:rsidRPr="00AB3E29" w:rsidRDefault="00845AEA" w:rsidP="00AB3E29">
      <w:pPr>
        <w:rPr>
          <w:rFonts w:cstheme="minorHAnsi"/>
          <w:lang w:val="pl-PL"/>
        </w:rPr>
      </w:pPr>
      <w:r w:rsidRPr="00733091">
        <w:rPr>
          <w:rFonts w:cstheme="minorHAnsi"/>
          <w:lang w:val="pl-PL"/>
        </w:rPr>
        <w:t>Najlepszą jakość kształcenia oferował powiat nidzicki; najgorszą – piski</w:t>
      </w:r>
      <w:r w:rsidR="00AB3E29">
        <w:rPr>
          <w:rFonts w:cstheme="minorHAnsi"/>
          <w:lang w:val="pl-PL"/>
        </w:rPr>
        <w:t>.</w:t>
      </w:r>
    </w:p>
    <w:p w14:paraId="67EE1D1D" w14:textId="6F8693F8" w:rsidR="00AB3E29" w:rsidRPr="00AB3E29" w:rsidRDefault="00AB3E29" w:rsidP="00AB3E29">
      <w:pPr>
        <w:rPr>
          <w:lang w:val="pl-PL"/>
        </w:rPr>
        <w:sectPr w:rsidR="00AB3E29" w:rsidRPr="00AB3E29" w:rsidSect="003B652C">
          <w:headerReference w:type="even" r:id="rId72"/>
          <w:headerReference w:type="default" r:id="rId73"/>
          <w:footerReference w:type="even" r:id="rId74"/>
          <w:footerReference w:type="default" r:id="rId75"/>
          <w:headerReference w:type="first" r:id="rId76"/>
          <w:footerReference w:type="first" r:id="rId77"/>
          <w:pgSz w:w="11906" w:h="16838"/>
          <w:pgMar w:top="1418" w:right="1418" w:bottom="1701" w:left="1418" w:header="709" w:footer="709" w:gutter="0"/>
          <w:cols w:space="708"/>
          <w:docGrid w:linePitch="360"/>
        </w:sectPr>
      </w:pPr>
    </w:p>
    <w:p w14:paraId="2BE82339" w14:textId="01673D5B" w:rsidR="00845AEA" w:rsidRPr="00733091" w:rsidRDefault="00845AEA" w:rsidP="002E24A9">
      <w:pPr>
        <w:pStyle w:val="Legenda"/>
        <w:rPr>
          <w:lang w:val="pl-PL"/>
        </w:rPr>
      </w:pPr>
      <w:bookmarkStart w:id="70" w:name="_Toc69723257"/>
      <w:r w:rsidRPr="00733091">
        <w:rPr>
          <w:lang w:val="pl-PL"/>
        </w:rPr>
        <w:lastRenderedPageBreak/>
        <w:t xml:space="preserve">Tabela </w:t>
      </w:r>
      <w:r w:rsidR="00733091">
        <w:fldChar w:fldCharType="begin"/>
      </w:r>
      <w:r w:rsidR="00733091" w:rsidRPr="00733091">
        <w:rPr>
          <w:lang w:val="pl-PL"/>
        </w:rPr>
        <w:instrText xml:space="preserve"> SEQ Tabela \* ARABIC </w:instrText>
      </w:r>
      <w:r w:rsidR="00733091">
        <w:fldChar w:fldCharType="separate"/>
      </w:r>
      <w:r w:rsidR="00B14787">
        <w:rPr>
          <w:noProof/>
          <w:lang w:val="pl-PL"/>
        </w:rPr>
        <w:t>8</w:t>
      </w:r>
      <w:r w:rsidR="00733091">
        <w:rPr>
          <w:noProof/>
        </w:rPr>
        <w:fldChar w:fldCharType="end"/>
      </w:r>
      <w:r w:rsidRPr="00733091">
        <w:rPr>
          <w:lang w:val="pl-PL"/>
        </w:rPr>
        <w:t>. Wyniki egzaminów dojrzałości w 2020 r.</w:t>
      </w:r>
      <w:bookmarkEnd w:id="70"/>
    </w:p>
    <w:tbl>
      <w:tblPr>
        <w:tblStyle w:val="CWD"/>
        <w:tblW w:w="5065" w:type="pct"/>
        <w:tblLayout w:type="fixed"/>
        <w:tblLook w:val="04A0" w:firstRow="1" w:lastRow="0" w:firstColumn="1" w:lastColumn="0" w:noHBand="0" w:noVBand="1"/>
      </w:tblPr>
      <w:tblGrid>
        <w:gridCol w:w="1049"/>
        <w:gridCol w:w="932"/>
        <w:gridCol w:w="992"/>
        <w:gridCol w:w="993"/>
        <w:gridCol w:w="852"/>
        <w:gridCol w:w="849"/>
        <w:gridCol w:w="850"/>
        <w:gridCol w:w="851"/>
        <w:gridCol w:w="993"/>
        <w:gridCol w:w="850"/>
        <w:gridCol w:w="851"/>
        <w:gridCol w:w="849"/>
        <w:gridCol w:w="992"/>
        <w:gridCol w:w="993"/>
        <w:gridCol w:w="991"/>
      </w:tblGrid>
      <w:tr w:rsidR="00AB3E29" w:rsidRPr="007303BC" w14:paraId="60E6D838" w14:textId="77777777" w:rsidTr="00AB3E2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9" w:type="dxa"/>
            <w:vMerge w:val="restart"/>
            <w:shd w:val="clear" w:color="auto" w:fill="FFC000"/>
          </w:tcPr>
          <w:p w14:paraId="039BFB08" w14:textId="77777777" w:rsidR="00AB3E29" w:rsidRPr="00AB3E29" w:rsidRDefault="00AB3E29" w:rsidP="00733091">
            <w:pPr>
              <w:pStyle w:val="elementgraficznytabela"/>
              <w:spacing w:after="240"/>
              <w:rPr>
                <w:rFonts w:cstheme="minorHAnsi"/>
                <w:szCs w:val="24"/>
              </w:rPr>
            </w:pPr>
            <w:bookmarkStart w:id="71" w:name="_Hlk68012856"/>
            <w:r w:rsidRPr="00AB3E29">
              <w:rPr>
                <w:rFonts w:cstheme="minorHAnsi"/>
                <w:szCs w:val="24"/>
              </w:rPr>
              <w:t>Powiat</w:t>
            </w:r>
          </w:p>
        </w:tc>
        <w:tc>
          <w:tcPr>
            <w:tcW w:w="3769" w:type="dxa"/>
            <w:gridSpan w:val="4"/>
            <w:shd w:val="clear" w:color="auto" w:fill="FFC000"/>
          </w:tcPr>
          <w:p w14:paraId="11FA13A9" w14:textId="77777777" w:rsidR="00AB3E29" w:rsidRPr="00AB3E29" w:rsidRDefault="00AB3E29" w:rsidP="00AB3E29">
            <w:pPr>
              <w:pStyle w:val="elementgraficznytabela"/>
              <w:spacing w:after="240"/>
              <w:jc w:val="center"/>
              <w:cnfStyle w:val="100000000000" w:firstRow="1" w:lastRow="0" w:firstColumn="0" w:lastColumn="0" w:oddVBand="0" w:evenVBand="0" w:oddHBand="0" w:evenHBand="0" w:firstRowFirstColumn="0" w:firstRowLastColumn="0" w:lastRowFirstColumn="0" w:lastRowLastColumn="0"/>
              <w:rPr>
                <w:rFonts w:cstheme="minorHAnsi"/>
                <w:szCs w:val="24"/>
              </w:rPr>
            </w:pPr>
            <w:r w:rsidRPr="00AB3E29">
              <w:rPr>
                <w:rFonts w:cstheme="minorHAnsi"/>
                <w:szCs w:val="24"/>
              </w:rPr>
              <w:t>Język polski</w:t>
            </w:r>
          </w:p>
        </w:tc>
        <w:tc>
          <w:tcPr>
            <w:tcW w:w="3543" w:type="dxa"/>
            <w:gridSpan w:val="4"/>
            <w:shd w:val="clear" w:color="auto" w:fill="FFC000"/>
          </w:tcPr>
          <w:p w14:paraId="41D10540" w14:textId="77777777" w:rsidR="00AB3E29" w:rsidRPr="00AB3E29" w:rsidRDefault="00AB3E29" w:rsidP="00AB3E29">
            <w:pPr>
              <w:pStyle w:val="elementgraficznytabela"/>
              <w:spacing w:after="240"/>
              <w:jc w:val="center"/>
              <w:cnfStyle w:val="100000000000" w:firstRow="1" w:lastRow="0" w:firstColumn="0" w:lastColumn="0" w:oddVBand="0" w:evenVBand="0" w:oddHBand="0" w:evenHBand="0" w:firstRowFirstColumn="0" w:firstRowLastColumn="0" w:lastRowFirstColumn="0" w:lastRowLastColumn="0"/>
              <w:rPr>
                <w:rFonts w:cstheme="minorHAnsi"/>
                <w:szCs w:val="24"/>
              </w:rPr>
            </w:pPr>
            <w:r w:rsidRPr="00AB3E29">
              <w:rPr>
                <w:rFonts w:cstheme="minorHAnsi"/>
                <w:szCs w:val="24"/>
              </w:rPr>
              <w:t>Matematyka</w:t>
            </w:r>
          </w:p>
        </w:tc>
        <w:tc>
          <w:tcPr>
            <w:tcW w:w="3542" w:type="dxa"/>
            <w:gridSpan w:val="4"/>
            <w:shd w:val="clear" w:color="auto" w:fill="FFC000"/>
          </w:tcPr>
          <w:p w14:paraId="0AC32D56" w14:textId="77777777" w:rsidR="00AB3E29" w:rsidRPr="00AB3E29" w:rsidRDefault="00AB3E29" w:rsidP="00AB3E29">
            <w:pPr>
              <w:pStyle w:val="elementgraficznytabela"/>
              <w:spacing w:after="240"/>
              <w:jc w:val="center"/>
              <w:cnfStyle w:val="100000000000" w:firstRow="1" w:lastRow="0" w:firstColumn="0" w:lastColumn="0" w:oddVBand="0" w:evenVBand="0" w:oddHBand="0" w:evenHBand="0" w:firstRowFirstColumn="0" w:firstRowLastColumn="0" w:lastRowFirstColumn="0" w:lastRowLastColumn="0"/>
              <w:rPr>
                <w:rFonts w:cstheme="minorHAnsi"/>
                <w:szCs w:val="24"/>
              </w:rPr>
            </w:pPr>
            <w:r w:rsidRPr="00AB3E29">
              <w:rPr>
                <w:rFonts w:cstheme="minorHAnsi"/>
                <w:szCs w:val="24"/>
              </w:rPr>
              <w:t>Język angielski</w:t>
            </w:r>
          </w:p>
        </w:tc>
        <w:tc>
          <w:tcPr>
            <w:tcW w:w="1984" w:type="dxa"/>
            <w:gridSpan w:val="2"/>
            <w:vMerge w:val="restart"/>
            <w:shd w:val="clear" w:color="auto" w:fill="FFC000"/>
          </w:tcPr>
          <w:p w14:paraId="7CAF01D9" w14:textId="45590494" w:rsidR="00AB3E29" w:rsidRPr="00AB3E29" w:rsidRDefault="00AB3E29" w:rsidP="00AB3E29">
            <w:pPr>
              <w:pStyle w:val="elementgraficznytabela"/>
              <w:spacing w:after="240"/>
              <w:jc w:val="center"/>
              <w:cnfStyle w:val="100000000000" w:firstRow="1" w:lastRow="0" w:firstColumn="0" w:lastColumn="0" w:oddVBand="0" w:evenVBand="0" w:oddHBand="0" w:evenHBand="0" w:firstRowFirstColumn="0" w:firstRowLastColumn="0" w:lastRowFirstColumn="0" w:lastRowLastColumn="0"/>
              <w:rPr>
                <w:rFonts w:cstheme="minorHAnsi"/>
                <w:szCs w:val="24"/>
              </w:rPr>
            </w:pPr>
            <w:r w:rsidRPr="00AB3E29">
              <w:rPr>
                <w:rFonts w:cstheme="minorHAnsi"/>
                <w:szCs w:val="24"/>
              </w:rPr>
              <w:t xml:space="preserve">Zdawalność egzaminów </w:t>
            </w:r>
            <w:r>
              <w:rPr>
                <w:rFonts w:cstheme="minorHAnsi"/>
                <w:szCs w:val="24"/>
              </w:rPr>
              <w:br/>
            </w:r>
          </w:p>
        </w:tc>
      </w:tr>
      <w:tr w:rsidR="00AB3E29" w:rsidRPr="00AB3E29" w14:paraId="56463C92" w14:textId="77777777" w:rsidTr="00AB3E29">
        <w:tc>
          <w:tcPr>
            <w:cnfStyle w:val="001000000000" w:firstRow="0" w:lastRow="0" w:firstColumn="1" w:lastColumn="0" w:oddVBand="0" w:evenVBand="0" w:oddHBand="0" w:evenHBand="0" w:firstRowFirstColumn="0" w:firstRowLastColumn="0" w:lastRowFirstColumn="0" w:lastRowLastColumn="0"/>
            <w:tcW w:w="1049" w:type="dxa"/>
            <w:vMerge/>
            <w:shd w:val="clear" w:color="auto" w:fill="FFC000"/>
          </w:tcPr>
          <w:p w14:paraId="1301B5E3" w14:textId="77777777" w:rsidR="00AB3E29" w:rsidRPr="00AB3E29" w:rsidRDefault="00AB3E29" w:rsidP="00733091">
            <w:pPr>
              <w:pStyle w:val="elementgraficznytabela"/>
              <w:spacing w:after="240"/>
              <w:rPr>
                <w:rFonts w:cstheme="minorHAnsi"/>
                <w:szCs w:val="24"/>
              </w:rPr>
            </w:pPr>
          </w:p>
        </w:tc>
        <w:tc>
          <w:tcPr>
            <w:tcW w:w="1924" w:type="dxa"/>
            <w:gridSpan w:val="2"/>
            <w:shd w:val="clear" w:color="auto" w:fill="FFC000"/>
          </w:tcPr>
          <w:p w14:paraId="43AB7B43" w14:textId="36192DD1" w:rsidR="00AB3E29" w:rsidRPr="00AB3E29" w:rsidRDefault="00AB3E29" w:rsidP="00AE4C8C">
            <w:pPr>
              <w:pStyle w:val="elementgraficznytabela"/>
              <w:spacing w:after="240"/>
              <w:jc w:val="center"/>
              <w:cnfStyle w:val="000000000000" w:firstRow="0" w:lastRow="0" w:firstColumn="0" w:lastColumn="0" w:oddVBand="0" w:evenVBand="0" w:oddHBand="0" w:evenHBand="0" w:firstRowFirstColumn="0" w:firstRowLastColumn="0" w:lastRowFirstColumn="0" w:lastRowLastColumn="0"/>
              <w:rPr>
                <w:rFonts w:cstheme="minorHAnsi"/>
                <w:b/>
                <w:szCs w:val="24"/>
              </w:rPr>
            </w:pPr>
            <w:r w:rsidRPr="00AB3E29">
              <w:rPr>
                <w:rFonts w:cstheme="minorHAnsi"/>
                <w:b/>
                <w:szCs w:val="24"/>
              </w:rPr>
              <w:t>Poziom podsta-wowy</w:t>
            </w:r>
          </w:p>
        </w:tc>
        <w:tc>
          <w:tcPr>
            <w:tcW w:w="1845" w:type="dxa"/>
            <w:gridSpan w:val="2"/>
            <w:shd w:val="clear" w:color="auto" w:fill="FFC000"/>
          </w:tcPr>
          <w:p w14:paraId="24A4A337" w14:textId="7EFF757A" w:rsidR="00AB3E29" w:rsidRPr="00AB3E29" w:rsidRDefault="00AB3E29" w:rsidP="00AE4C8C">
            <w:pPr>
              <w:pStyle w:val="elementgraficznytabela"/>
              <w:spacing w:after="240"/>
              <w:jc w:val="center"/>
              <w:cnfStyle w:val="000000000000" w:firstRow="0" w:lastRow="0" w:firstColumn="0" w:lastColumn="0" w:oddVBand="0" w:evenVBand="0" w:oddHBand="0" w:evenHBand="0" w:firstRowFirstColumn="0" w:firstRowLastColumn="0" w:lastRowFirstColumn="0" w:lastRowLastColumn="0"/>
              <w:rPr>
                <w:rFonts w:cstheme="minorHAnsi"/>
                <w:b/>
                <w:szCs w:val="24"/>
              </w:rPr>
            </w:pPr>
            <w:r w:rsidRPr="00AB3E29">
              <w:rPr>
                <w:rFonts w:cstheme="minorHAnsi"/>
                <w:b/>
                <w:szCs w:val="24"/>
              </w:rPr>
              <w:t>Poziom rozsze-rzony</w:t>
            </w:r>
          </w:p>
        </w:tc>
        <w:tc>
          <w:tcPr>
            <w:tcW w:w="1699" w:type="dxa"/>
            <w:gridSpan w:val="2"/>
            <w:shd w:val="clear" w:color="auto" w:fill="FFC000"/>
          </w:tcPr>
          <w:p w14:paraId="5B1641B5" w14:textId="294ABF42" w:rsidR="00AB3E29" w:rsidRPr="00AB3E29" w:rsidRDefault="00AB3E29" w:rsidP="00AE4C8C">
            <w:pPr>
              <w:pStyle w:val="elementgraficznytabela"/>
              <w:spacing w:after="240"/>
              <w:jc w:val="center"/>
              <w:cnfStyle w:val="000000000000" w:firstRow="0" w:lastRow="0" w:firstColumn="0" w:lastColumn="0" w:oddVBand="0" w:evenVBand="0" w:oddHBand="0" w:evenHBand="0" w:firstRowFirstColumn="0" w:firstRowLastColumn="0" w:lastRowFirstColumn="0" w:lastRowLastColumn="0"/>
              <w:rPr>
                <w:rFonts w:cstheme="minorHAnsi"/>
                <w:b/>
                <w:szCs w:val="24"/>
              </w:rPr>
            </w:pPr>
            <w:r w:rsidRPr="00AB3E29">
              <w:rPr>
                <w:rFonts w:cstheme="minorHAnsi"/>
                <w:b/>
                <w:szCs w:val="24"/>
              </w:rPr>
              <w:t>Poziom podsta-wowy</w:t>
            </w:r>
          </w:p>
        </w:tc>
        <w:tc>
          <w:tcPr>
            <w:tcW w:w="1844" w:type="dxa"/>
            <w:gridSpan w:val="2"/>
            <w:shd w:val="clear" w:color="auto" w:fill="FFC000"/>
          </w:tcPr>
          <w:p w14:paraId="7FE39697" w14:textId="33981D38" w:rsidR="00AB3E29" w:rsidRPr="00AB3E29" w:rsidRDefault="00AB3E29" w:rsidP="00AE4C8C">
            <w:pPr>
              <w:pStyle w:val="elementgraficznytabela"/>
              <w:spacing w:after="240"/>
              <w:jc w:val="center"/>
              <w:cnfStyle w:val="000000000000" w:firstRow="0" w:lastRow="0" w:firstColumn="0" w:lastColumn="0" w:oddVBand="0" w:evenVBand="0" w:oddHBand="0" w:evenHBand="0" w:firstRowFirstColumn="0" w:firstRowLastColumn="0" w:lastRowFirstColumn="0" w:lastRowLastColumn="0"/>
              <w:rPr>
                <w:rFonts w:cstheme="minorHAnsi"/>
                <w:b/>
                <w:szCs w:val="24"/>
              </w:rPr>
            </w:pPr>
            <w:r w:rsidRPr="00AB3E29">
              <w:rPr>
                <w:rFonts w:cstheme="minorHAnsi"/>
                <w:b/>
                <w:szCs w:val="24"/>
              </w:rPr>
              <w:t>Poziom rozsze-rzony</w:t>
            </w:r>
          </w:p>
        </w:tc>
        <w:tc>
          <w:tcPr>
            <w:tcW w:w="1701" w:type="dxa"/>
            <w:gridSpan w:val="2"/>
            <w:shd w:val="clear" w:color="auto" w:fill="FFC000"/>
          </w:tcPr>
          <w:p w14:paraId="591516E4" w14:textId="6DA5C9CE" w:rsidR="00AB3E29" w:rsidRPr="00AB3E29" w:rsidRDefault="00AB3E29" w:rsidP="00AE4C8C">
            <w:pPr>
              <w:pStyle w:val="elementgraficznytabela"/>
              <w:spacing w:after="240"/>
              <w:jc w:val="center"/>
              <w:cnfStyle w:val="000000000000" w:firstRow="0" w:lastRow="0" w:firstColumn="0" w:lastColumn="0" w:oddVBand="0" w:evenVBand="0" w:oddHBand="0" w:evenHBand="0" w:firstRowFirstColumn="0" w:firstRowLastColumn="0" w:lastRowFirstColumn="0" w:lastRowLastColumn="0"/>
              <w:rPr>
                <w:rFonts w:cstheme="minorHAnsi"/>
                <w:b/>
                <w:szCs w:val="24"/>
              </w:rPr>
            </w:pPr>
            <w:r w:rsidRPr="00AB3E29">
              <w:rPr>
                <w:rFonts w:cstheme="minorHAnsi"/>
                <w:b/>
                <w:szCs w:val="24"/>
              </w:rPr>
              <w:t>Poziom podsta-wowy</w:t>
            </w:r>
          </w:p>
        </w:tc>
        <w:tc>
          <w:tcPr>
            <w:tcW w:w="1841" w:type="dxa"/>
            <w:gridSpan w:val="2"/>
            <w:shd w:val="clear" w:color="auto" w:fill="FFC000"/>
          </w:tcPr>
          <w:p w14:paraId="191C025F" w14:textId="0C3BC339" w:rsidR="00AB3E29" w:rsidRPr="00AB3E29" w:rsidRDefault="00AB3E29" w:rsidP="00AE4C8C">
            <w:pPr>
              <w:pStyle w:val="elementgraficznytabela"/>
              <w:spacing w:after="240"/>
              <w:jc w:val="center"/>
              <w:cnfStyle w:val="000000000000" w:firstRow="0" w:lastRow="0" w:firstColumn="0" w:lastColumn="0" w:oddVBand="0" w:evenVBand="0" w:oddHBand="0" w:evenHBand="0" w:firstRowFirstColumn="0" w:firstRowLastColumn="0" w:lastRowFirstColumn="0" w:lastRowLastColumn="0"/>
              <w:rPr>
                <w:rFonts w:cstheme="minorHAnsi"/>
                <w:b/>
                <w:szCs w:val="24"/>
              </w:rPr>
            </w:pPr>
            <w:r w:rsidRPr="00AB3E29">
              <w:rPr>
                <w:rFonts w:cstheme="minorHAnsi"/>
                <w:b/>
                <w:szCs w:val="24"/>
              </w:rPr>
              <w:t>Poziom rozsze-rzony</w:t>
            </w:r>
          </w:p>
        </w:tc>
        <w:tc>
          <w:tcPr>
            <w:tcW w:w="1984" w:type="dxa"/>
            <w:gridSpan w:val="2"/>
            <w:vMerge/>
            <w:shd w:val="clear" w:color="auto" w:fill="FFC000"/>
          </w:tcPr>
          <w:p w14:paraId="6293AC4F" w14:textId="77777777" w:rsidR="00AB3E29" w:rsidRPr="00AB3E29" w:rsidRDefault="00AB3E29" w:rsidP="00AE4C8C">
            <w:pPr>
              <w:pStyle w:val="elementgraficznytabela"/>
              <w:spacing w:after="240"/>
              <w:jc w:val="center"/>
              <w:cnfStyle w:val="000000000000" w:firstRow="0" w:lastRow="0" w:firstColumn="0" w:lastColumn="0" w:oddVBand="0" w:evenVBand="0" w:oddHBand="0" w:evenHBand="0" w:firstRowFirstColumn="0" w:firstRowLastColumn="0" w:lastRowFirstColumn="0" w:lastRowLastColumn="0"/>
              <w:rPr>
                <w:rFonts w:cstheme="minorHAnsi"/>
                <w:b/>
                <w:szCs w:val="24"/>
              </w:rPr>
            </w:pPr>
          </w:p>
        </w:tc>
      </w:tr>
      <w:tr w:rsidR="00AB3E29" w:rsidRPr="00AB3E29" w14:paraId="031E4DCD" w14:textId="77777777" w:rsidTr="00943A9D">
        <w:trPr>
          <w:trHeight w:val="1731"/>
        </w:trPr>
        <w:tc>
          <w:tcPr>
            <w:cnfStyle w:val="001000000000" w:firstRow="0" w:lastRow="0" w:firstColumn="1" w:lastColumn="0" w:oddVBand="0" w:evenVBand="0" w:oddHBand="0" w:evenHBand="0" w:firstRowFirstColumn="0" w:firstRowLastColumn="0" w:lastRowFirstColumn="0" w:lastRowLastColumn="0"/>
            <w:tcW w:w="1049" w:type="dxa"/>
            <w:vMerge/>
            <w:shd w:val="clear" w:color="auto" w:fill="FFC000"/>
          </w:tcPr>
          <w:p w14:paraId="5F8EA021" w14:textId="77777777" w:rsidR="00845AEA" w:rsidRPr="00AB3E29" w:rsidRDefault="00845AEA" w:rsidP="00733091">
            <w:pPr>
              <w:pStyle w:val="elementgraficznytabela"/>
              <w:spacing w:after="240"/>
              <w:rPr>
                <w:rFonts w:cstheme="minorHAnsi"/>
                <w:szCs w:val="24"/>
                <w:highlight w:val="yellow"/>
              </w:rPr>
            </w:pPr>
          </w:p>
        </w:tc>
        <w:tc>
          <w:tcPr>
            <w:tcW w:w="932" w:type="dxa"/>
            <w:shd w:val="clear" w:color="auto" w:fill="FFC000"/>
            <w:textDirection w:val="btLr"/>
          </w:tcPr>
          <w:p w14:paraId="7DA1EBD3" w14:textId="77777777" w:rsidR="00845AEA" w:rsidRPr="00AB3E29" w:rsidRDefault="00845AEA" w:rsidP="00AE4C8C">
            <w:pPr>
              <w:pStyle w:val="elementgraficznytabela"/>
              <w:spacing w:after="240"/>
              <w:jc w:val="center"/>
              <w:cnfStyle w:val="000000000000" w:firstRow="0" w:lastRow="0" w:firstColumn="0" w:lastColumn="0" w:oddVBand="0" w:evenVBand="0" w:oddHBand="0" w:evenHBand="0" w:firstRowFirstColumn="0" w:firstRowLastColumn="0" w:lastRowFirstColumn="0" w:lastRowLastColumn="0"/>
              <w:rPr>
                <w:rFonts w:cstheme="minorHAnsi"/>
                <w:b/>
                <w:szCs w:val="24"/>
              </w:rPr>
            </w:pPr>
            <w:r w:rsidRPr="00AB3E29">
              <w:rPr>
                <w:rFonts w:cstheme="minorHAnsi"/>
                <w:b/>
                <w:szCs w:val="24"/>
              </w:rPr>
              <w:t>Średnia wojewódzka</w:t>
            </w:r>
          </w:p>
        </w:tc>
        <w:tc>
          <w:tcPr>
            <w:tcW w:w="992" w:type="dxa"/>
            <w:shd w:val="clear" w:color="auto" w:fill="FFC000"/>
            <w:textDirection w:val="btLr"/>
          </w:tcPr>
          <w:p w14:paraId="47E0F5B0" w14:textId="77777777" w:rsidR="00845AEA" w:rsidRPr="00AB3E29" w:rsidRDefault="00845AEA" w:rsidP="00AE4C8C">
            <w:pPr>
              <w:pStyle w:val="elementgraficznytabela"/>
              <w:spacing w:after="240"/>
              <w:jc w:val="center"/>
              <w:cnfStyle w:val="000000000000" w:firstRow="0" w:lastRow="0" w:firstColumn="0" w:lastColumn="0" w:oddVBand="0" w:evenVBand="0" w:oddHBand="0" w:evenHBand="0" w:firstRowFirstColumn="0" w:firstRowLastColumn="0" w:lastRowFirstColumn="0" w:lastRowLastColumn="0"/>
              <w:rPr>
                <w:rFonts w:cstheme="minorHAnsi"/>
                <w:b/>
                <w:szCs w:val="24"/>
              </w:rPr>
            </w:pPr>
            <w:r w:rsidRPr="00AB3E29">
              <w:rPr>
                <w:rFonts w:cstheme="minorHAnsi"/>
                <w:b/>
                <w:szCs w:val="24"/>
              </w:rPr>
              <w:t>Średnia powiatowa</w:t>
            </w:r>
          </w:p>
        </w:tc>
        <w:tc>
          <w:tcPr>
            <w:tcW w:w="993" w:type="dxa"/>
            <w:shd w:val="clear" w:color="auto" w:fill="FFC000"/>
            <w:textDirection w:val="btLr"/>
          </w:tcPr>
          <w:p w14:paraId="1C3E3A7B" w14:textId="77777777" w:rsidR="00845AEA" w:rsidRPr="00AB3E29" w:rsidRDefault="00845AEA" w:rsidP="00AE4C8C">
            <w:pPr>
              <w:pStyle w:val="elementgraficznytabela"/>
              <w:spacing w:after="240"/>
              <w:jc w:val="center"/>
              <w:cnfStyle w:val="000000000000" w:firstRow="0" w:lastRow="0" w:firstColumn="0" w:lastColumn="0" w:oddVBand="0" w:evenVBand="0" w:oddHBand="0" w:evenHBand="0" w:firstRowFirstColumn="0" w:firstRowLastColumn="0" w:lastRowFirstColumn="0" w:lastRowLastColumn="0"/>
              <w:rPr>
                <w:rFonts w:cstheme="minorHAnsi"/>
                <w:b/>
                <w:szCs w:val="24"/>
              </w:rPr>
            </w:pPr>
            <w:r w:rsidRPr="00AB3E29">
              <w:rPr>
                <w:rFonts w:cstheme="minorHAnsi"/>
                <w:b/>
                <w:szCs w:val="24"/>
              </w:rPr>
              <w:t>Średnia wojewódzka</w:t>
            </w:r>
          </w:p>
        </w:tc>
        <w:tc>
          <w:tcPr>
            <w:tcW w:w="852" w:type="dxa"/>
            <w:shd w:val="clear" w:color="auto" w:fill="FFC000"/>
            <w:textDirection w:val="btLr"/>
          </w:tcPr>
          <w:p w14:paraId="1A56367C" w14:textId="77777777" w:rsidR="00845AEA" w:rsidRPr="00AB3E29" w:rsidRDefault="00845AEA" w:rsidP="00AE4C8C">
            <w:pPr>
              <w:pStyle w:val="elementgraficznytabela"/>
              <w:spacing w:after="240"/>
              <w:jc w:val="center"/>
              <w:cnfStyle w:val="000000000000" w:firstRow="0" w:lastRow="0" w:firstColumn="0" w:lastColumn="0" w:oddVBand="0" w:evenVBand="0" w:oddHBand="0" w:evenHBand="0" w:firstRowFirstColumn="0" w:firstRowLastColumn="0" w:lastRowFirstColumn="0" w:lastRowLastColumn="0"/>
              <w:rPr>
                <w:rFonts w:cstheme="minorHAnsi"/>
                <w:b/>
                <w:szCs w:val="24"/>
              </w:rPr>
            </w:pPr>
            <w:r w:rsidRPr="00AB3E29">
              <w:rPr>
                <w:rFonts w:cstheme="minorHAnsi"/>
                <w:b/>
                <w:szCs w:val="24"/>
              </w:rPr>
              <w:t>Średnia powiatowa</w:t>
            </w:r>
          </w:p>
        </w:tc>
        <w:tc>
          <w:tcPr>
            <w:tcW w:w="849" w:type="dxa"/>
            <w:shd w:val="clear" w:color="auto" w:fill="FFC000"/>
            <w:textDirection w:val="btLr"/>
          </w:tcPr>
          <w:p w14:paraId="7874F68E" w14:textId="77777777" w:rsidR="00845AEA" w:rsidRPr="00AB3E29" w:rsidRDefault="00845AEA" w:rsidP="00AE4C8C">
            <w:pPr>
              <w:pStyle w:val="elementgraficznytabela"/>
              <w:spacing w:after="240"/>
              <w:jc w:val="center"/>
              <w:cnfStyle w:val="000000000000" w:firstRow="0" w:lastRow="0" w:firstColumn="0" w:lastColumn="0" w:oddVBand="0" w:evenVBand="0" w:oddHBand="0" w:evenHBand="0" w:firstRowFirstColumn="0" w:firstRowLastColumn="0" w:lastRowFirstColumn="0" w:lastRowLastColumn="0"/>
              <w:rPr>
                <w:rFonts w:cstheme="minorHAnsi"/>
                <w:b/>
                <w:szCs w:val="24"/>
              </w:rPr>
            </w:pPr>
            <w:r w:rsidRPr="00AB3E29">
              <w:rPr>
                <w:rFonts w:cstheme="minorHAnsi"/>
                <w:b/>
                <w:szCs w:val="24"/>
              </w:rPr>
              <w:t>Średnia wojewódzka</w:t>
            </w:r>
          </w:p>
        </w:tc>
        <w:tc>
          <w:tcPr>
            <w:tcW w:w="850" w:type="dxa"/>
            <w:shd w:val="clear" w:color="auto" w:fill="FFC000"/>
            <w:textDirection w:val="btLr"/>
          </w:tcPr>
          <w:p w14:paraId="3A2398AD" w14:textId="77777777" w:rsidR="00845AEA" w:rsidRPr="00AB3E29" w:rsidRDefault="00845AEA" w:rsidP="00AE4C8C">
            <w:pPr>
              <w:pStyle w:val="elementgraficznytabela"/>
              <w:spacing w:after="240"/>
              <w:jc w:val="center"/>
              <w:cnfStyle w:val="000000000000" w:firstRow="0" w:lastRow="0" w:firstColumn="0" w:lastColumn="0" w:oddVBand="0" w:evenVBand="0" w:oddHBand="0" w:evenHBand="0" w:firstRowFirstColumn="0" w:firstRowLastColumn="0" w:lastRowFirstColumn="0" w:lastRowLastColumn="0"/>
              <w:rPr>
                <w:rFonts w:cstheme="minorHAnsi"/>
                <w:b/>
                <w:szCs w:val="24"/>
              </w:rPr>
            </w:pPr>
            <w:r w:rsidRPr="00AB3E29">
              <w:rPr>
                <w:rFonts w:cstheme="minorHAnsi"/>
                <w:b/>
                <w:szCs w:val="24"/>
              </w:rPr>
              <w:t>Średnia powiatowa</w:t>
            </w:r>
          </w:p>
        </w:tc>
        <w:tc>
          <w:tcPr>
            <w:tcW w:w="851" w:type="dxa"/>
            <w:shd w:val="clear" w:color="auto" w:fill="FFC000"/>
            <w:textDirection w:val="btLr"/>
          </w:tcPr>
          <w:p w14:paraId="02A4FEB1" w14:textId="77777777" w:rsidR="00845AEA" w:rsidRPr="00AB3E29" w:rsidRDefault="00845AEA" w:rsidP="00AE4C8C">
            <w:pPr>
              <w:pStyle w:val="elementgraficznytabela"/>
              <w:spacing w:after="240"/>
              <w:jc w:val="center"/>
              <w:cnfStyle w:val="000000000000" w:firstRow="0" w:lastRow="0" w:firstColumn="0" w:lastColumn="0" w:oddVBand="0" w:evenVBand="0" w:oddHBand="0" w:evenHBand="0" w:firstRowFirstColumn="0" w:firstRowLastColumn="0" w:lastRowFirstColumn="0" w:lastRowLastColumn="0"/>
              <w:rPr>
                <w:rFonts w:cstheme="minorHAnsi"/>
                <w:b/>
                <w:szCs w:val="24"/>
              </w:rPr>
            </w:pPr>
            <w:r w:rsidRPr="00AB3E29">
              <w:rPr>
                <w:rFonts w:cstheme="minorHAnsi"/>
                <w:b/>
                <w:szCs w:val="24"/>
              </w:rPr>
              <w:t>Średnia wojewódzka</w:t>
            </w:r>
          </w:p>
        </w:tc>
        <w:tc>
          <w:tcPr>
            <w:tcW w:w="993" w:type="dxa"/>
            <w:shd w:val="clear" w:color="auto" w:fill="FFC000"/>
            <w:textDirection w:val="btLr"/>
          </w:tcPr>
          <w:p w14:paraId="0ECB779D" w14:textId="77777777" w:rsidR="00845AEA" w:rsidRPr="00AB3E29" w:rsidRDefault="00845AEA" w:rsidP="00AE4C8C">
            <w:pPr>
              <w:pStyle w:val="elementgraficznytabela"/>
              <w:spacing w:after="240"/>
              <w:jc w:val="center"/>
              <w:cnfStyle w:val="000000000000" w:firstRow="0" w:lastRow="0" w:firstColumn="0" w:lastColumn="0" w:oddVBand="0" w:evenVBand="0" w:oddHBand="0" w:evenHBand="0" w:firstRowFirstColumn="0" w:firstRowLastColumn="0" w:lastRowFirstColumn="0" w:lastRowLastColumn="0"/>
              <w:rPr>
                <w:rFonts w:cstheme="minorHAnsi"/>
                <w:b/>
                <w:szCs w:val="24"/>
              </w:rPr>
            </w:pPr>
            <w:r w:rsidRPr="00AB3E29">
              <w:rPr>
                <w:rFonts w:cstheme="minorHAnsi"/>
                <w:b/>
                <w:szCs w:val="24"/>
              </w:rPr>
              <w:t>Średnia powiatowa</w:t>
            </w:r>
          </w:p>
        </w:tc>
        <w:tc>
          <w:tcPr>
            <w:tcW w:w="850" w:type="dxa"/>
            <w:shd w:val="clear" w:color="auto" w:fill="FFC000"/>
            <w:textDirection w:val="btLr"/>
          </w:tcPr>
          <w:p w14:paraId="2EB87511" w14:textId="77777777" w:rsidR="00845AEA" w:rsidRPr="00AB3E29" w:rsidRDefault="00845AEA" w:rsidP="00AE4C8C">
            <w:pPr>
              <w:pStyle w:val="elementgraficznytabela"/>
              <w:spacing w:after="240"/>
              <w:jc w:val="center"/>
              <w:cnfStyle w:val="000000000000" w:firstRow="0" w:lastRow="0" w:firstColumn="0" w:lastColumn="0" w:oddVBand="0" w:evenVBand="0" w:oddHBand="0" w:evenHBand="0" w:firstRowFirstColumn="0" w:firstRowLastColumn="0" w:lastRowFirstColumn="0" w:lastRowLastColumn="0"/>
              <w:rPr>
                <w:rFonts w:cstheme="minorHAnsi"/>
                <w:b/>
                <w:szCs w:val="24"/>
              </w:rPr>
            </w:pPr>
            <w:r w:rsidRPr="00AB3E29">
              <w:rPr>
                <w:rFonts w:cstheme="minorHAnsi"/>
                <w:b/>
                <w:szCs w:val="24"/>
              </w:rPr>
              <w:t>Średnia wojewódzka</w:t>
            </w:r>
          </w:p>
        </w:tc>
        <w:tc>
          <w:tcPr>
            <w:tcW w:w="851" w:type="dxa"/>
            <w:shd w:val="clear" w:color="auto" w:fill="FFC000"/>
            <w:textDirection w:val="btLr"/>
          </w:tcPr>
          <w:p w14:paraId="756FCC0A" w14:textId="77777777" w:rsidR="00845AEA" w:rsidRPr="00AB3E29" w:rsidRDefault="00845AEA" w:rsidP="00AE4C8C">
            <w:pPr>
              <w:pStyle w:val="elementgraficznytabela"/>
              <w:spacing w:after="240"/>
              <w:jc w:val="center"/>
              <w:cnfStyle w:val="000000000000" w:firstRow="0" w:lastRow="0" w:firstColumn="0" w:lastColumn="0" w:oddVBand="0" w:evenVBand="0" w:oddHBand="0" w:evenHBand="0" w:firstRowFirstColumn="0" w:firstRowLastColumn="0" w:lastRowFirstColumn="0" w:lastRowLastColumn="0"/>
              <w:rPr>
                <w:rFonts w:cstheme="minorHAnsi"/>
                <w:b/>
                <w:szCs w:val="24"/>
              </w:rPr>
            </w:pPr>
            <w:r w:rsidRPr="00AB3E29">
              <w:rPr>
                <w:rFonts w:cstheme="minorHAnsi"/>
                <w:b/>
                <w:szCs w:val="24"/>
              </w:rPr>
              <w:t>Średnia powiatowa</w:t>
            </w:r>
          </w:p>
        </w:tc>
        <w:tc>
          <w:tcPr>
            <w:tcW w:w="849" w:type="dxa"/>
            <w:shd w:val="clear" w:color="auto" w:fill="FFC000"/>
            <w:textDirection w:val="btLr"/>
          </w:tcPr>
          <w:p w14:paraId="5CF384AE" w14:textId="77777777" w:rsidR="00845AEA" w:rsidRPr="00AB3E29" w:rsidRDefault="00845AEA" w:rsidP="00AE4C8C">
            <w:pPr>
              <w:pStyle w:val="elementgraficznytabela"/>
              <w:spacing w:after="240"/>
              <w:jc w:val="center"/>
              <w:cnfStyle w:val="000000000000" w:firstRow="0" w:lastRow="0" w:firstColumn="0" w:lastColumn="0" w:oddVBand="0" w:evenVBand="0" w:oddHBand="0" w:evenHBand="0" w:firstRowFirstColumn="0" w:firstRowLastColumn="0" w:lastRowFirstColumn="0" w:lastRowLastColumn="0"/>
              <w:rPr>
                <w:rFonts w:cstheme="minorHAnsi"/>
                <w:b/>
                <w:szCs w:val="24"/>
              </w:rPr>
            </w:pPr>
            <w:r w:rsidRPr="00AB3E29">
              <w:rPr>
                <w:rFonts w:cstheme="minorHAnsi"/>
                <w:b/>
                <w:szCs w:val="24"/>
              </w:rPr>
              <w:t>Średnia wojewódzka</w:t>
            </w:r>
          </w:p>
        </w:tc>
        <w:tc>
          <w:tcPr>
            <w:tcW w:w="992" w:type="dxa"/>
            <w:shd w:val="clear" w:color="auto" w:fill="FFC000"/>
            <w:textDirection w:val="btLr"/>
          </w:tcPr>
          <w:p w14:paraId="0535FA88" w14:textId="77777777" w:rsidR="00845AEA" w:rsidRPr="00AB3E29" w:rsidRDefault="00845AEA" w:rsidP="00AE4C8C">
            <w:pPr>
              <w:pStyle w:val="elementgraficznytabela"/>
              <w:spacing w:after="240"/>
              <w:jc w:val="center"/>
              <w:cnfStyle w:val="000000000000" w:firstRow="0" w:lastRow="0" w:firstColumn="0" w:lastColumn="0" w:oddVBand="0" w:evenVBand="0" w:oddHBand="0" w:evenHBand="0" w:firstRowFirstColumn="0" w:firstRowLastColumn="0" w:lastRowFirstColumn="0" w:lastRowLastColumn="0"/>
              <w:rPr>
                <w:rFonts w:cstheme="minorHAnsi"/>
                <w:b/>
                <w:szCs w:val="24"/>
              </w:rPr>
            </w:pPr>
            <w:r w:rsidRPr="00AB3E29">
              <w:rPr>
                <w:rFonts w:cstheme="minorHAnsi"/>
                <w:b/>
                <w:szCs w:val="24"/>
              </w:rPr>
              <w:t>Średnia powiatowa</w:t>
            </w:r>
          </w:p>
        </w:tc>
        <w:tc>
          <w:tcPr>
            <w:tcW w:w="993" w:type="dxa"/>
            <w:shd w:val="clear" w:color="auto" w:fill="FFC000"/>
            <w:textDirection w:val="btLr"/>
          </w:tcPr>
          <w:p w14:paraId="02D8D56E" w14:textId="77777777" w:rsidR="00845AEA" w:rsidRPr="00AB3E29" w:rsidRDefault="00845AEA" w:rsidP="00AE4C8C">
            <w:pPr>
              <w:pStyle w:val="elementgraficznytabela"/>
              <w:spacing w:after="240"/>
              <w:jc w:val="center"/>
              <w:cnfStyle w:val="000000000000" w:firstRow="0" w:lastRow="0" w:firstColumn="0" w:lastColumn="0" w:oddVBand="0" w:evenVBand="0" w:oddHBand="0" w:evenHBand="0" w:firstRowFirstColumn="0" w:firstRowLastColumn="0" w:lastRowFirstColumn="0" w:lastRowLastColumn="0"/>
              <w:rPr>
                <w:rFonts w:cstheme="minorHAnsi"/>
                <w:b/>
                <w:szCs w:val="24"/>
              </w:rPr>
            </w:pPr>
            <w:r w:rsidRPr="00AB3E29">
              <w:rPr>
                <w:rFonts w:cstheme="minorHAnsi"/>
                <w:b/>
                <w:szCs w:val="24"/>
              </w:rPr>
              <w:t>Średnia wojewódzka</w:t>
            </w:r>
          </w:p>
        </w:tc>
        <w:tc>
          <w:tcPr>
            <w:tcW w:w="991" w:type="dxa"/>
            <w:shd w:val="clear" w:color="auto" w:fill="FFC000"/>
            <w:textDirection w:val="btLr"/>
          </w:tcPr>
          <w:p w14:paraId="53807BE8" w14:textId="77777777" w:rsidR="00845AEA" w:rsidRPr="00AB3E29" w:rsidRDefault="00845AEA" w:rsidP="00AE4C8C">
            <w:pPr>
              <w:pStyle w:val="elementgraficznytabela"/>
              <w:spacing w:after="240"/>
              <w:jc w:val="center"/>
              <w:cnfStyle w:val="000000000000" w:firstRow="0" w:lastRow="0" w:firstColumn="0" w:lastColumn="0" w:oddVBand="0" w:evenVBand="0" w:oddHBand="0" w:evenHBand="0" w:firstRowFirstColumn="0" w:firstRowLastColumn="0" w:lastRowFirstColumn="0" w:lastRowLastColumn="0"/>
              <w:rPr>
                <w:rFonts w:cstheme="minorHAnsi"/>
                <w:b/>
                <w:szCs w:val="24"/>
              </w:rPr>
            </w:pPr>
            <w:r w:rsidRPr="00AB3E29">
              <w:rPr>
                <w:rFonts w:cstheme="minorHAnsi"/>
                <w:b/>
                <w:szCs w:val="24"/>
              </w:rPr>
              <w:t>Średnia powiatowa</w:t>
            </w:r>
          </w:p>
        </w:tc>
      </w:tr>
      <w:tr w:rsidR="00AB3E29" w:rsidRPr="00AB3E29" w14:paraId="65115D11" w14:textId="77777777" w:rsidTr="00AB3E29">
        <w:trPr>
          <w:trHeight w:val="437"/>
        </w:trPr>
        <w:tc>
          <w:tcPr>
            <w:cnfStyle w:val="001000000000" w:firstRow="0" w:lastRow="0" w:firstColumn="1" w:lastColumn="0" w:oddVBand="0" w:evenVBand="0" w:oddHBand="0" w:evenHBand="0" w:firstRowFirstColumn="0" w:firstRowLastColumn="0" w:lastRowFirstColumn="0" w:lastRowLastColumn="0"/>
            <w:tcW w:w="1049" w:type="dxa"/>
          </w:tcPr>
          <w:p w14:paraId="3C9B65C6" w14:textId="77777777" w:rsidR="00845AEA" w:rsidRPr="00AB3E29" w:rsidRDefault="00845AEA" w:rsidP="00733091">
            <w:pPr>
              <w:pStyle w:val="elementgraficznytabela"/>
              <w:spacing w:after="240"/>
              <w:rPr>
                <w:rFonts w:cstheme="minorHAnsi"/>
                <w:szCs w:val="24"/>
              </w:rPr>
            </w:pPr>
            <w:r w:rsidRPr="00AB3E29">
              <w:rPr>
                <w:rFonts w:cstheme="minorHAnsi"/>
                <w:szCs w:val="24"/>
              </w:rPr>
              <w:t>Piski</w:t>
            </w:r>
          </w:p>
        </w:tc>
        <w:tc>
          <w:tcPr>
            <w:tcW w:w="932" w:type="dxa"/>
            <w:vMerge w:val="restart"/>
          </w:tcPr>
          <w:p w14:paraId="309C2E88" w14:textId="77777777" w:rsidR="00845AEA" w:rsidRPr="00B95EDB" w:rsidRDefault="00845AEA"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r w:rsidRPr="00B95EDB">
              <w:rPr>
                <w:rFonts w:cstheme="minorHAnsi"/>
                <w:szCs w:val="24"/>
              </w:rPr>
              <w:t>48%</w:t>
            </w:r>
          </w:p>
        </w:tc>
        <w:tc>
          <w:tcPr>
            <w:tcW w:w="992" w:type="dxa"/>
          </w:tcPr>
          <w:p w14:paraId="72B1DA77" w14:textId="77777777" w:rsidR="00845AEA" w:rsidRPr="00B95EDB" w:rsidRDefault="00845AEA"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r w:rsidRPr="00B95EDB">
              <w:rPr>
                <w:rFonts w:cstheme="minorHAnsi"/>
                <w:szCs w:val="24"/>
              </w:rPr>
              <w:t>41,8%</w:t>
            </w:r>
          </w:p>
        </w:tc>
        <w:tc>
          <w:tcPr>
            <w:tcW w:w="993" w:type="dxa"/>
            <w:vMerge w:val="restart"/>
          </w:tcPr>
          <w:p w14:paraId="2C16F6E0" w14:textId="77777777" w:rsidR="00845AEA" w:rsidRPr="00B95EDB" w:rsidRDefault="00845AEA"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r w:rsidRPr="00B95EDB">
              <w:rPr>
                <w:rFonts w:cstheme="minorHAnsi"/>
                <w:szCs w:val="24"/>
              </w:rPr>
              <w:t>49%</w:t>
            </w:r>
          </w:p>
        </w:tc>
        <w:tc>
          <w:tcPr>
            <w:tcW w:w="852" w:type="dxa"/>
          </w:tcPr>
          <w:p w14:paraId="0809BBBB" w14:textId="77777777" w:rsidR="00845AEA" w:rsidRPr="00B95EDB" w:rsidRDefault="00845AEA"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r w:rsidRPr="00B95EDB">
              <w:rPr>
                <w:rFonts w:cstheme="minorHAnsi"/>
                <w:szCs w:val="24"/>
              </w:rPr>
              <w:t>38,4%</w:t>
            </w:r>
          </w:p>
        </w:tc>
        <w:tc>
          <w:tcPr>
            <w:tcW w:w="849" w:type="dxa"/>
            <w:vMerge w:val="restart"/>
          </w:tcPr>
          <w:p w14:paraId="7873ABEE" w14:textId="77777777" w:rsidR="00845AEA" w:rsidRPr="00B95EDB" w:rsidRDefault="00845AEA"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r w:rsidRPr="00B95EDB">
              <w:rPr>
                <w:rFonts w:cstheme="minorHAnsi"/>
                <w:szCs w:val="24"/>
              </w:rPr>
              <w:t>49%</w:t>
            </w:r>
          </w:p>
        </w:tc>
        <w:tc>
          <w:tcPr>
            <w:tcW w:w="850" w:type="dxa"/>
          </w:tcPr>
          <w:p w14:paraId="0897AFBE" w14:textId="77777777" w:rsidR="00845AEA" w:rsidRPr="00B95EDB" w:rsidRDefault="00845AEA"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r w:rsidRPr="00B95EDB">
              <w:rPr>
                <w:rFonts w:cstheme="minorHAnsi"/>
                <w:szCs w:val="24"/>
              </w:rPr>
              <w:t>44,2%</w:t>
            </w:r>
          </w:p>
        </w:tc>
        <w:tc>
          <w:tcPr>
            <w:tcW w:w="851" w:type="dxa"/>
            <w:vMerge w:val="restart"/>
          </w:tcPr>
          <w:p w14:paraId="3E3DBD40" w14:textId="77777777" w:rsidR="00845AEA" w:rsidRPr="00B95EDB" w:rsidRDefault="00845AEA"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r w:rsidRPr="00B95EDB">
              <w:rPr>
                <w:rFonts w:cstheme="minorHAnsi"/>
                <w:szCs w:val="24"/>
              </w:rPr>
              <w:t>28%</w:t>
            </w:r>
          </w:p>
        </w:tc>
        <w:tc>
          <w:tcPr>
            <w:tcW w:w="993" w:type="dxa"/>
          </w:tcPr>
          <w:p w14:paraId="6192270D" w14:textId="77777777" w:rsidR="00845AEA" w:rsidRPr="00B95EDB" w:rsidRDefault="00845AEA"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r w:rsidRPr="00B95EDB">
              <w:rPr>
                <w:rFonts w:cstheme="minorHAnsi"/>
                <w:szCs w:val="24"/>
              </w:rPr>
              <w:t>21,9%</w:t>
            </w:r>
          </w:p>
        </w:tc>
        <w:tc>
          <w:tcPr>
            <w:tcW w:w="850" w:type="dxa"/>
            <w:vMerge w:val="restart"/>
          </w:tcPr>
          <w:p w14:paraId="3EF0FFA8" w14:textId="77777777" w:rsidR="00845AEA" w:rsidRPr="00B95EDB" w:rsidRDefault="00845AEA"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r w:rsidRPr="00B95EDB">
              <w:rPr>
                <w:rFonts w:cstheme="minorHAnsi"/>
                <w:szCs w:val="24"/>
              </w:rPr>
              <w:t>69%</w:t>
            </w:r>
          </w:p>
        </w:tc>
        <w:tc>
          <w:tcPr>
            <w:tcW w:w="851" w:type="dxa"/>
          </w:tcPr>
          <w:p w14:paraId="3E8C9304" w14:textId="77777777" w:rsidR="00845AEA" w:rsidRPr="00B95EDB" w:rsidRDefault="00845AEA" w:rsidP="009B403E">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r w:rsidRPr="00B95EDB">
              <w:rPr>
                <w:rFonts w:cstheme="minorHAnsi"/>
                <w:szCs w:val="24"/>
              </w:rPr>
              <w:t>61,7%</w:t>
            </w:r>
          </w:p>
        </w:tc>
        <w:tc>
          <w:tcPr>
            <w:tcW w:w="849" w:type="dxa"/>
            <w:vMerge w:val="restart"/>
          </w:tcPr>
          <w:p w14:paraId="31F0E921" w14:textId="77777777" w:rsidR="00845AEA" w:rsidRPr="00B95EDB" w:rsidRDefault="00845AEA"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r w:rsidRPr="00B95EDB">
              <w:rPr>
                <w:rFonts w:cstheme="minorHAnsi"/>
                <w:szCs w:val="24"/>
              </w:rPr>
              <w:t>55%</w:t>
            </w:r>
          </w:p>
        </w:tc>
        <w:tc>
          <w:tcPr>
            <w:tcW w:w="992" w:type="dxa"/>
          </w:tcPr>
          <w:p w14:paraId="022C6751" w14:textId="77777777" w:rsidR="00845AEA" w:rsidRPr="00B95EDB" w:rsidRDefault="00845AEA" w:rsidP="009B403E">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r w:rsidRPr="00B95EDB">
              <w:rPr>
                <w:rFonts w:cstheme="minorHAnsi"/>
                <w:szCs w:val="24"/>
              </w:rPr>
              <w:t>52,4%</w:t>
            </w:r>
          </w:p>
        </w:tc>
        <w:tc>
          <w:tcPr>
            <w:tcW w:w="993" w:type="dxa"/>
            <w:vMerge w:val="restart"/>
          </w:tcPr>
          <w:p w14:paraId="7C84371C" w14:textId="5506EB39" w:rsidR="00845AEA" w:rsidRPr="00B95EDB" w:rsidRDefault="00B95EDB"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r>
              <w:rPr>
                <w:rFonts w:cstheme="minorHAnsi"/>
                <w:szCs w:val="24"/>
              </w:rPr>
              <w:t>76,95</w:t>
            </w:r>
            <w:r w:rsidR="00845AEA" w:rsidRPr="00B95EDB">
              <w:rPr>
                <w:rFonts w:cstheme="minorHAnsi"/>
                <w:szCs w:val="24"/>
              </w:rPr>
              <w:t>%</w:t>
            </w:r>
          </w:p>
        </w:tc>
        <w:tc>
          <w:tcPr>
            <w:tcW w:w="991" w:type="dxa"/>
          </w:tcPr>
          <w:p w14:paraId="77431F36" w14:textId="1E405B96" w:rsidR="00845AEA" w:rsidRPr="00B95EDB" w:rsidRDefault="007303BC" w:rsidP="009B403E">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r w:rsidRPr="00B95EDB">
              <w:rPr>
                <w:rFonts w:cstheme="minorHAnsi"/>
                <w:szCs w:val="24"/>
              </w:rPr>
              <w:t>75%</w:t>
            </w:r>
          </w:p>
        </w:tc>
      </w:tr>
      <w:tr w:rsidR="00AB3E29" w:rsidRPr="00AB3E29" w14:paraId="6E722AA5" w14:textId="77777777" w:rsidTr="00AB3E29">
        <w:tc>
          <w:tcPr>
            <w:cnfStyle w:val="001000000000" w:firstRow="0" w:lastRow="0" w:firstColumn="1" w:lastColumn="0" w:oddVBand="0" w:evenVBand="0" w:oddHBand="0" w:evenHBand="0" w:firstRowFirstColumn="0" w:firstRowLastColumn="0" w:lastRowFirstColumn="0" w:lastRowLastColumn="0"/>
            <w:tcW w:w="1049" w:type="dxa"/>
          </w:tcPr>
          <w:p w14:paraId="662C3827" w14:textId="77777777" w:rsidR="00845AEA" w:rsidRPr="00AB3E29" w:rsidRDefault="00845AEA" w:rsidP="00733091">
            <w:pPr>
              <w:pStyle w:val="elementgraficznytabela"/>
              <w:spacing w:after="240"/>
              <w:rPr>
                <w:rFonts w:cstheme="minorHAnsi"/>
                <w:szCs w:val="24"/>
              </w:rPr>
            </w:pPr>
            <w:r w:rsidRPr="00AB3E29">
              <w:rPr>
                <w:rFonts w:cstheme="minorHAnsi"/>
                <w:szCs w:val="24"/>
              </w:rPr>
              <w:t>Nidzicki</w:t>
            </w:r>
          </w:p>
        </w:tc>
        <w:tc>
          <w:tcPr>
            <w:tcW w:w="932" w:type="dxa"/>
            <w:vMerge/>
          </w:tcPr>
          <w:p w14:paraId="49732E59" w14:textId="77777777" w:rsidR="00845AEA" w:rsidRPr="00B95EDB" w:rsidRDefault="00845AEA"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p>
        </w:tc>
        <w:tc>
          <w:tcPr>
            <w:tcW w:w="992" w:type="dxa"/>
          </w:tcPr>
          <w:p w14:paraId="62C5E1AC" w14:textId="77777777" w:rsidR="00845AEA" w:rsidRPr="00B95EDB" w:rsidRDefault="00845AEA"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r w:rsidRPr="00B95EDB">
              <w:rPr>
                <w:rFonts w:cstheme="minorHAnsi"/>
                <w:szCs w:val="24"/>
              </w:rPr>
              <w:t>53,0%</w:t>
            </w:r>
          </w:p>
        </w:tc>
        <w:tc>
          <w:tcPr>
            <w:tcW w:w="993" w:type="dxa"/>
            <w:vMerge/>
          </w:tcPr>
          <w:p w14:paraId="5C6F7F6A" w14:textId="77777777" w:rsidR="00845AEA" w:rsidRPr="00B95EDB" w:rsidRDefault="00845AEA"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b/>
                <w:bCs/>
                <w:szCs w:val="24"/>
              </w:rPr>
            </w:pPr>
          </w:p>
        </w:tc>
        <w:tc>
          <w:tcPr>
            <w:tcW w:w="852" w:type="dxa"/>
          </w:tcPr>
          <w:p w14:paraId="3C77EFFB" w14:textId="77777777" w:rsidR="00845AEA" w:rsidRPr="00B95EDB" w:rsidRDefault="00845AEA"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r w:rsidRPr="00B95EDB">
              <w:rPr>
                <w:rFonts w:cstheme="minorHAnsi"/>
                <w:szCs w:val="24"/>
              </w:rPr>
              <w:t>49,6%</w:t>
            </w:r>
          </w:p>
        </w:tc>
        <w:tc>
          <w:tcPr>
            <w:tcW w:w="849" w:type="dxa"/>
            <w:vMerge/>
          </w:tcPr>
          <w:p w14:paraId="603E4E4B" w14:textId="77777777" w:rsidR="00845AEA" w:rsidRPr="00B95EDB" w:rsidRDefault="00845AEA"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p>
        </w:tc>
        <w:tc>
          <w:tcPr>
            <w:tcW w:w="850" w:type="dxa"/>
          </w:tcPr>
          <w:p w14:paraId="514E727B" w14:textId="77777777" w:rsidR="00845AEA" w:rsidRPr="00B95EDB" w:rsidRDefault="00845AEA"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r w:rsidRPr="00B95EDB">
              <w:rPr>
                <w:rFonts w:cstheme="minorHAnsi"/>
                <w:szCs w:val="24"/>
              </w:rPr>
              <w:t>56,6%</w:t>
            </w:r>
          </w:p>
        </w:tc>
        <w:tc>
          <w:tcPr>
            <w:tcW w:w="851" w:type="dxa"/>
            <w:vMerge/>
          </w:tcPr>
          <w:p w14:paraId="498AAD5A" w14:textId="77777777" w:rsidR="00845AEA" w:rsidRPr="00B95EDB" w:rsidRDefault="00845AEA"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p>
        </w:tc>
        <w:tc>
          <w:tcPr>
            <w:tcW w:w="993" w:type="dxa"/>
          </w:tcPr>
          <w:p w14:paraId="68293946" w14:textId="77777777" w:rsidR="00845AEA" w:rsidRPr="00B95EDB" w:rsidRDefault="00845AEA"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r w:rsidRPr="00B95EDB">
              <w:rPr>
                <w:rFonts w:cstheme="minorHAnsi"/>
                <w:szCs w:val="24"/>
              </w:rPr>
              <w:t>46,1%</w:t>
            </w:r>
          </w:p>
        </w:tc>
        <w:tc>
          <w:tcPr>
            <w:tcW w:w="850" w:type="dxa"/>
            <w:vMerge/>
          </w:tcPr>
          <w:p w14:paraId="10871BA2" w14:textId="77777777" w:rsidR="00845AEA" w:rsidRPr="00B95EDB" w:rsidRDefault="00845AEA"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p>
        </w:tc>
        <w:tc>
          <w:tcPr>
            <w:tcW w:w="851" w:type="dxa"/>
          </w:tcPr>
          <w:p w14:paraId="2A3BCA3A" w14:textId="77777777" w:rsidR="00845AEA" w:rsidRPr="00B95EDB" w:rsidRDefault="00845AEA" w:rsidP="009B403E">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r w:rsidRPr="00B95EDB">
              <w:rPr>
                <w:rFonts w:cstheme="minorHAnsi"/>
                <w:szCs w:val="24"/>
              </w:rPr>
              <w:t>66,8%</w:t>
            </w:r>
          </w:p>
        </w:tc>
        <w:tc>
          <w:tcPr>
            <w:tcW w:w="849" w:type="dxa"/>
            <w:vMerge/>
          </w:tcPr>
          <w:p w14:paraId="52C9EBA2" w14:textId="77777777" w:rsidR="00845AEA" w:rsidRPr="00B95EDB" w:rsidRDefault="00845AEA"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p>
        </w:tc>
        <w:tc>
          <w:tcPr>
            <w:tcW w:w="992" w:type="dxa"/>
          </w:tcPr>
          <w:p w14:paraId="27619A84" w14:textId="77777777" w:rsidR="00845AEA" w:rsidRPr="00B95EDB" w:rsidRDefault="00845AEA" w:rsidP="009B403E">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r w:rsidRPr="00B95EDB">
              <w:rPr>
                <w:rFonts w:cstheme="minorHAnsi"/>
                <w:szCs w:val="24"/>
              </w:rPr>
              <w:t>55,2%</w:t>
            </w:r>
          </w:p>
        </w:tc>
        <w:tc>
          <w:tcPr>
            <w:tcW w:w="993" w:type="dxa"/>
            <w:vMerge/>
          </w:tcPr>
          <w:p w14:paraId="66718CAC" w14:textId="77777777" w:rsidR="00845AEA" w:rsidRPr="00B95EDB" w:rsidRDefault="00845AEA"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p>
        </w:tc>
        <w:tc>
          <w:tcPr>
            <w:tcW w:w="991" w:type="dxa"/>
          </w:tcPr>
          <w:p w14:paraId="2D2E90B5" w14:textId="470D90AA" w:rsidR="00845AEA" w:rsidRPr="00B95EDB" w:rsidRDefault="007303BC" w:rsidP="009B403E">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r w:rsidRPr="00B95EDB">
              <w:rPr>
                <w:rFonts w:cstheme="minorHAnsi"/>
                <w:szCs w:val="24"/>
              </w:rPr>
              <w:t>84%</w:t>
            </w:r>
          </w:p>
        </w:tc>
      </w:tr>
      <w:tr w:rsidR="00AB3E29" w:rsidRPr="00AB3E29" w14:paraId="2800A851" w14:textId="77777777" w:rsidTr="00AB3E29">
        <w:tc>
          <w:tcPr>
            <w:cnfStyle w:val="001000000000" w:firstRow="0" w:lastRow="0" w:firstColumn="1" w:lastColumn="0" w:oddVBand="0" w:evenVBand="0" w:oddHBand="0" w:evenHBand="0" w:firstRowFirstColumn="0" w:firstRowLastColumn="0" w:lastRowFirstColumn="0" w:lastRowLastColumn="0"/>
            <w:tcW w:w="1049" w:type="dxa"/>
          </w:tcPr>
          <w:p w14:paraId="2CDAF34E" w14:textId="1EAED4C3" w:rsidR="00845AEA" w:rsidRPr="00AB3E29" w:rsidRDefault="00845AEA" w:rsidP="00733091">
            <w:pPr>
              <w:pStyle w:val="elementgraficznytabela"/>
              <w:spacing w:after="240"/>
              <w:rPr>
                <w:rFonts w:cstheme="minorHAnsi"/>
                <w:szCs w:val="24"/>
              </w:rPr>
            </w:pPr>
            <w:r w:rsidRPr="00AB3E29">
              <w:rPr>
                <w:rFonts w:cstheme="minorHAnsi"/>
                <w:szCs w:val="24"/>
              </w:rPr>
              <w:t>Działdo</w:t>
            </w:r>
            <w:r w:rsidR="006120C4" w:rsidRPr="00AB3E29">
              <w:rPr>
                <w:rFonts w:cstheme="minorHAnsi"/>
                <w:szCs w:val="24"/>
              </w:rPr>
              <w:t>-</w:t>
            </w:r>
            <w:r w:rsidRPr="00AB3E29">
              <w:rPr>
                <w:rFonts w:cstheme="minorHAnsi"/>
                <w:szCs w:val="24"/>
              </w:rPr>
              <w:t>wski</w:t>
            </w:r>
          </w:p>
        </w:tc>
        <w:tc>
          <w:tcPr>
            <w:tcW w:w="932" w:type="dxa"/>
            <w:vMerge/>
          </w:tcPr>
          <w:p w14:paraId="66B4B872" w14:textId="77777777" w:rsidR="00845AEA" w:rsidRPr="00B95EDB" w:rsidRDefault="00845AEA"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p>
        </w:tc>
        <w:tc>
          <w:tcPr>
            <w:tcW w:w="992" w:type="dxa"/>
          </w:tcPr>
          <w:p w14:paraId="3E14E7B3" w14:textId="77777777" w:rsidR="00845AEA" w:rsidRPr="00B95EDB" w:rsidRDefault="00845AEA"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r w:rsidRPr="00B95EDB">
              <w:rPr>
                <w:rFonts w:cstheme="minorHAnsi"/>
                <w:szCs w:val="24"/>
              </w:rPr>
              <w:t>46,2%</w:t>
            </w:r>
          </w:p>
        </w:tc>
        <w:tc>
          <w:tcPr>
            <w:tcW w:w="993" w:type="dxa"/>
            <w:vMerge/>
          </w:tcPr>
          <w:p w14:paraId="4309824A" w14:textId="77777777" w:rsidR="00845AEA" w:rsidRPr="00B95EDB" w:rsidRDefault="00845AEA"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p>
        </w:tc>
        <w:tc>
          <w:tcPr>
            <w:tcW w:w="852" w:type="dxa"/>
          </w:tcPr>
          <w:p w14:paraId="5ED81691" w14:textId="77777777" w:rsidR="00845AEA" w:rsidRPr="00B95EDB" w:rsidRDefault="00845AEA"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r w:rsidRPr="00B95EDB">
              <w:rPr>
                <w:rFonts w:cstheme="minorHAnsi"/>
                <w:szCs w:val="24"/>
              </w:rPr>
              <w:t>50,3%</w:t>
            </w:r>
          </w:p>
        </w:tc>
        <w:tc>
          <w:tcPr>
            <w:tcW w:w="849" w:type="dxa"/>
            <w:vMerge/>
          </w:tcPr>
          <w:p w14:paraId="22E68FAB" w14:textId="77777777" w:rsidR="00845AEA" w:rsidRPr="00B95EDB" w:rsidRDefault="00845AEA"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p>
        </w:tc>
        <w:tc>
          <w:tcPr>
            <w:tcW w:w="850" w:type="dxa"/>
          </w:tcPr>
          <w:p w14:paraId="0222688B" w14:textId="77777777" w:rsidR="00845AEA" w:rsidRPr="00B95EDB" w:rsidRDefault="00845AEA"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r w:rsidRPr="00B95EDB">
              <w:rPr>
                <w:rFonts w:cstheme="minorHAnsi"/>
                <w:szCs w:val="24"/>
              </w:rPr>
              <w:t>46,0%</w:t>
            </w:r>
          </w:p>
        </w:tc>
        <w:tc>
          <w:tcPr>
            <w:tcW w:w="851" w:type="dxa"/>
            <w:vMerge/>
          </w:tcPr>
          <w:p w14:paraId="7D1152AA" w14:textId="77777777" w:rsidR="00845AEA" w:rsidRPr="00B95EDB" w:rsidRDefault="00845AEA"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p>
        </w:tc>
        <w:tc>
          <w:tcPr>
            <w:tcW w:w="993" w:type="dxa"/>
          </w:tcPr>
          <w:p w14:paraId="1C9D507A" w14:textId="77777777" w:rsidR="00845AEA" w:rsidRPr="00B95EDB" w:rsidRDefault="00845AEA"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r w:rsidRPr="00B95EDB">
              <w:rPr>
                <w:rFonts w:cstheme="minorHAnsi"/>
                <w:szCs w:val="24"/>
              </w:rPr>
              <w:t>30,9%</w:t>
            </w:r>
          </w:p>
        </w:tc>
        <w:tc>
          <w:tcPr>
            <w:tcW w:w="850" w:type="dxa"/>
            <w:vMerge/>
          </w:tcPr>
          <w:p w14:paraId="5A252785" w14:textId="77777777" w:rsidR="00845AEA" w:rsidRPr="00B95EDB" w:rsidRDefault="00845AEA"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p>
        </w:tc>
        <w:tc>
          <w:tcPr>
            <w:tcW w:w="851" w:type="dxa"/>
          </w:tcPr>
          <w:p w14:paraId="5E69F2EE" w14:textId="77777777" w:rsidR="00845AEA" w:rsidRPr="00B95EDB" w:rsidRDefault="00845AEA" w:rsidP="009B403E">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r w:rsidRPr="00B95EDB">
              <w:rPr>
                <w:rFonts w:cstheme="minorHAnsi"/>
                <w:szCs w:val="24"/>
              </w:rPr>
              <w:t>61,2%</w:t>
            </w:r>
          </w:p>
        </w:tc>
        <w:tc>
          <w:tcPr>
            <w:tcW w:w="849" w:type="dxa"/>
            <w:vMerge/>
          </w:tcPr>
          <w:p w14:paraId="21997798" w14:textId="77777777" w:rsidR="00845AEA" w:rsidRPr="00B95EDB" w:rsidRDefault="00845AEA"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p>
        </w:tc>
        <w:tc>
          <w:tcPr>
            <w:tcW w:w="992" w:type="dxa"/>
          </w:tcPr>
          <w:p w14:paraId="178DC19C" w14:textId="77777777" w:rsidR="00845AEA" w:rsidRPr="00B95EDB" w:rsidRDefault="00845AEA" w:rsidP="009B403E">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r w:rsidRPr="00B95EDB">
              <w:rPr>
                <w:rFonts w:cstheme="minorHAnsi"/>
                <w:szCs w:val="24"/>
              </w:rPr>
              <w:t>55,7%</w:t>
            </w:r>
          </w:p>
        </w:tc>
        <w:tc>
          <w:tcPr>
            <w:tcW w:w="993" w:type="dxa"/>
            <w:vMerge/>
          </w:tcPr>
          <w:p w14:paraId="34494AC6" w14:textId="77777777" w:rsidR="00845AEA" w:rsidRPr="00B95EDB" w:rsidRDefault="00845AEA"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p>
        </w:tc>
        <w:tc>
          <w:tcPr>
            <w:tcW w:w="991" w:type="dxa"/>
          </w:tcPr>
          <w:p w14:paraId="7AC6643E" w14:textId="09EB8F57" w:rsidR="00845AEA" w:rsidRPr="00B95EDB" w:rsidRDefault="007303BC" w:rsidP="009B403E">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r w:rsidRPr="00B95EDB">
              <w:rPr>
                <w:rFonts w:cstheme="minorHAnsi"/>
                <w:szCs w:val="24"/>
              </w:rPr>
              <w:t>75%</w:t>
            </w:r>
          </w:p>
        </w:tc>
      </w:tr>
      <w:tr w:rsidR="00AB3E29" w:rsidRPr="00AB3E29" w14:paraId="32270075" w14:textId="77777777" w:rsidTr="00AB3E29">
        <w:tc>
          <w:tcPr>
            <w:cnfStyle w:val="001000000000" w:firstRow="0" w:lastRow="0" w:firstColumn="1" w:lastColumn="0" w:oddVBand="0" w:evenVBand="0" w:oddHBand="0" w:evenHBand="0" w:firstRowFirstColumn="0" w:firstRowLastColumn="0" w:lastRowFirstColumn="0" w:lastRowLastColumn="0"/>
            <w:tcW w:w="1049" w:type="dxa"/>
          </w:tcPr>
          <w:p w14:paraId="3C4606C4" w14:textId="3424F4D0" w:rsidR="00845AEA" w:rsidRPr="00AB3E29" w:rsidRDefault="00845AEA" w:rsidP="00733091">
            <w:pPr>
              <w:pStyle w:val="elementgraficznytabela"/>
              <w:spacing w:after="240"/>
              <w:rPr>
                <w:rFonts w:cstheme="minorHAnsi"/>
                <w:szCs w:val="24"/>
              </w:rPr>
            </w:pPr>
            <w:r w:rsidRPr="00AB3E29">
              <w:rPr>
                <w:rFonts w:cstheme="minorHAnsi"/>
                <w:szCs w:val="24"/>
              </w:rPr>
              <w:t>Szczycie</w:t>
            </w:r>
            <w:r w:rsidR="006120C4" w:rsidRPr="00AB3E29">
              <w:rPr>
                <w:rFonts w:cstheme="minorHAnsi"/>
                <w:szCs w:val="24"/>
              </w:rPr>
              <w:t>-</w:t>
            </w:r>
            <w:r w:rsidRPr="00AB3E29">
              <w:rPr>
                <w:rFonts w:cstheme="minorHAnsi"/>
                <w:szCs w:val="24"/>
              </w:rPr>
              <w:t>ński</w:t>
            </w:r>
          </w:p>
        </w:tc>
        <w:tc>
          <w:tcPr>
            <w:tcW w:w="932" w:type="dxa"/>
            <w:vMerge/>
          </w:tcPr>
          <w:p w14:paraId="657E50C9" w14:textId="77777777" w:rsidR="00845AEA" w:rsidRPr="00B95EDB" w:rsidRDefault="00845AEA"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p>
        </w:tc>
        <w:tc>
          <w:tcPr>
            <w:tcW w:w="992" w:type="dxa"/>
          </w:tcPr>
          <w:p w14:paraId="39EE2914" w14:textId="77777777" w:rsidR="00845AEA" w:rsidRPr="00B95EDB" w:rsidRDefault="00845AEA"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r w:rsidRPr="00B95EDB">
              <w:rPr>
                <w:rFonts w:cstheme="minorHAnsi"/>
                <w:szCs w:val="24"/>
              </w:rPr>
              <w:t>48,1%</w:t>
            </w:r>
          </w:p>
        </w:tc>
        <w:tc>
          <w:tcPr>
            <w:tcW w:w="993" w:type="dxa"/>
            <w:vMerge/>
          </w:tcPr>
          <w:p w14:paraId="00AAB9FD" w14:textId="77777777" w:rsidR="00845AEA" w:rsidRPr="00B95EDB" w:rsidRDefault="00845AEA"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p>
        </w:tc>
        <w:tc>
          <w:tcPr>
            <w:tcW w:w="852" w:type="dxa"/>
          </w:tcPr>
          <w:p w14:paraId="30ADCA98" w14:textId="77777777" w:rsidR="00845AEA" w:rsidRPr="00B95EDB" w:rsidRDefault="00845AEA"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r w:rsidRPr="00B95EDB">
              <w:rPr>
                <w:rFonts w:cstheme="minorHAnsi"/>
                <w:szCs w:val="24"/>
              </w:rPr>
              <w:t>52,8%</w:t>
            </w:r>
          </w:p>
        </w:tc>
        <w:tc>
          <w:tcPr>
            <w:tcW w:w="849" w:type="dxa"/>
            <w:vMerge/>
          </w:tcPr>
          <w:p w14:paraId="1641FF17" w14:textId="77777777" w:rsidR="00845AEA" w:rsidRPr="00B95EDB" w:rsidRDefault="00845AEA"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p>
        </w:tc>
        <w:tc>
          <w:tcPr>
            <w:tcW w:w="850" w:type="dxa"/>
          </w:tcPr>
          <w:p w14:paraId="7CE3DA79" w14:textId="77777777" w:rsidR="00845AEA" w:rsidRPr="00B95EDB" w:rsidRDefault="00845AEA"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r w:rsidRPr="00B95EDB">
              <w:rPr>
                <w:rFonts w:cstheme="minorHAnsi"/>
                <w:szCs w:val="24"/>
              </w:rPr>
              <w:t>49,6%</w:t>
            </w:r>
          </w:p>
        </w:tc>
        <w:tc>
          <w:tcPr>
            <w:tcW w:w="851" w:type="dxa"/>
            <w:vMerge/>
          </w:tcPr>
          <w:p w14:paraId="4C415698" w14:textId="77777777" w:rsidR="00845AEA" w:rsidRPr="00B95EDB" w:rsidRDefault="00845AEA"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p>
        </w:tc>
        <w:tc>
          <w:tcPr>
            <w:tcW w:w="993" w:type="dxa"/>
          </w:tcPr>
          <w:p w14:paraId="01A3E668" w14:textId="77777777" w:rsidR="00845AEA" w:rsidRPr="00B95EDB" w:rsidRDefault="00845AEA"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r w:rsidRPr="00B95EDB">
              <w:rPr>
                <w:rFonts w:cstheme="minorHAnsi"/>
                <w:szCs w:val="24"/>
              </w:rPr>
              <w:t>25,8%</w:t>
            </w:r>
          </w:p>
        </w:tc>
        <w:tc>
          <w:tcPr>
            <w:tcW w:w="850" w:type="dxa"/>
            <w:vMerge/>
          </w:tcPr>
          <w:p w14:paraId="07CAC773" w14:textId="77777777" w:rsidR="00845AEA" w:rsidRPr="00B95EDB" w:rsidRDefault="00845AEA"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p>
        </w:tc>
        <w:tc>
          <w:tcPr>
            <w:tcW w:w="851" w:type="dxa"/>
          </w:tcPr>
          <w:p w14:paraId="09524BF1" w14:textId="77777777" w:rsidR="00845AEA" w:rsidRPr="00B95EDB" w:rsidRDefault="00845AEA" w:rsidP="009B403E">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r w:rsidRPr="00B95EDB">
              <w:rPr>
                <w:rFonts w:cstheme="minorHAnsi"/>
                <w:szCs w:val="24"/>
              </w:rPr>
              <w:t>66,1%</w:t>
            </w:r>
          </w:p>
        </w:tc>
        <w:tc>
          <w:tcPr>
            <w:tcW w:w="849" w:type="dxa"/>
            <w:vMerge/>
          </w:tcPr>
          <w:p w14:paraId="35380E44" w14:textId="77777777" w:rsidR="00845AEA" w:rsidRPr="00B95EDB" w:rsidRDefault="00845AEA"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p>
        </w:tc>
        <w:tc>
          <w:tcPr>
            <w:tcW w:w="992" w:type="dxa"/>
          </w:tcPr>
          <w:p w14:paraId="42882141" w14:textId="77777777" w:rsidR="00845AEA" w:rsidRPr="00B95EDB" w:rsidRDefault="00845AEA" w:rsidP="009B403E">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r w:rsidRPr="00B95EDB">
              <w:rPr>
                <w:rFonts w:cstheme="minorHAnsi"/>
                <w:szCs w:val="24"/>
              </w:rPr>
              <w:t>49,4%</w:t>
            </w:r>
          </w:p>
        </w:tc>
        <w:tc>
          <w:tcPr>
            <w:tcW w:w="993" w:type="dxa"/>
            <w:vMerge/>
          </w:tcPr>
          <w:p w14:paraId="7B7094F0" w14:textId="77777777" w:rsidR="00845AEA" w:rsidRPr="00B95EDB" w:rsidRDefault="00845AEA"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p>
        </w:tc>
        <w:tc>
          <w:tcPr>
            <w:tcW w:w="991" w:type="dxa"/>
          </w:tcPr>
          <w:p w14:paraId="290EA6F0" w14:textId="476AE668" w:rsidR="00845AEA" w:rsidRPr="00B95EDB" w:rsidRDefault="007303BC" w:rsidP="009B403E">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r w:rsidRPr="00B95EDB">
              <w:rPr>
                <w:rFonts w:cstheme="minorHAnsi"/>
                <w:szCs w:val="24"/>
              </w:rPr>
              <w:t>81%</w:t>
            </w:r>
          </w:p>
        </w:tc>
      </w:tr>
    </w:tbl>
    <w:bookmarkEnd w:id="71"/>
    <w:p w14:paraId="1D4955FB" w14:textId="77777777" w:rsidR="00845AEA" w:rsidRPr="00733091" w:rsidRDefault="00845AEA" w:rsidP="00733091">
      <w:pPr>
        <w:pStyle w:val="podpiselementu"/>
        <w:spacing w:after="240"/>
        <w:rPr>
          <w:lang w:val="pl-PL"/>
        </w:rPr>
      </w:pPr>
      <w:r w:rsidRPr="00733091">
        <w:rPr>
          <w:lang w:val="pl-PL"/>
        </w:rPr>
        <w:t>Źródło: opracowanie własne na podstawie danych OKE w Łomży</w:t>
      </w:r>
    </w:p>
    <w:p w14:paraId="4F55EAD0" w14:textId="77777777" w:rsidR="00427A68" w:rsidRDefault="00427A68" w:rsidP="00AB3E29">
      <w:pPr>
        <w:ind w:left="0"/>
        <w:rPr>
          <w:lang w:val="pl-PL"/>
        </w:rPr>
        <w:sectPr w:rsidR="00427A68" w:rsidSect="00427A68">
          <w:pgSz w:w="16838" w:h="11906" w:orient="landscape"/>
          <w:pgMar w:top="1418" w:right="1418" w:bottom="1418" w:left="1701" w:header="709" w:footer="709" w:gutter="0"/>
          <w:cols w:space="708"/>
          <w:docGrid w:linePitch="360"/>
        </w:sectPr>
      </w:pPr>
    </w:p>
    <w:p w14:paraId="0F86C430" w14:textId="77777777" w:rsidR="003A308C" w:rsidRPr="00733091" w:rsidRDefault="003A308C" w:rsidP="003A308C">
      <w:pPr>
        <w:rPr>
          <w:lang w:val="pl-PL"/>
        </w:rPr>
      </w:pPr>
      <w:r w:rsidRPr="00733091">
        <w:rPr>
          <w:lang w:val="pl-PL"/>
        </w:rPr>
        <w:lastRenderedPageBreak/>
        <w:t>Szkoły branżowe na obszarze Partnerstwa kształciły w 2019 r. łącznie 799 osób w 34 oddziałach w 11 szkołach (po 24 osoby w oddziale). Gestorem tych szkół był samorząd powiatowy, samorząd gminny oraz Warmińsko-Mazurski Zakład Doskonalenia Zawodowego w Olsztynie.</w:t>
      </w:r>
    </w:p>
    <w:p w14:paraId="40211D1C" w14:textId="0792F2D4" w:rsidR="003A308C" w:rsidRDefault="003A308C" w:rsidP="003A308C">
      <w:pPr>
        <w:rPr>
          <w:rFonts w:eastAsia="Calibri"/>
          <w:lang w:val="pl-PL"/>
        </w:rPr>
      </w:pPr>
      <w:r w:rsidRPr="00733091">
        <w:rPr>
          <w:lang w:val="pl-PL"/>
        </w:rPr>
        <w:t>Na terenie Południowych Mazur funkcjonowały także – w systemie szkolnictwa zawodowego – szkoły branżowe specjalne (w 2018 r - 2 szkoły, w których uczyło się 12 osób) oraz</w:t>
      </w:r>
      <w:r w:rsidRPr="00733091">
        <w:rPr>
          <w:rFonts w:eastAsia="Times New Roman"/>
          <w:lang w:val="pl-PL" w:eastAsia="pl-PL"/>
        </w:rPr>
        <w:t xml:space="preserve"> szkoły specjalne przysposabiające do pracy, których zadaniem jest przygotowanie młodzieży </w:t>
      </w:r>
      <w:r w:rsidRPr="00733091">
        <w:rPr>
          <w:rFonts w:eastAsia="Calibri"/>
          <w:lang w:val="pl-PL"/>
        </w:rPr>
        <w:t xml:space="preserve">z niepełnosprawnością intelektualną (w stopniu umiarkowanym i znacznym) oraz z niepełnosprawnościami sprzężonymi do funkcjonowania na rynku pracy. W 2018 r. szkoły tego typu zlokalizowane były </w:t>
      </w:r>
      <w:r>
        <w:rPr>
          <w:rFonts w:eastAsia="Calibri"/>
          <w:lang w:val="pl-PL"/>
        </w:rPr>
        <w:br/>
      </w:r>
      <w:r w:rsidRPr="00733091">
        <w:rPr>
          <w:rFonts w:eastAsia="Calibri"/>
          <w:lang w:val="pl-PL"/>
        </w:rPr>
        <w:t>w każdym powiecie Południowych Mazur, a w tym: w działdowskim - 3, w nidzickim - 3, w piskim - 2 i w szczycieńskim - 4.</w:t>
      </w:r>
    </w:p>
    <w:p w14:paraId="29EC68F3" w14:textId="4C52D472" w:rsidR="003A308C" w:rsidRPr="00733091" w:rsidRDefault="003A308C" w:rsidP="003A308C">
      <w:pPr>
        <w:rPr>
          <w:lang w:val="pl-PL"/>
        </w:rPr>
      </w:pPr>
      <w:r w:rsidRPr="00733091">
        <w:rPr>
          <w:lang w:val="pl-PL"/>
        </w:rPr>
        <w:t>Sytuacja Południowych Mazur w zakresie usług edukacyjnych</w:t>
      </w:r>
      <w:r>
        <w:rPr>
          <w:lang w:val="pl-PL"/>
        </w:rPr>
        <w:t xml:space="preserve"> na poziomie podstawowym i ponadpodstawowym</w:t>
      </w:r>
      <w:r w:rsidRPr="00733091">
        <w:rPr>
          <w:lang w:val="pl-PL"/>
        </w:rPr>
        <w:t xml:space="preserve"> jest niekorzystana. Dostępność do szkół jest wystarczająca, jednakże jakość oferowanych usług edukacyjnych – niska.</w:t>
      </w:r>
    </w:p>
    <w:p w14:paraId="6D82F87C" w14:textId="77777777" w:rsidR="003A308C" w:rsidRPr="00733091" w:rsidRDefault="003A308C" w:rsidP="003A308C">
      <w:pPr>
        <w:contextualSpacing/>
        <w:rPr>
          <w:rFonts w:ascii="Times New Roman" w:eastAsia="Times New Roman" w:hAnsi="Times New Roman" w:cs="Times New Roman"/>
          <w:sz w:val="16"/>
          <w:szCs w:val="16"/>
          <w:lang w:val="pl-PL" w:eastAsia="pl-PL"/>
        </w:rPr>
      </w:pPr>
      <w:r>
        <w:rPr>
          <w:rFonts w:ascii="Times New Roman" w:eastAsia="Times New Roman" w:hAnsi="Times New Roman" w:cs="Times New Roman"/>
          <w:noProof/>
          <w:sz w:val="16"/>
          <w:szCs w:val="16"/>
          <w:lang w:eastAsia="pl-PL"/>
        </w:rPr>
        <mc:AlternateContent>
          <mc:Choice Requires="wps">
            <w:drawing>
              <wp:anchor distT="0" distB="0" distL="114300" distR="114300" simplePos="0" relativeHeight="251658279" behindDoc="0" locked="0" layoutInCell="1" allowOverlap="1" wp14:anchorId="3E4FBB4B" wp14:editId="13D0EEB6">
                <wp:simplePos x="0" y="0"/>
                <wp:positionH relativeFrom="margin">
                  <wp:align>right</wp:align>
                </wp:positionH>
                <wp:positionV relativeFrom="paragraph">
                  <wp:posOffset>8890</wp:posOffset>
                </wp:positionV>
                <wp:extent cx="5250180" cy="1013460"/>
                <wp:effectExtent l="0" t="0" r="26670" b="15240"/>
                <wp:wrapNone/>
                <wp:docPr id="76" name="Pole tekstowe 76"/>
                <wp:cNvGraphicFramePr/>
                <a:graphic xmlns:a="http://schemas.openxmlformats.org/drawingml/2006/main">
                  <a:graphicData uri="http://schemas.microsoft.com/office/word/2010/wordprocessingShape">
                    <wps:wsp>
                      <wps:cNvSpPr txBox="1"/>
                      <wps:spPr>
                        <a:xfrm>
                          <a:off x="0" y="0"/>
                          <a:ext cx="5250180" cy="1013460"/>
                        </a:xfrm>
                        <a:prstGeom prst="rect">
                          <a:avLst/>
                        </a:prstGeom>
                        <a:solidFill>
                          <a:schemeClr val="accent1">
                            <a:lumMod val="20000"/>
                            <a:lumOff val="80000"/>
                          </a:schemeClr>
                        </a:solidFill>
                        <a:ln w="6350">
                          <a:solidFill>
                            <a:schemeClr val="accent1"/>
                          </a:solidFill>
                        </a:ln>
                      </wps:spPr>
                      <wps:txbx>
                        <w:txbxContent>
                          <w:p w14:paraId="120A22F9" w14:textId="20AD065D" w:rsidR="00B14787" w:rsidRPr="006120C4" w:rsidRDefault="00B14787" w:rsidP="003A308C">
                            <w:pPr>
                              <w:spacing w:after="100" w:afterAutospacing="1" w:line="240" w:lineRule="auto"/>
                              <w:ind w:left="142"/>
                              <w:contextualSpacing/>
                              <w:jc w:val="both"/>
                              <w:rPr>
                                <w:szCs w:val="24"/>
                                <w:lang w:val="pl-PL"/>
                              </w:rPr>
                            </w:pPr>
                            <w:r w:rsidRPr="006120C4">
                              <w:rPr>
                                <w:rFonts w:cstheme="minorHAnsi"/>
                                <w:b/>
                                <w:bCs/>
                                <w:szCs w:val="24"/>
                                <w:lang w:val="pl-PL"/>
                              </w:rPr>
                              <w:t>32,20%</w:t>
                            </w:r>
                            <w:r w:rsidRPr="006120C4">
                              <w:rPr>
                                <w:rFonts w:cstheme="minorHAnsi"/>
                                <w:szCs w:val="24"/>
                                <w:lang w:val="pl-PL"/>
                              </w:rPr>
                              <w:t xml:space="preserve"> mieszkańców Południowych Mazur zwróciła uwagę na konieczność podjęcia działań ukierunkowanych na </w:t>
                            </w:r>
                            <w:r w:rsidRPr="006120C4">
                              <w:rPr>
                                <w:rFonts w:cstheme="minorHAnsi"/>
                                <w:b/>
                                <w:bCs/>
                                <w:szCs w:val="24"/>
                                <w:lang w:val="pl-PL"/>
                              </w:rPr>
                              <w:t>polepszenie</w:t>
                            </w:r>
                            <w:r w:rsidRPr="006120C4">
                              <w:rPr>
                                <w:rFonts w:cstheme="minorHAnsi"/>
                                <w:szCs w:val="24"/>
                                <w:lang w:val="pl-PL"/>
                              </w:rPr>
                              <w:t xml:space="preserve"> i rozszerzenie </w:t>
                            </w:r>
                            <w:r w:rsidRPr="006120C4">
                              <w:rPr>
                                <w:rFonts w:cstheme="minorHAnsi"/>
                                <w:b/>
                                <w:bCs/>
                                <w:szCs w:val="24"/>
                                <w:lang w:val="pl-PL"/>
                              </w:rPr>
                              <w:t>oferty edukacyjnej</w:t>
                            </w:r>
                            <w:r w:rsidRPr="006120C4">
                              <w:rPr>
                                <w:rFonts w:cstheme="minorHAnsi"/>
                                <w:szCs w:val="24"/>
                                <w:lang w:val="pl-PL"/>
                              </w:rPr>
                              <w:t xml:space="preserve"> (</w:t>
                            </w:r>
                            <w:r w:rsidRPr="006120C4">
                              <w:rPr>
                                <w:rFonts w:eastAsia="Times New Roman" w:cstheme="minorHAnsi"/>
                                <w:szCs w:val="24"/>
                                <w:lang w:val="pl-PL" w:eastAsia="pl-PL"/>
                              </w:rPr>
                              <w:t>szkolnictwo zawodowe, podnoszenie kwalifikacji, staże, praktyki).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4FBB4B" id="Pole tekstowe 76" o:spid="_x0000_s1033" type="#_x0000_t202" style="position:absolute;left:0;text-align:left;margin-left:362.2pt;margin-top:.7pt;width:413.4pt;height:79.8pt;z-index:251658279;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" fillcolor="#d9e2f3 [660]" strokecolor="#4472c4 [3204]" strokeweight=".5pt">
                <v:textbox>
                  <w:txbxContent>
                    <w:p w14:paraId="120A22F9" w14:textId="20AD065D" w:rsidR="00B14787" w:rsidRPr="006120C4" w:rsidRDefault="00B14787" w:rsidP="003A308C">
                      <w:pPr>
                        <w:spacing w:after="100" w:afterAutospacing="1" w:line="240" w:lineRule="auto"/>
                        <w:ind w:left="142"/>
                        <w:contextualSpacing/>
                        <w:jc w:val="both"/>
                        <w:rPr>
                          <w:szCs w:val="24"/>
                          <w:lang w:val="pl-PL"/>
                        </w:rPr>
                      </w:pPr>
                      <w:r w:rsidRPr="006120C4">
                        <w:rPr>
                          <w:rFonts w:cstheme="minorHAnsi"/>
                          <w:b/>
                          <w:bCs/>
                          <w:szCs w:val="24"/>
                          <w:lang w:val="pl-PL"/>
                        </w:rPr>
                        <w:t>32,20%</w:t>
                      </w:r>
                      <w:r w:rsidRPr="006120C4">
                        <w:rPr>
                          <w:rFonts w:cstheme="minorHAnsi"/>
                          <w:szCs w:val="24"/>
                          <w:lang w:val="pl-PL"/>
                        </w:rPr>
                        <w:t xml:space="preserve"> mieszkańców Południowych Mazur zwróciła uwagę na konieczność podjęcia działań ukierunkowanych na </w:t>
                      </w:r>
                      <w:r w:rsidRPr="006120C4">
                        <w:rPr>
                          <w:rFonts w:cstheme="minorHAnsi"/>
                          <w:b/>
                          <w:bCs/>
                          <w:szCs w:val="24"/>
                          <w:lang w:val="pl-PL"/>
                        </w:rPr>
                        <w:t>polepszenie</w:t>
                      </w:r>
                      <w:r w:rsidRPr="006120C4">
                        <w:rPr>
                          <w:rFonts w:cstheme="minorHAnsi"/>
                          <w:szCs w:val="24"/>
                          <w:lang w:val="pl-PL"/>
                        </w:rPr>
                        <w:t xml:space="preserve"> i rozszerzenie </w:t>
                      </w:r>
                      <w:r w:rsidRPr="006120C4">
                        <w:rPr>
                          <w:rFonts w:cstheme="minorHAnsi"/>
                          <w:b/>
                          <w:bCs/>
                          <w:szCs w:val="24"/>
                          <w:lang w:val="pl-PL"/>
                        </w:rPr>
                        <w:t>oferty edukacyjnej</w:t>
                      </w:r>
                      <w:r w:rsidRPr="006120C4">
                        <w:rPr>
                          <w:rFonts w:cstheme="minorHAnsi"/>
                          <w:szCs w:val="24"/>
                          <w:lang w:val="pl-PL"/>
                        </w:rPr>
                        <w:t xml:space="preserve"> (</w:t>
                      </w:r>
                      <w:r w:rsidRPr="006120C4">
                        <w:rPr>
                          <w:rFonts w:eastAsia="Times New Roman" w:cstheme="minorHAnsi"/>
                          <w:szCs w:val="24"/>
                          <w:lang w:val="pl-PL" w:eastAsia="pl-PL"/>
                        </w:rPr>
                        <w:t>szkolnictwo zawodowe, podnoszenie kwalifikacji, staże, praktyki).</w:t>
                      </w:r>
                    </w:p>
                  </w:txbxContent>
                </v:textbox>
                <w10:wrap anchorx="margin"/>
              </v:shape>
            </w:pict>
          </mc:Fallback>
        </mc:AlternateContent>
      </w:r>
    </w:p>
    <w:p w14:paraId="54838E74" w14:textId="77777777" w:rsidR="003A308C" w:rsidRPr="00733091" w:rsidRDefault="003A308C" w:rsidP="003A308C">
      <w:pPr>
        <w:contextualSpacing/>
        <w:rPr>
          <w:rFonts w:ascii="Times New Roman" w:eastAsia="Times New Roman" w:hAnsi="Times New Roman" w:cs="Times New Roman"/>
          <w:sz w:val="16"/>
          <w:szCs w:val="16"/>
          <w:lang w:val="pl-PL" w:eastAsia="pl-PL"/>
        </w:rPr>
      </w:pPr>
    </w:p>
    <w:p w14:paraId="55FCD713" w14:textId="77777777" w:rsidR="003A308C" w:rsidRDefault="003A308C" w:rsidP="003A308C">
      <w:pPr>
        <w:contextualSpacing/>
        <w:rPr>
          <w:rFonts w:ascii="Times New Roman" w:eastAsia="Times New Roman" w:hAnsi="Times New Roman" w:cs="Times New Roman"/>
          <w:sz w:val="16"/>
          <w:szCs w:val="16"/>
          <w:lang w:eastAsia="pl-PL"/>
        </w:rPr>
      </w:pPr>
      <w:r>
        <w:rPr>
          <w:rFonts w:cstheme="minorHAnsi"/>
          <w:noProof/>
          <w:color w:val="001133"/>
          <w:shd w:val="clear" w:color="auto" w:fill="FFFFFF"/>
        </w:rPr>
        <w:drawing>
          <wp:inline distT="0" distB="0" distL="0" distR="0" wp14:anchorId="51627403" wp14:editId="49098443">
            <wp:extent cx="365760" cy="365760"/>
            <wp:effectExtent l="0" t="0" r="0" b="0"/>
            <wp:docPr id="77" name="Grafika 77" descr="Lista kontrolna (od prawej do lew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a 14" descr="Lista kontrolna (od prawej do lewej)"/>
                    <pic:cNvPicPr/>
                  </pic:nvPicPr>
                  <pic:blipFill>
                    <a:blip r:embed="rId35" cstate="print">
                      <a:extLst>
                        <a:ext uri="{28A0092B-C50C-407E-A947-70E740481C1C}">
                          <a14:useLocalDpi xmlns:a14="http://schemas.microsoft.com/office/drawing/2010/main" val="0"/>
                        </a:ext>
                        <a:ext uri="{96DAC541-7B7A-43D3-8B79-37D633B846F1}">
                          <asvg:svgBlip xmlns:asvg="http://schemas.microsoft.com/office/drawing/2016/SVG/main" r:embed="rId36"/>
                        </a:ext>
                      </a:extLst>
                    </a:blip>
                    <a:stretch>
                      <a:fillRect/>
                    </a:stretch>
                  </pic:blipFill>
                  <pic:spPr>
                    <a:xfrm>
                      <a:off x="0" y="0"/>
                      <a:ext cx="365760" cy="365760"/>
                    </a:xfrm>
                    <a:prstGeom prst="rect">
                      <a:avLst/>
                    </a:prstGeom>
                  </pic:spPr>
                </pic:pic>
              </a:graphicData>
            </a:graphic>
          </wp:inline>
        </w:drawing>
      </w:r>
    </w:p>
    <w:p w14:paraId="2B7A6890" w14:textId="28D9D54F" w:rsidR="003A308C" w:rsidRDefault="003A308C" w:rsidP="003A308C">
      <w:pPr>
        <w:ind w:left="0"/>
        <w:rPr>
          <w:noProof/>
          <w:lang w:val="pl-PL"/>
        </w:rPr>
      </w:pPr>
    </w:p>
    <w:p w14:paraId="47D90207" w14:textId="77777777" w:rsidR="003A308C" w:rsidRDefault="003A308C" w:rsidP="003A308C">
      <w:pPr>
        <w:ind w:left="0"/>
        <w:rPr>
          <w:lang w:val="pl-PL"/>
        </w:rPr>
      </w:pPr>
    </w:p>
    <w:p w14:paraId="51669370" w14:textId="77777777" w:rsidR="003A308C" w:rsidRPr="00733091" w:rsidRDefault="003A308C" w:rsidP="003A308C">
      <w:pPr>
        <w:pStyle w:val="Nagwek5"/>
        <w:spacing w:before="120" w:after="240"/>
        <w:rPr>
          <w:lang w:val="pl-PL"/>
        </w:rPr>
      </w:pPr>
      <w:r w:rsidRPr="00733091">
        <w:rPr>
          <w:rStyle w:val="Nagwek4Znak"/>
          <w:rFonts w:asciiTheme="majorHAnsi" w:hAnsiTheme="majorHAnsi"/>
          <w:iCs w:val="0"/>
          <w:noProof w:val="0"/>
          <w:lang w:val="pl-PL"/>
        </w:rPr>
        <w:t>Szkoły wyższe</w:t>
      </w:r>
    </w:p>
    <w:p w14:paraId="2BD91387" w14:textId="58B7D66B" w:rsidR="003A308C" w:rsidRDefault="003A308C" w:rsidP="003A308C">
      <w:pPr>
        <w:rPr>
          <w:lang w:val="pl-PL"/>
        </w:rPr>
      </w:pPr>
      <w:r w:rsidRPr="00733091">
        <w:rPr>
          <w:lang w:val="pl-PL"/>
        </w:rPr>
        <w:t xml:space="preserve">Na obszarze Południowych Mazury funkcjonują dwie szkoły wyższe: </w:t>
      </w:r>
      <w:r>
        <w:rPr>
          <w:lang w:val="pl-PL"/>
        </w:rPr>
        <w:t xml:space="preserve">Wyższa </w:t>
      </w:r>
      <w:r w:rsidRPr="00733091">
        <w:rPr>
          <w:lang w:val="pl-PL"/>
        </w:rPr>
        <w:t xml:space="preserve">Szkoła Policji w Szczytnie oraz Wyższa Szkoła Gospodarcza w Bydgoszczy z filią </w:t>
      </w:r>
      <w:r>
        <w:rPr>
          <w:lang w:val="pl-PL"/>
        </w:rPr>
        <w:br/>
      </w:r>
      <w:r w:rsidRPr="00733091">
        <w:rPr>
          <w:lang w:val="pl-PL"/>
        </w:rPr>
        <w:t>w Działdowie.  Gestorem tych szkół były odpowiednio: Ministerstwo Spraw Wewnętrznych i Administracji i podmiot niepubliczny.</w:t>
      </w:r>
    </w:p>
    <w:p w14:paraId="686D679A" w14:textId="01E023AA" w:rsidR="00284D34" w:rsidRPr="00690E7F" w:rsidRDefault="00B664F9" w:rsidP="00733091">
      <w:pPr>
        <w:pStyle w:val="Nagwek4"/>
        <w:spacing w:before="120" w:after="240"/>
      </w:pPr>
      <w:r w:rsidRPr="00B664F9">
        <w:t>Usługi w zakresie sportu, kultury i rekreacji</w:t>
      </w:r>
      <w:r w:rsidR="00284D34" w:rsidRPr="00690E7F">
        <w:t xml:space="preserve"> </w:t>
      </w:r>
    </w:p>
    <w:p w14:paraId="0A7E6A7A" w14:textId="77777777" w:rsidR="003711E3" w:rsidRPr="00733091" w:rsidRDefault="003711E3" w:rsidP="00733091">
      <w:pPr>
        <w:rPr>
          <w:lang w:val="pl-PL"/>
        </w:rPr>
      </w:pPr>
      <w:r w:rsidRPr="00733091">
        <w:rPr>
          <w:lang w:val="pl-PL"/>
        </w:rPr>
        <w:t>Infrastruktura sportowa Południowych Mazur odpowiada na zapotrzebowanie lokalnej społeczności, wspierając rozwój aktywności fizycznej mieszkańców.</w:t>
      </w:r>
    </w:p>
    <w:p w14:paraId="2EC7807F" w14:textId="77777777" w:rsidR="003711E3" w:rsidRPr="00733091" w:rsidRDefault="003711E3" w:rsidP="00733091">
      <w:pPr>
        <w:rPr>
          <w:lang w:val="pl-PL"/>
        </w:rPr>
      </w:pPr>
      <w:r w:rsidRPr="00733091">
        <w:rPr>
          <w:lang w:val="pl-PL"/>
        </w:rPr>
        <w:t>Infrastrukturę sportową Południowych Mazur stanowią: stadiony, boiska, hale sportowe, korty tenisowe, pływalnie kryte, strzelnice, skateparki, siłownie zewnętrzne i pozostałe obiekty sportowe.</w:t>
      </w:r>
    </w:p>
    <w:p w14:paraId="36994820" w14:textId="6B2FA793" w:rsidR="003711E3" w:rsidRPr="00733091" w:rsidRDefault="003711E3" w:rsidP="00733091">
      <w:pPr>
        <w:rPr>
          <w:lang w:val="pl-PL"/>
        </w:rPr>
      </w:pPr>
      <w:r w:rsidRPr="00733091">
        <w:rPr>
          <w:lang w:val="pl-PL"/>
        </w:rPr>
        <w:t>Infrastruktura sportowa rozwija się od 2010 r. – najszybciej rośnie liczba siłowni zewnętrznych (wzrost z 0 w 2010 r. do 60 w 2018 r.) i boisk uniwersalnych</w:t>
      </w:r>
      <w:r w:rsidR="003A308C">
        <w:rPr>
          <w:lang w:val="pl-PL"/>
        </w:rPr>
        <w:t xml:space="preserve"> </w:t>
      </w:r>
      <w:r w:rsidRPr="00733091">
        <w:rPr>
          <w:lang w:val="pl-PL"/>
        </w:rPr>
        <w:t>-</w:t>
      </w:r>
      <w:r w:rsidRPr="00733091">
        <w:rPr>
          <w:lang w:val="pl-PL"/>
        </w:rPr>
        <w:lastRenderedPageBreak/>
        <w:t xml:space="preserve">wielozadaniowych (których liczba zwiększyła się z 33 szt. w 2010 r. do 47 szt. </w:t>
      </w:r>
      <w:r w:rsidR="006120C4">
        <w:rPr>
          <w:lang w:val="pl-PL"/>
        </w:rPr>
        <w:br/>
      </w:r>
      <w:r w:rsidRPr="00733091">
        <w:rPr>
          <w:lang w:val="pl-PL"/>
        </w:rPr>
        <w:t>w 2018 r.).</w:t>
      </w:r>
    </w:p>
    <w:p w14:paraId="503957E2" w14:textId="02A027C4" w:rsidR="003711E3" w:rsidRPr="00733091" w:rsidRDefault="003711E3" w:rsidP="00733091">
      <w:pPr>
        <w:rPr>
          <w:lang w:val="pl-PL"/>
        </w:rPr>
      </w:pPr>
      <w:r w:rsidRPr="00733091">
        <w:rPr>
          <w:lang w:val="pl-PL"/>
        </w:rPr>
        <w:t xml:space="preserve">Rozwój infrastruktury sportowej jest związany z rozwojem aktywności fizycznej mieszkańców (w tym w formie zinsytucjonalizowanej). Od 2012 r. na terenie Południowych Mazur wzrasta liczba klubów sportowych (+2,5%), trenerów (+98,1%), osób ćwiczących (+14,8%) i członków klubów sportowych (+11,8%), </w:t>
      </w:r>
      <w:r w:rsidR="006120C4">
        <w:rPr>
          <w:lang w:val="pl-PL"/>
        </w:rPr>
        <w:br/>
      </w:r>
      <w:r w:rsidRPr="00733091">
        <w:rPr>
          <w:lang w:val="pl-PL"/>
        </w:rPr>
        <w:t xml:space="preserve">co wpływa na </w:t>
      </w:r>
      <w:r w:rsidRPr="00733091">
        <w:rPr>
          <w:b/>
          <w:bCs/>
          <w:lang w:val="pl-PL"/>
        </w:rPr>
        <w:t>zwiększenie poziomu integracji mieszkańców</w:t>
      </w:r>
      <w:r w:rsidRPr="00733091">
        <w:rPr>
          <w:lang w:val="pl-PL"/>
        </w:rPr>
        <w:t>. Mimo to wydatki na kulturę fizyczną sport i rekreację na 1 mieszkańca są niższe niż w grupie porównawczej.</w:t>
      </w:r>
    </w:p>
    <w:p w14:paraId="2776A37F" w14:textId="7B2D0A45" w:rsidR="003711E3" w:rsidRPr="00733091" w:rsidRDefault="003711E3" w:rsidP="00733091">
      <w:pPr>
        <w:rPr>
          <w:rFonts w:eastAsia="Times New Roman"/>
          <w:color w:val="000000"/>
          <w:lang w:val="pl-PL" w:eastAsia="pl-PL"/>
        </w:rPr>
      </w:pPr>
      <w:r w:rsidRPr="00733091">
        <w:rPr>
          <w:lang w:val="pl-PL"/>
        </w:rPr>
        <w:t xml:space="preserve">Na terenie Południowych Mazur </w:t>
      </w:r>
      <w:r w:rsidRPr="00733091">
        <w:rPr>
          <w:b/>
          <w:bCs/>
          <w:lang w:val="pl-PL"/>
        </w:rPr>
        <w:t>nie funkcjonują instytucje tzw. kultury wysokiej</w:t>
      </w:r>
      <w:r w:rsidRPr="00FD29D8">
        <w:rPr>
          <w:rStyle w:val="Odwoanieprzypisudolnego"/>
          <w:rFonts w:cstheme="majorHAnsi"/>
          <w:b/>
          <w:bCs/>
        </w:rPr>
        <w:footnoteReference w:id="56"/>
      </w:r>
      <w:r w:rsidRPr="00733091">
        <w:rPr>
          <w:lang w:val="pl-PL"/>
        </w:rPr>
        <w:t>, natomiast są dostępne instytucje muzealne (6 jednostek). W 2019 r. wskaźnik odwiedzających te obiekty osób w przeliczeniu na 1 tys. mieszkańców wyniósł średnio 315,5 co stanowiło 62% wartości wskaźnika wyznaczonego dla całego regionu (z liczbą muzeów = 32)</w:t>
      </w:r>
      <w:r w:rsidRPr="00733091">
        <w:rPr>
          <w:rFonts w:eastAsia="Times New Roman"/>
          <w:color w:val="000000"/>
          <w:lang w:val="pl-PL" w:eastAsia="pl-PL"/>
        </w:rPr>
        <w:t xml:space="preserve">. Jednocześnie ponad dwukrotnie wzrosły </w:t>
      </w:r>
      <w:r w:rsidRPr="00733091">
        <w:rPr>
          <w:rFonts w:eastAsia="Times New Roman"/>
          <w:color w:val="000000"/>
          <w:lang w:val="pl-PL" w:eastAsia="pl-PL"/>
        </w:rPr>
        <w:br/>
        <w:t>(w latach 2010-2019) wydatki na kulturę i dziedzictwo narodowe na 1 mieszkańca Południowych Mazur.</w:t>
      </w:r>
    </w:p>
    <w:p w14:paraId="6053C45F" w14:textId="13448F5B" w:rsidR="003711E3" w:rsidRDefault="003711E3" w:rsidP="00733091">
      <w:pPr>
        <w:rPr>
          <w:rFonts w:cstheme="minorHAnsi"/>
          <w:lang w:val="pl-PL"/>
        </w:rPr>
      </w:pPr>
      <w:r w:rsidRPr="00733091">
        <w:rPr>
          <w:lang w:val="pl-PL"/>
        </w:rPr>
        <w:t>Działalność kulturalna na obszarze Partnerstwa w okresie 2009-2019 była też realizowana za pomocą centrów kultury, domów kultury, ośrodków kultury</w:t>
      </w:r>
      <w:r w:rsidR="00A0313D">
        <w:rPr>
          <w:lang w:val="pl-PL"/>
        </w:rPr>
        <w:t>,</w:t>
      </w:r>
      <w:r w:rsidRPr="00733091">
        <w:rPr>
          <w:lang w:val="pl-PL"/>
        </w:rPr>
        <w:t xml:space="preserve"> świetlic (w 2019 r. łącznie działały 32 takie palcówki) oraz bibliotek. W badanym okresie 2009-2019 wzrosła liczba u</w:t>
      </w:r>
      <w:r w:rsidRPr="00733091">
        <w:rPr>
          <w:rFonts w:cstheme="minorHAnsi"/>
          <w:lang w:val="pl-PL"/>
        </w:rPr>
        <w:t xml:space="preserve">czestników zajęć w centrach, domach </w:t>
      </w:r>
      <w:r w:rsidR="006120C4">
        <w:rPr>
          <w:rFonts w:cstheme="minorHAnsi"/>
          <w:lang w:val="pl-PL"/>
        </w:rPr>
        <w:br/>
      </w:r>
      <w:r w:rsidRPr="00733091">
        <w:rPr>
          <w:rFonts w:cstheme="minorHAnsi"/>
          <w:lang w:val="pl-PL"/>
        </w:rPr>
        <w:t xml:space="preserve">i ośrodkach kultury (z 2.626 uczestników w 2009 r. do 4.634 uczestników w 2019 r.), co może świadczyć </w:t>
      </w:r>
      <w:r w:rsidRPr="00733091">
        <w:rPr>
          <w:rFonts w:cstheme="minorHAnsi"/>
          <w:b/>
          <w:bCs/>
          <w:lang w:val="pl-PL"/>
        </w:rPr>
        <w:t>o wzrastającym poziomie integracji społecznej</w:t>
      </w:r>
      <w:r w:rsidRPr="00733091">
        <w:rPr>
          <w:rFonts w:cstheme="minorHAnsi"/>
          <w:lang w:val="pl-PL"/>
        </w:rPr>
        <w:t xml:space="preserve"> mieszkańców obszaru.</w:t>
      </w:r>
    </w:p>
    <w:p w14:paraId="0283727B" w14:textId="6E967EE1" w:rsidR="001C373F" w:rsidRDefault="001C373F" w:rsidP="00733091">
      <w:pPr>
        <w:rPr>
          <w:rFonts w:cstheme="minorHAnsi"/>
          <w:lang w:val="pl-PL"/>
        </w:rPr>
      </w:pPr>
      <w:r>
        <w:rPr>
          <w:rFonts w:cstheme="majorHAnsi"/>
          <w:noProof/>
        </w:rPr>
        <mc:AlternateContent>
          <mc:Choice Requires="wps">
            <w:drawing>
              <wp:anchor distT="0" distB="0" distL="114300" distR="114300" simplePos="0" relativeHeight="251658253" behindDoc="0" locked="0" layoutInCell="1" allowOverlap="1" wp14:anchorId="45071407" wp14:editId="365954C2">
                <wp:simplePos x="0" y="0"/>
                <wp:positionH relativeFrom="margin">
                  <wp:align>right</wp:align>
                </wp:positionH>
                <wp:positionV relativeFrom="paragraph">
                  <wp:posOffset>7620</wp:posOffset>
                </wp:positionV>
                <wp:extent cx="5242560" cy="1737360"/>
                <wp:effectExtent l="0" t="0" r="15240" b="15240"/>
                <wp:wrapNone/>
                <wp:docPr id="22" name="Pole tekstowe 22"/>
                <wp:cNvGraphicFramePr/>
                <a:graphic xmlns:a="http://schemas.openxmlformats.org/drawingml/2006/main">
                  <a:graphicData uri="http://schemas.microsoft.com/office/word/2010/wordprocessingShape">
                    <wps:wsp>
                      <wps:cNvSpPr txBox="1"/>
                      <wps:spPr>
                        <a:xfrm>
                          <a:off x="0" y="0"/>
                          <a:ext cx="5242560" cy="1737360"/>
                        </a:xfrm>
                        <a:prstGeom prst="rect">
                          <a:avLst/>
                        </a:prstGeom>
                        <a:solidFill>
                          <a:schemeClr val="accent1">
                            <a:lumMod val="20000"/>
                            <a:lumOff val="80000"/>
                          </a:schemeClr>
                        </a:solidFill>
                        <a:ln w="6350">
                          <a:solidFill>
                            <a:schemeClr val="accent1"/>
                          </a:solidFill>
                        </a:ln>
                      </wps:spPr>
                      <wps:txbx>
                        <w:txbxContent>
                          <w:p w14:paraId="47E10AAC" w14:textId="77777777" w:rsidR="00B14787" w:rsidRPr="00733091" w:rsidRDefault="00B14787" w:rsidP="001C373F">
                            <w:pPr>
                              <w:spacing w:before="100" w:beforeAutospacing="1" w:after="100" w:afterAutospacing="1" w:line="240" w:lineRule="auto"/>
                              <w:ind w:left="142"/>
                              <w:contextualSpacing/>
                              <w:jc w:val="both"/>
                              <w:rPr>
                                <w:rFonts w:eastAsia="Times New Roman" w:cs="Times New Roman"/>
                                <w:b/>
                                <w:bCs/>
                                <w:sz w:val="20"/>
                                <w:szCs w:val="20"/>
                                <w:lang w:val="pl-PL" w:eastAsia="pl-PL"/>
                              </w:rPr>
                            </w:pPr>
                            <w:r w:rsidRPr="001C373F">
                              <w:rPr>
                                <w:rFonts w:eastAsia="Times New Roman" w:cs="Times New Roman"/>
                                <w:szCs w:val="24"/>
                                <w:lang w:val="pl-PL" w:eastAsia="pl-PL"/>
                              </w:rPr>
                              <w:t xml:space="preserve">Mimo rozwoju infrastruktury sportowej i zwiększonych wydatków na kulturę i dziedzictwo narodowe </w:t>
                            </w:r>
                            <w:r w:rsidRPr="001C373F">
                              <w:rPr>
                                <w:rFonts w:eastAsia="Times New Roman" w:cs="Times New Roman"/>
                                <w:b/>
                                <w:bCs/>
                                <w:szCs w:val="24"/>
                                <w:lang w:val="pl-PL" w:eastAsia="pl-PL"/>
                              </w:rPr>
                              <w:t>oferta i infrastruktura kulturalna i rozrywkowa</w:t>
                            </w:r>
                            <w:r w:rsidRPr="001C373F">
                              <w:rPr>
                                <w:rFonts w:eastAsia="Times New Roman" w:cs="Times New Roman"/>
                                <w:szCs w:val="24"/>
                                <w:lang w:val="pl-PL" w:eastAsia="pl-PL"/>
                              </w:rPr>
                              <w:t xml:space="preserve"> jest według </w:t>
                            </w:r>
                            <w:r w:rsidRPr="001C373F">
                              <w:rPr>
                                <w:rFonts w:eastAsia="Times New Roman" w:cs="Times New Roman"/>
                                <w:b/>
                                <w:bCs/>
                                <w:szCs w:val="24"/>
                                <w:lang w:val="pl-PL" w:eastAsia="pl-PL"/>
                              </w:rPr>
                              <w:t>67,1%</w:t>
                            </w:r>
                            <w:r w:rsidRPr="001C373F">
                              <w:rPr>
                                <w:rFonts w:eastAsia="Times New Roman" w:cs="Times New Roman"/>
                                <w:szCs w:val="24"/>
                                <w:lang w:val="pl-PL" w:eastAsia="pl-PL"/>
                              </w:rPr>
                              <w:t xml:space="preserve"> mieszkańców </w:t>
                            </w:r>
                            <w:r w:rsidRPr="001C373F">
                              <w:rPr>
                                <w:rFonts w:eastAsia="Times New Roman" w:cs="Times New Roman"/>
                                <w:b/>
                                <w:bCs/>
                                <w:szCs w:val="24"/>
                                <w:lang w:val="pl-PL" w:eastAsia="pl-PL"/>
                              </w:rPr>
                              <w:t xml:space="preserve">słabą stroną Partnerstwa. </w:t>
                            </w:r>
                            <w:r w:rsidRPr="001C373F">
                              <w:rPr>
                                <w:rFonts w:eastAsia="Times New Roman" w:cs="Times New Roman"/>
                                <w:szCs w:val="24"/>
                                <w:lang w:val="pl-PL" w:eastAsia="pl-PL"/>
                              </w:rPr>
                              <w:t xml:space="preserve">Jednocześnie </w:t>
                            </w:r>
                            <w:r w:rsidRPr="001C373F">
                              <w:rPr>
                                <w:rFonts w:eastAsia="Times New Roman" w:cs="Times New Roman"/>
                                <w:b/>
                                <w:bCs/>
                                <w:szCs w:val="24"/>
                                <w:lang w:val="pl-PL" w:eastAsia="pl-PL"/>
                              </w:rPr>
                              <w:t>55,06%</w:t>
                            </w:r>
                            <w:r w:rsidRPr="001C373F">
                              <w:rPr>
                                <w:rFonts w:eastAsia="Times New Roman" w:cs="Times New Roman"/>
                                <w:szCs w:val="24"/>
                                <w:lang w:val="pl-PL" w:eastAsia="pl-PL"/>
                              </w:rPr>
                              <w:t xml:space="preserve"> mieszkańców Partnerstwa twierdzi, że na obszarze Partnerstwa w pierwszej kolejności powinny być realizowane działania w zakresie poprawy </w:t>
                            </w:r>
                            <w:r w:rsidRPr="001C373F">
                              <w:rPr>
                                <w:rFonts w:eastAsia="Times New Roman" w:cs="Times New Roman"/>
                                <w:b/>
                                <w:bCs/>
                                <w:szCs w:val="24"/>
                                <w:lang w:val="pl-PL" w:eastAsia="pl-PL"/>
                              </w:rPr>
                              <w:t>oferty i infrastruktury sportowej i rekreacyjnej</w:t>
                            </w:r>
                            <w:r w:rsidRPr="001C373F">
                              <w:rPr>
                                <w:rFonts w:eastAsia="Times New Roman" w:cs="Times New Roman"/>
                                <w:szCs w:val="24"/>
                                <w:lang w:val="pl-PL" w:eastAsia="pl-PL"/>
                              </w:rPr>
                              <w:t xml:space="preserve">. Uatrakcyjnienie </w:t>
                            </w:r>
                            <w:r w:rsidRPr="001C373F">
                              <w:rPr>
                                <w:rFonts w:eastAsia="Times New Roman" w:cs="Times New Roman"/>
                                <w:b/>
                                <w:bCs/>
                                <w:szCs w:val="24"/>
                                <w:lang w:val="pl-PL" w:eastAsia="pl-PL"/>
                              </w:rPr>
                              <w:t>oferty kulturalnej i spędzania czasu</w:t>
                            </w:r>
                            <w:r w:rsidRPr="001C373F">
                              <w:rPr>
                                <w:rFonts w:eastAsia="Times New Roman" w:cs="Times New Roman"/>
                                <w:szCs w:val="24"/>
                                <w:lang w:val="pl-PL" w:eastAsia="pl-PL"/>
                              </w:rPr>
                              <w:t xml:space="preserve"> </w:t>
                            </w:r>
                            <w:r w:rsidRPr="001C373F">
                              <w:rPr>
                                <w:rFonts w:eastAsia="Times New Roman" w:cs="Times New Roman"/>
                                <w:b/>
                                <w:bCs/>
                                <w:szCs w:val="24"/>
                                <w:lang w:val="pl-PL" w:eastAsia="pl-PL"/>
                              </w:rPr>
                              <w:t>wolnego</w:t>
                            </w:r>
                            <w:r w:rsidRPr="001C373F">
                              <w:rPr>
                                <w:rFonts w:eastAsia="Times New Roman" w:cs="Times New Roman"/>
                                <w:szCs w:val="24"/>
                                <w:lang w:val="pl-PL" w:eastAsia="pl-PL"/>
                              </w:rPr>
                              <w:t xml:space="preserve"> powinno być priorytetowym działaniem według </w:t>
                            </w:r>
                            <w:r w:rsidRPr="001C373F">
                              <w:rPr>
                                <w:rFonts w:eastAsia="Times New Roman" w:cs="Times New Roman"/>
                                <w:b/>
                                <w:bCs/>
                                <w:szCs w:val="24"/>
                                <w:lang w:val="pl-PL" w:eastAsia="pl-PL"/>
                              </w:rPr>
                              <w:t>39,90%</w:t>
                            </w:r>
                            <w:r w:rsidRPr="001C373F">
                              <w:rPr>
                                <w:rFonts w:eastAsia="Times New Roman" w:cs="Times New Roman"/>
                                <w:szCs w:val="24"/>
                                <w:lang w:val="pl-PL" w:eastAsia="pl-PL"/>
                              </w:rPr>
                              <w:t xml:space="preserve"> mieszkańców</w:t>
                            </w:r>
                            <w:r w:rsidRPr="00733091">
                              <w:rPr>
                                <w:rFonts w:eastAsia="Times New Roman" w:cs="Times New Roman"/>
                                <w:sz w:val="20"/>
                                <w:szCs w:val="20"/>
                                <w:lang w:val="pl-PL" w:eastAsia="pl-PL"/>
                              </w:rPr>
                              <w:t xml:space="preserve">. </w:t>
                            </w:r>
                          </w:p>
                          <w:p w14:paraId="1F635489" w14:textId="77777777" w:rsidR="00B14787" w:rsidRPr="00733091" w:rsidRDefault="00B14787" w:rsidP="003711E3">
                            <w:pPr>
                              <w:rPr>
                                <w:sz w:val="18"/>
                                <w:szCs w:val="18"/>
                                <w:lang w:val="pl-P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071407" id="Pole tekstowe 22" o:spid="_x0000_s1034" type="#_x0000_t202" style="position:absolute;left:0;text-align:left;margin-left:361.6pt;margin-top:.6pt;width:412.8pt;height:136.8pt;z-index:251658253;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" fillcolor="#d9e2f3 [660]" strokecolor="#4472c4 [3204]" strokeweight=".5pt">
                <v:textbox>
                  <w:txbxContent>
                    <w:p w14:paraId="47E10AAC" w14:textId="77777777" w:rsidR="00B14787" w:rsidRPr="00733091" w:rsidRDefault="00B14787" w:rsidP="001C373F">
                      <w:pPr>
                        <w:spacing w:before="100" w:beforeAutospacing="1" w:after="100" w:afterAutospacing="1" w:line="240" w:lineRule="auto"/>
                        <w:ind w:left="142"/>
                        <w:contextualSpacing/>
                        <w:jc w:val="both"/>
                        <w:rPr>
                          <w:rFonts w:eastAsia="Times New Roman" w:cs="Times New Roman"/>
                          <w:b/>
                          <w:bCs/>
                          <w:sz w:val="20"/>
                          <w:szCs w:val="20"/>
                          <w:lang w:val="pl-PL" w:eastAsia="pl-PL"/>
                        </w:rPr>
                      </w:pPr>
                      <w:r w:rsidRPr="001C373F">
                        <w:rPr>
                          <w:rFonts w:eastAsia="Times New Roman" w:cs="Times New Roman"/>
                          <w:szCs w:val="24"/>
                          <w:lang w:val="pl-PL" w:eastAsia="pl-PL"/>
                        </w:rPr>
                        <w:t xml:space="preserve">Mimo rozwoju infrastruktury sportowej i zwiększonych wydatków na kulturę i dziedzictwo narodowe </w:t>
                      </w:r>
                      <w:r w:rsidRPr="001C373F">
                        <w:rPr>
                          <w:rFonts w:eastAsia="Times New Roman" w:cs="Times New Roman"/>
                          <w:b/>
                          <w:bCs/>
                          <w:szCs w:val="24"/>
                          <w:lang w:val="pl-PL" w:eastAsia="pl-PL"/>
                        </w:rPr>
                        <w:t>oferta i infrastruktura kulturalna i rozrywkowa</w:t>
                      </w:r>
                      <w:r w:rsidRPr="001C373F">
                        <w:rPr>
                          <w:rFonts w:eastAsia="Times New Roman" w:cs="Times New Roman"/>
                          <w:szCs w:val="24"/>
                          <w:lang w:val="pl-PL" w:eastAsia="pl-PL"/>
                        </w:rPr>
                        <w:t xml:space="preserve"> jest według </w:t>
                      </w:r>
                      <w:r w:rsidRPr="001C373F">
                        <w:rPr>
                          <w:rFonts w:eastAsia="Times New Roman" w:cs="Times New Roman"/>
                          <w:b/>
                          <w:bCs/>
                          <w:szCs w:val="24"/>
                          <w:lang w:val="pl-PL" w:eastAsia="pl-PL"/>
                        </w:rPr>
                        <w:t>67,1%</w:t>
                      </w:r>
                      <w:r w:rsidRPr="001C373F">
                        <w:rPr>
                          <w:rFonts w:eastAsia="Times New Roman" w:cs="Times New Roman"/>
                          <w:szCs w:val="24"/>
                          <w:lang w:val="pl-PL" w:eastAsia="pl-PL"/>
                        </w:rPr>
                        <w:t xml:space="preserve"> mieszkańców </w:t>
                      </w:r>
                      <w:r w:rsidRPr="001C373F">
                        <w:rPr>
                          <w:rFonts w:eastAsia="Times New Roman" w:cs="Times New Roman"/>
                          <w:b/>
                          <w:bCs/>
                          <w:szCs w:val="24"/>
                          <w:lang w:val="pl-PL" w:eastAsia="pl-PL"/>
                        </w:rPr>
                        <w:t xml:space="preserve">słabą stroną Partnerstwa. </w:t>
                      </w:r>
                      <w:r w:rsidRPr="001C373F">
                        <w:rPr>
                          <w:rFonts w:eastAsia="Times New Roman" w:cs="Times New Roman"/>
                          <w:szCs w:val="24"/>
                          <w:lang w:val="pl-PL" w:eastAsia="pl-PL"/>
                        </w:rPr>
                        <w:t xml:space="preserve">Jednocześnie </w:t>
                      </w:r>
                      <w:r w:rsidRPr="001C373F">
                        <w:rPr>
                          <w:rFonts w:eastAsia="Times New Roman" w:cs="Times New Roman"/>
                          <w:b/>
                          <w:bCs/>
                          <w:szCs w:val="24"/>
                          <w:lang w:val="pl-PL" w:eastAsia="pl-PL"/>
                        </w:rPr>
                        <w:t>55,06%</w:t>
                      </w:r>
                      <w:r w:rsidRPr="001C373F">
                        <w:rPr>
                          <w:rFonts w:eastAsia="Times New Roman" w:cs="Times New Roman"/>
                          <w:szCs w:val="24"/>
                          <w:lang w:val="pl-PL" w:eastAsia="pl-PL"/>
                        </w:rPr>
                        <w:t xml:space="preserve"> mieszkańców Partnerstwa twierdzi, że na obszarze Partnerstwa w pierwszej kolejności powinny być realizowane działania w zakresie poprawy </w:t>
                      </w:r>
                      <w:r w:rsidRPr="001C373F">
                        <w:rPr>
                          <w:rFonts w:eastAsia="Times New Roman" w:cs="Times New Roman"/>
                          <w:b/>
                          <w:bCs/>
                          <w:szCs w:val="24"/>
                          <w:lang w:val="pl-PL" w:eastAsia="pl-PL"/>
                        </w:rPr>
                        <w:t>oferty i infrastruktury sportowej i rekreacyjnej</w:t>
                      </w:r>
                      <w:r w:rsidRPr="001C373F">
                        <w:rPr>
                          <w:rFonts w:eastAsia="Times New Roman" w:cs="Times New Roman"/>
                          <w:szCs w:val="24"/>
                          <w:lang w:val="pl-PL" w:eastAsia="pl-PL"/>
                        </w:rPr>
                        <w:t xml:space="preserve">. Uatrakcyjnienie </w:t>
                      </w:r>
                      <w:r w:rsidRPr="001C373F">
                        <w:rPr>
                          <w:rFonts w:eastAsia="Times New Roman" w:cs="Times New Roman"/>
                          <w:b/>
                          <w:bCs/>
                          <w:szCs w:val="24"/>
                          <w:lang w:val="pl-PL" w:eastAsia="pl-PL"/>
                        </w:rPr>
                        <w:t>oferty kulturalnej i spędzania czasu</w:t>
                      </w:r>
                      <w:r w:rsidRPr="001C373F">
                        <w:rPr>
                          <w:rFonts w:eastAsia="Times New Roman" w:cs="Times New Roman"/>
                          <w:szCs w:val="24"/>
                          <w:lang w:val="pl-PL" w:eastAsia="pl-PL"/>
                        </w:rPr>
                        <w:t xml:space="preserve"> </w:t>
                      </w:r>
                      <w:r w:rsidRPr="001C373F">
                        <w:rPr>
                          <w:rFonts w:eastAsia="Times New Roman" w:cs="Times New Roman"/>
                          <w:b/>
                          <w:bCs/>
                          <w:szCs w:val="24"/>
                          <w:lang w:val="pl-PL" w:eastAsia="pl-PL"/>
                        </w:rPr>
                        <w:t>wolnego</w:t>
                      </w:r>
                      <w:r w:rsidRPr="001C373F">
                        <w:rPr>
                          <w:rFonts w:eastAsia="Times New Roman" w:cs="Times New Roman"/>
                          <w:szCs w:val="24"/>
                          <w:lang w:val="pl-PL" w:eastAsia="pl-PL"/>
                        </w:rPr>
                        <w:t xml:space="preserve"> powinno być priorytetowym działaniem według </w:t>
                      </w:r>
                      <w:r w:rsidRPr="001C373F">
                        <w:rPr>
                          <w:rFonts w:eastAsia="Times New Roman" w:cs="Times New Roman"/>
                          <w:b/>
                          <w:bCs/>
                          <w:szCs w:val="24"/>
                          <w:lang w:val="pl-PL" w:eastAsia="pl-PL"/>
                        </w:rPr>
                        <w:t>39,90%</w:t>
                      </w:r>
                      <w:r w:rsidRPr="001C373F">
                        <w:rPr>
                          <w:rFonts w:eastAsia="Times New Roman" w:cs="Times New Roman"/>
                          <w:szCs w:val="24"/>
                          <w:lang w:val="pl-PL" w:eastAsia="pl-PL"/>
                        </w:rPr>
                        <w:t xml:space="preserve"> mieszkańców</w:t>
                      </w:r>
                      <w:r w:rsidRPr="00733091">
                        <w:rPr>
                          <w:rFonts w:eastAsia="Times New Roman" w:cs="Times New Roman"/>
                          <w:sz w:val="20"/>
                          <w:szCs w:val="20"/>
                          <w:lang w:val="pl-PL" w:eastAsia="pl-PL"/>
                        </w:rPr>
                        <w:t xml:space="preserve">. </w:t>
                      </w:r>
                    </w:p>
                    <w:p w14:paraId="1F635489" w14:textId="77777777" w:rsidR="00B14787" w:rsidRPr="00733091" w:rsidRDefault="00B14787" w:rsidP="003711E3">
                      <w:pPr>
                        <w:rPr>
                          <w:sz w:val="18"/>
                          <w:szCs w:val="18"/>
                          <w:lang w:val="pl-PL"/>
                        </w:rPr>
                      </w:pPr>
                    </w:p>
                  </w:txbxContent>
                </v:textbox>
                <w10:wrap anchorx="margin"/>
              </v:shape>
            </w:pict>
          </mc:Fallback>
        </mc:AlternateContent>
      </w:r>
    </w:p>
    <w:p w14:paraId="24FB2785" w14:textId="30E2860D" w:rsidR="001C373F" w:rsidRPr="00733091" w:rsidRDefault="001C373F" w:rsidP="00733091">
      <w:pPr>
        <w:rPr>
          <w:rFonts w:cstheme="minorHAnsi"/>
          <w:lang w:val="pl-PL"/>
        </w:rPr>
      </w:pPr>
    </w:p>
    <w:p w14:paraId="08A15272" w14:textId="101772A9" w:rsidR="003711E3" w:rsidRPr="00733091" w:rsidRDefault="003711E3" w:rsidP="00733091">
      <w:pPr>
        <w:contextualSpacing/>
        <w:rPr>
          <w:highlight w:val="green"/>
          <w:lang w:val="pl-PL"/>
        </w:rPr>
      </w:pPr>
    </w:p>
    <w:p w14:paraId="2FE4A267" w14:textId="36B796E4" w:rsidR="003711E3" w:rsidRPr="00733091" w:rsidRDefault="003711E3" w:rsidP="00733091">
      <w:pPr>
        <w:contextualSpacing/>
        <w:rPr>
          <w:highlight w:val="green"/>
          <w:lang w:val="pl-PL"/>
        </w:rPr>
      </w:pPr>
    </w:p>
    <w:p w14:paraId="71370BBA" w14:textId="77777777" w:rsidR="003711E3" w:rsidRPr="00733091" w:rsidRDefault="003711E3" w:rsidP="00733091">
      <w:pPr>
        <w:contextualSpacing/>
        <w:rPr>
          <w:highlight w:val="green"/>
          <w:lang w:val="pl-PL"/>
        </w:rPr>
      </w:pPr>
    </w:p>
    <w:p w14:paraId="67C9D541" w14:textId="7A894773" w:rsidR="003711E3" w:rsidRPr="005B63BD" w:rsidRDefault="003711E3" w:rsidP="00733091">
      <w:pPr>
        <w:contextualSpacing/>
        <w:rPr>
          <w:highlight w:val="green"/>
          <w:lang w:val="pl-PL"/>
        </w:rPr>
      </w:pPr>
    </w:p>
    <w:p w14:paraId="04FCA03E" w14:textId="77777777" w:rsidR="003711E3" w:rsidRPr="005B63BD" w:rsidRDefault="003711E3" w:rsidP="00733091">
      <w:pPr>
        <w:ind w:left="0"/>
        <w:contextualSpacing/>
        <w:rPr>
          <w:highlight w:val="green"/>
          <w:lang w:val="pl-PL"/>
        </w:rPr>
      </w:pPr>
    </w:p>
    <w:p w14:paraId="6E2225F5" w14:textId="3A902672" w:rsidR="00284D34" w:rsidRPr="001C373F" w:rsidRDefault="00EC081E" w:rsidP="00733091">
      <w:pPr>
        <w:pStyle w:val="Nagwek3"/>
        <w:spacing w:after="240"/>
        <w:rPr>
          <w:lang w:val="pl-PL"/>
        </w:rPr>
      </w:pPr>
      <w:bookmarkStart w:id="72" w:name="_Toc69725438"/>
      <w:r w:rsidRPr="001C373F">
        <w:rPr>
          <w:lang w:val="pl-PL"/>
        </w:rPr>
        <w:lastRenderedPageBreak/>
        <w:t>Dostępność i jakość zasobów mieszkaniowych</w:t>
      </w:r>
      <w:bookmarkEnd w:id="72"/>
    </w:p>
    <w:p w14:paraId="7A9EEBD5" w14:textId="741204AA" w:rsidR="006C4290" w:rsidRDefault="003711E3" w:rsidP="006C4290">
      <w:pPr>
        <w:rPr>
          <w:lang w:val="pl-PL"/>
        </w:rPr>
      </w:pPr>
      <w:r w:rsidRPr="00733091">
        <w:rPr>
          <w:lang w:val="pl-PL"/>
        </w:rPr>
        <w:t>Do grupy czynników determinujących jakość życia mieszkańców zalicza się dostępność i jakość zasobów mieszkaniowych</w:t>
      </w:r>
      <w:r w:rsidR="006C4290">
        <w:rPr>
          <w:lang w:val="pl-PL"/>
        </w:rPr>
        <w:t xml:space="preserve">. </w:t>
      </w:r>
    </w:p>
    <w:p w14:paraId="1A1DDDFA" w14:textId="6D799846" w:rsidR="006C4290" w:rsidRDefault="003711E3" w:rsidP="00733091">
      <w:pPr>
        <w:rPr>
          <w:lang w:val="pl-PL"/>
        </w:rPr>
      </w:pPr>
      <w:r w:rsidRPr="00733091">
        <w:rPr>
          <w:lang w:val="pl-PL"/>
        </w:rPr>
        <w:t>W 2018 r. ludność z terenu Południowych Mazur zamieszkiwała w 104.207 mieszkaniach o łącznej powierzchni 7.009.022 m</w:t>
      </w:r>
      <w:r w:rsidRPr="00733091">
        <w:rPr>
          <w:vertAlign w:val="superscript"/>
          <w:lang w:val="pl-PL"/>
        </w:rPr>
        <w:t>2</w:t>
      </w:r>
      <w:r w:rsidRPr="00733091">
        <w:rPr>
          <w:lang w:val="pl-PL"/>
        </w:rPr>
        <w:t xml:space="preserve">. </w:t>
      </w:r>
      <w:r w:rsidR="006C4290">
        <w:rPr>
          <w:lang w:val="pl-PL"/>
        </w:rPr>
        <w:t>Liczba mieszkań na 1000 mieszkańców Południowych Mazur w okresie 2015-2018 była niższa niż w grupie porównawczej</w:t>
      </w:r>
      <w:r w:rsidR="006C4290">
        <w:rPr>
          <w:rStyle w:val="Odwoanieprzypisudolnego"/>
          <w:lang w:val="pl-PL"/>
        </w:rPr>
        <w:footnoteReference w:id="57"/>
      </w:r>
      <w:r w:rsidR="006C4290">
        <w:rPr>
          <w:lang w:val="pl-PL"/>
        </w:rPr>
        <w:t xml:space="preserve"> (choć sytuacja w tym zakresie nieznacznie się poprawia od 2015 r.).</w:t>
      </w:r>
    </w:p>
    <w:p w14:paraId="5F468A9D" w14:textId="06D96E34" w:rsidR="003711E3" w:rsidRPr="00733091" w:rsidRDefault="003711E3" w:rsidP="00733091">
      <w:pPr>
        <w:rPr>
          <w:lang w:val="pl-PL"/>
        </w:rPr>
      </w:pPr>
      <w:r w:rsidRPr="00733091">
        <w:rPr>
          <w:lang w:val="pl-PL"/>
        </w:rPr>
        <w:t>W 2019 r. średnia powierzchnia mieszkania w Południowych Mazurach wyniosła 73,4 m</w:t>
      </w:r>
      <w:r w:rsidRPr="00733091">
        <w:rPr>
          <w:vertAlign w:val="superscript"/>
          <w:lang w:val="pl-PL"/>
        </w:rPr>
        <w:t>2</w:t>
      </w:r>
      <w:r w:rsidRPr="00733091">
        <w:rPr>
          <w:lang w:val="pl-PL"/>
        </w:rPr>
        <w:t xml:space="preserve"> i była wyższa od średniej wojewódzkiej (68,9 m</w:t>
      </w:r>
      <w:r w:rsidRPr="00733091">
        <w:rPr>
          <w:vertAlign w:val="superscript"/>
          <w:lang w:val="pl-PL"/>
        </w:rPr>
        <w:t>2</w:t>
      </w:r>
      <w:r w:rsidRPr="00733091">
        <w:rPr>
          <w:lang w:val="pl-PL"/>
        </w:rPr>
        <w:t>) i nieznacznie niższa od średniej krajowej (74,4 m</w:t>
      </w:r>
      <w:r w:rsidRPr="00733091">
        <w:rPr>
          <w:vertAlign w:val="superscript"/>
          <w:lang w:val="pl-PL"/>
        </w:rPr>
        <w:t>2</w:t>
      </w:r>
      <w:r w:rsidRPr="00733091">
        <w:rPr>
          <w:lang w:val="pl-PL"/>
        </w:rPr>
        <w:t>). 64,2% mieszkań było własnością osób fizycznych.</w:t>
      </w:r>
    </w:p>
    <w:p w14:paraId="358221B4" w14:textId="4D363D97" w:rsidR="003711E3" w:rsidRPr="00733091" w:rsidRDefault="003711E3" w:rsidP="00733091">
      <w:pPr>
        <w:rPr>
          <w:lang w:val="pl-PL"/>
        </w:rPr>
      </w:pPr>
      <w:r w:rsidRPr="00733091">
        <w:rPr>
          <w:lang w:val="pl-PL"/>
        </w:rPr>
        <w:t xml:space="preserve">Na tle sytuacji krajowej i regionalnej </w:t>
      </w:r>
      <w:r w:rsidRPr="00733091">
        <w:rPr>
          <w:b/>
          <w:bCs/>
          <w:lang w:val="pl-PL"/>
        </w:rPr>
        <w:t>jakość mieszkań</w:t>
      </w:r>
      <w:r w:rsidRPr="00733091">
        <w:rPr>
          <w:lang w:val="pl-PL"/>
        </w:rPr>
        <w:t xml:space="preserve"> w Południowych Mazurach prezentowała się </w:t>
      </w:r>
      <w:r w:rsidRPr="00733091">
        <w:rPr>
          <w:b/>
          <w:bCs/>
          <w:lang w:val="pl-PL"/>
        </w:rPr>
        <w:t>korzystnie</w:t>
      </w:r>
      <w:r w:rsidRPr="00733091">
        <w:rPr>
          <w:lang w:val="pl-PL"/>
        </w:rPr>
        <w:t>; mieszkania były wyposażone w wodociąg, kanalizację, centralne ogrzewanie. Wyjątek stanowi wyposażenie mieszkań w instalację gazową sieciową (w 2018 r. w instalację gazową wyposażone było tylko 25% mieszkań, podczas gdy w kraju 38,5%, a w województwie 30,6%).</w:t>
      </w:r>
    </w:p>
    <w:p w14:paraId="5C53CAAF" w14:textId="04AED832" w:rsidR="003711E3" w:rsidRPr="00733091" w:rsidRDefault="003711E3" w:rsidP="00733091">
      <w:pPr>
        <w:rPr>
          <w:rFonts w:cstheme="majorHAnsi"/>
          <w:lang w:val="pl-PL"/>
        </w:rPr>
      </w:pPr>
      <w:r w:rsidRPr="00733091">
        <w:rPr>
          <w:lang w:val="pl-PL"/>
        </w:rPr>
        <w:t>W Południowych Mazurach o</w:t>
      </w:r>
      <w:r w:rsidRPr="00733091">
        <w:rPr>
          <w:rFonts w:cstheme="majorHAnsi"/>
          <w:lang w:val="pl-PL"/>
        </w:rPr>
        <w:t>d 2009 r. rosła liczba nowo oddanych mieszkań (wzrost o 9,94% z 625</w:t>
      </w:r>
      <w:r w:rsidR="001C373F">
        <w:rPr>
          <w:rFonts w:cstheme="majorHAnsi"/>
          <w:lang w:val="pl-PL"/>
        </w:rPr>
        <w:t xml:space="preserve"> </w:t>
      </w:r>
      <w:r w:rsidRPr="00733091">
        <w:rPr>
          <w:rFonts w:cstheme="majorHAnsi"/>
          <w:lang w:val="pl-PL"/>
        </w:rPr>
        <w:t>w 2009 r. do 763 w 2019 r.), co oznacza nieznaczny wzrost dostępności mieszkań; spadała natomiast wielkość nowo oddanych powierzchni mieszkaniowych (o 5,42%).</w:t>
      </w:r>
    </w:p>
    <w:p w14:paraId="159382AE" w14:textId="011A6AA3" w:rsidR="003711E3" w:rsidRPr="00733091" w:rsidRDefault="003711E3" w:rsidP="00733091">
      <w:pPr>
        <w:rPr>
          <w:lang w:val="pl-PL"/>
        </w:rPr>
      </w:pPr>
      <w:r w:rsidRPr="00733091">
        <w:rPr>
          <w:lang w:val="pl-PL"/>
        </w:rPr>
        <w:t xml:space="preserve">W badanym okresie nieznacznie wrosły możliwości nabywcze mieszkańców (co może świadczyć o wzrastającym potencjale ekonomicznym mieszkańców). </w:t>
      </w:r>
      <w:r w:rsidR="001C373F">
        <w:rPr>
          <w:lang w:val="pl-PL"/>
        </w:rPr>
        <w:br/>
      </w:r>
      <w:r w:rsidRPr="00733091">
        <w:rPr>
          <w:lang w:val="pl-PL"/>
        </w:rPr>
        <w:t xml:space="preserve">W badanym okresie wzrosła bowiem liczba lokali mieszkalnych sprzedanych </w:t>
      </w:r>
      <w:r w:rsidR="006C4290">
        <w:rPr>
          <w:lang w:val="pl-PL"/>
        </w:rPr>
        <w:br/>
      </w:r>
      <w:r w:rsidRPr="00733091">
        <w:rPr>
          <w:lang w:val="pl-PL"/>
        </w:rPr>
        <w:t xml:space="preserve">w ramach transakcji rynkowych w przeliczeniu na 1000 mieszkańców (wzrost </w:t>
      </w:r>
      <w:r w:rsidR="006C4290">
        <w:rPr>
          <w:lang w:val="pl-PL"/>
        </w:rPr>
        <w:br/>
      </w:r>
      <w:r w:rsidRPr="00733091">
        <w:rPr>
          <w:lang w:val="pl-PL"/>
        </w:rPr>
        <w:t>o 71,09% z 26,1 w 2015 r. do 36,1 w 2019 r.).</w:t>
      </w:r>
      <w:r w:rsidR="006C4290">
        <w:rPr>
          <w:lang w:val="pl-PL"/>
        </w:rPr>
        <w:t xml:space="preserve"> </w:t>
      </w:r>
    </w:p>
    <w:p w14:paraId="5708FE4A" w14:textId="275551E6" w:rsidR="003711E3" w:rsidRPr="00733091" w:rsidRDefault="00943A9D" w:rsidP="001C373F">
      <w:pPr>
        <w:ind w:left="0"/>
        <w:rPr>
          <w:lang w:val="pl-PL"/>
        </w:rPr>
      </w:pPr>
      <w:r>
        <w:rPr>
          <w:rFonts w:cstheme="majorHAnsi"/>
          <w:noProof/>
          <w:color w:val="44546A" w:themeColor="text2"/>
          <w:sz w:val="18"/>
          <w:szCs w:val="18"/>
        </w:rPr>
        <mc:AlternateContent>
          <mc:Choice Requires="wps">
            <w:drawing>
              <wp:anchor distT="0" distB="0" distL="114300" distR="114300" simplePos="0" relativeHeight="251658254" behindDoc="0" locked="0" layoutInCell="1" allowOverlap="1" wp14:anchorId="0959FC06" wp14:editId="6AF39DDF">
                <wp:simplePos x="0" y="0"/>
                <wp:positionH relativeFrom="column">
                  <wp:posOffset>437716</wp:posOffset>
                </wp:positionH>
                <wp:positionV relativeFrom="paragraph">
                  <wp:posOffset>13984</wp:posOffset>
                </wp:positionV>
                <wp:extent cx="5349240" cy="1048215"/>
                <wp:effectExtent l="0" t="0" r="22860" b="19050"/>
                <wp:wrapNone/>
                <wp:docPr id="115" name="Pole tekstowe 115"/>
                <wp:cNvGraphicFramePr/>
                <a:graphic xmlns:a="http://schemas.openxmlformats.org/drawingml/2006/main">
                  <a:graphicData uri="http://schemas.microsoft.com/office/word/2010/wordprocessingShape">
                    <wps:wsp>
                      <wps:cNvSpPr txBox="1"/>
                      <wps:spPr>
                        <a:xfrm>
                          <a:off x="0" y="0"/>
                          <a:ext cx="5349240" cy="1048215"/>
                        </a:xfrm>
                        <a:prstGeom prst="rect">
                          <a:avLst/>
                        </a:prstGeom>
                        <a:solidFill>
                          <a:schemeClr val="accent1">
                            <a:lumMod val="20000"/>
                            <a:lumOff val="80000"/>
                          </a:schemeClr>
                        </a:solidFill>
                        <a:ln w="6350">
                          <a:solidFill>
                            <a:schemeClr val="accent1"/>
                          </a:solidFill>
                        </a:ln>
                      </wps:spPr>
                      <wps:txbx>
                        <w:txbxContent>
                          <w:p w14:paraId="4BB8BC2B" w14:textId="1F291D0F" w:rsidR="00B14787" w:rsidRDefault="00B14787" w:rsidP="001C373F">
                            <w:pPr>
                              <w:spacing w:before="100" w:beforeAutospacing="1" w:after="100" w:afterAutospacing="1" w:line="240" w:lineRule="auto"/>
                              <w:ind w:left="142"/>
                              <w:contextualSpacing/>
                              <w:jc w:val="both"/>
                              <w:rPr>
                                <w:rFonts w:eastAsia="Times New Roman" w:cstheme="minorHAnsi"/>
                                <w:szCs w:val="24"/>
                                <w:lang w:val="pl-PL" w:eastAsia="pl-PL"/>
                              </w:rPr>
                            </w:pPr>
                            <w:r w:rsidRPr="001C373F">
                              <w:rPr>
                                <w:rFonts w:eastAsia="Times New Roman" w:cstheme="minorHAnsi"/>
                                <w:szCs w:val="24"/>
                                <w:lang w:val="pl-PL" w:eastAsia="pl-PL"/>
                              </w:rPr>
                              <w:t xml:space="preserve">Zapewnienie większej dostępność mieszkań, będącej konsekwencją wsparcia rozwoju budownictwa mieszkaniowego powinno być priorytetowym zadaniem Partnerów według </w:t>
                            </w:r>
                            <w:r w:rsidRPr="001C373F">
                              <w:rPr>
                                <w:rFonts w:eastAsia="Times New Roman" w:cstheme="minorHAnsi"/>
                                <w:b/>
                                <w:bCs/>
                                <w:szCs w:val="24"/>
                                <w:lang w:val="pl-PL" w:eastAsia="pl-PL"/>
                              </w:rPr>
                              <w:t>33,25%</w:t>
                            </w:r>
                            <w:r w:rsidRPr="001C373F">
                              <w:rPr>
                                <w:rFonts w:eastAsia="Times New Roman" w:cstheme="minorHAnsi"/>
                                <w:szCs w:val="24"/>
                                <w:lang w:val="pl-PL" w:eastAsia="pl-PL"/>
                              </w:rPr>
                              <w:t xml:space="preserve"> badanych mieszkańców Południowych Mazur. </w:t>
                            </w:r>
                          </w:p>
                          <w:p w14:paraId="1CC4FE90" w14:textId="1EFC593E" w:rsidR="00B14787" w:rsidRPr="001C373F" w:rsidRDefault="00B14787" w:rsidP="00943A9D">
                            <w:pPr>
                              <w:ind w:left="142"/>
                              <w:jc w:val="both"/>
                              <w:rPr>
                                <w:rFonts w:cstheme="minorHAnsi"/>
                                <w:szCs w:val="24"/>
                                <w:lang w:val="pl-PL"/>
                              </w:rPr>
                            </w:pPr>
                            <w:r w:rsidRPr="001C373F">
                              <w:rPr>
                                <w:rFonts w:eastAsia="Times New Roman" w:cstheme="minorHAnsi"/>
                                <w:b/>
                                <w:bCs/>
                                <w:szCs w:val="24"/>
                                <w:lang w:val="pl-PL" w:eastAsia="pl-PL"/>
                              </w:rPr>
                              <w:t>56,58%</w:t>
                            </w:r>
                            <w:r w:rsidRPr="001C373F">
                              <w:rPr>
                                <w:rFonts w:eastAsia="Times New Roman" w:cstheme="minorHAnsi"/>
                                <w:szCs w:val="24"/>
                                <w:lang w:val="pl-PL" w:eastAsia="pl-PL"/>
                              </w:rPr>
                              <w:t xml:space="preserve"> respondentów twierdzi, że dostępność i ceny mieszkań są słabą stroną Partnerstwa</w:t>
                            </w:r>
                            <w:r>
                              <w:rPr>
                                <w:rFonts w:eastAsia="Times New Roman" w:cstheme="minorHAnsi"/>
                                <w:szCs w:val="24"/>
                                <w:lang w:val="pl-PL" w:eastAsia="pl-PL"/>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59FC06" id="Pole tekstowe 115" o:spid="_x0000_s1035" type="#_x0000_t202" style="position:absolute;margin-left:34.45pt;margin-top:1.1pt;width:421.2pt;height:82.55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" fillcolor="#d9e2f3 [660]" strokecolor="#4472c4 [3204]" strokeweight=".5pt">
                <v:textbox>
                  <w:txbxContent>
                    <w:p w14:paraId="4BB8BC2B" w14:textId="1F291D0F" w:rsidR="00B14787" w:rsidRDefault="00B14787" w:rsidP="001C373F">
                      <w:pPr>
                        <w:spacing w:before="100" w:beforeAutospacing="1" w:after="100" w:afterAutospacing="1" w:line="240" w:lineRule="auto"/>
                        <w:ind w:left="142"/>
                        <w:contextualSpacing/>
                        <w:jc w:val="both"/>
                        <w:rPr>
                          <w:rFonts w:eastAsia="Times New Roman" w:cstheme="minorHAnsi"/>
                          <w:szCs w:val="24"/>
                          <w:lang w:val="pl-PL" w:eastAsia="pl-PL"/>
                        </w:rPr>
                      </w:pPr>
                      <w:r w:rsidRPr="001C373F">
                        <w:rPr>
                          <w:rFonts w:eastAsia="Times New Roman" w:cstheme="minorHAnsi"/>
                          <w:szCs w:val="24"/>
                          <w:lang w:val="pl-PL" w:eastAsia="pl-PL"/>
                        </w:rPr>
                        <w:t xml:space="preserve">Zapewnienie większej dostępność mieszkań, będącej konsekwencją wsparcia rozwoju budownictwa mieszkaniowego powinno być priorytetowym zadaniem Partnerów według </w:t>
                      </w:r>
                      <w:r w:rsidRPr="001C373F">
                        <w:rPr>
                          <w:rFonts w:eastAsia="Times New Roman" w:cstheme="minorHAnsi"/>
                          <w:b/>
                          <w:bCs/>
                          <w:szCs w:val="24"/>
                          <w:lang w:val="pl-PL" w:eastAsia="pl-PL"/>
                        </w:rPr>
                        <w:t>33,25%</w:t>
                      </w:r>
                      <w:r w:rsidRPr="001C373F">
                        <w:rPr>
                          <w:rFonts w:eastAsia="Times New Roman" w:cstheme="minorHAnsi"/>
                          <w:szCs w:val="24"/>
                          <w:lang w:val="pl-PL" w:eastAsia="pl-PL"/>
                        </w:rPr>
                        <w:t xml:space="preserve"> badanych mieszkańców Południowych Mazur. </w:t>
                      </w:r>
                    </w:p>
                    <w:p w14:paraId="1CC4FE90" w14:textId="1EFC593E" w:rsidR="00B14787" w:rsidRPr="001C373F" w:rsidRDefault="00B14787" w:rsidP="00943A9D">
                      <w:pPr>
                        <w:ind w:left="142"/>
                        <w:jc w:val="both"/>
                        <w:rPr>
                          <w:rFonts w:cstheme="minorHAnsi"/>
                          <w:szCs w:val="24"/>
                          <w:lang w:val="pl-PL"/>
                        </w:rPr>
                      </w:pPr>
                      <w:r w:rsidRPr="001C373F">
                        <w:rPr>
                          <w:rFonts w:eastAsia="Times New Roman" w:cstheme="minorHAnsi"/>
                          <w:b/>
                          <w:bCs/>
                          <w:szCs w:val="24"/>
                          <w:lang w:val="pl-PL" w:eastAsia="pl-PL"/>
                        </w:rPr>
                        <w:t>56,58%</w:t>
                      </w:r>
                      <w:r w:rsidRPr="001C373F">
                        <w:rPr>
                          <w:rFonts w:eastAsia="Times New Roman" w:cstheme="minorHAnsi"/>
                          <w:szCs w:val="24"/>
                          <w:lang w:val="pl-PL" w:eastAsia="pl-PL"/>
                        </w:rPr>
                        <w:t xml:space="preserve"> respondentów twierdzi, że dostępność i ceny mieszkań są słabą stroną Partnerstwa</w:t>
                      </w:r>
                      <w:r>
                        <w:rPr>
                          <w:rFonts w:eastAsia="Times New Roman" w:cstheme="minorHAnsi"/>
                          <w:szCs w:val="24"/>
                          <w:lang w:val="pl-PL" w:eastAsia="pl-PL"/>
                        </w:rPr>
                        <w:t>.</w:t>
                      </w:r>
                    </w:p>
                  </w:txbxContent>
                </v:textbox>
              </v:shape>
            </w:pict>
          </mc:Fallback>
        </mc:AlternateContent>
      </w:r>
    </w:p>
    <w:p w14:paraId="0F1035C0" w14:textId="0B5E187A" w:rsidR="003711E3" w:rsidRPr="00733091" w:rsidRDefault="003711E3" w:rsidP="00733091">
      <w:pPr>
        <w:contextualSpacing/>
        <w:rPr>
          <w:lang w:val="pl-PL"/>
        </w:rPr>
      </w:pPr>
    </w:p>
    <w:p w14:paraId="7BEACA8F" w14:textId="28F3722B" w:rsidR="003711E3" w:rsidRPr="002907DD" w:rsidRDefault="003711E3" w:rsidP="00733091">
      <w:pPr>
        <w:contextualSpacing/>
        <w:rPr>
          <w:lang w:val="pl-PL"/>
        </w:rPr>
      </w:pPr>
    </w:p>
    <w:p w14:paraId="7969B88C" w14:textId="77777777" w:rsidR="003711E3" w:rsidRPr="002907DD" w:rsidRDefault="003711E3" w:rsidP="00733091">
      <w:pPr>
        <w:contextualSpacing/>
        <w:rPr>
          <w:lang w:val="pl-PL"/>
        </w:rPr>
      </w:pPr>
    </w:p>
    <w:p w14:paraId="280A7B03" w14:textId="1BAA93F0" w:rsidR="003711E3" w:rsidRPr="002907DD" w:rsidRDefault="003711E3" w:rsidP="00AB3E29">
      <w:pPr>
        <w:ind w:left="0"/>
        <w:contextualSpacing/>
        <w:rPr>
          <w:lang w:val="pl-PL"/>
        </w:rPr>
      </w:pPr>
    </w:p>
    <w:p w14:paraId="351DF45D" w14:textId="1BD8B0E8" w:rsidR="003711E3" w:rsidRPr="00733091" w:rsidRDefault="003711E3" w:rsidP="006C4290">
      <w:pPr>
        <w:rPr>
          <w:lang w:val="pl-PL"/>
        </w:rPr>
      </w:pPr>
      <w:r w:rsidRPr="00733091">
        <w:rPr>
          <w:lang w:val="pl-PL"/>
        </w:rPr>
        <w:lastRenderedPageBreak/>
        <w:t xml:space="preserve">Mimo nieznacznego wzrostu dostępności mieszkań (w aspekcie podażowym </w:t>
      </w:r>
      <w:r w:rsidR="00943A9D">
        <w:rPr>
          <w:lang w:val="pl-PL"/>
        </w:rPr>
        <w:br/>
      </w:r>
      <w:r w:rsidRPr="00733091">
        <w:rPr>
          <w:lang w:val="pl-PL"/>
        </w:rPr>
        <w:t xml:space="preserve">i popytowym) </w:t>
      </w:r>
      <w:r w:rsidRPr="00733091">
        <w:rPr>
          <w:b/>
          <w:bCs/>
          <w:lang w:val="pl-PL"/>
        </w:rPr>
        <w:t>wskaźnik atrakcyjności Południowych Mazur jako miejsca zamieszkania</w:t>
      </w:r>
      <w:r>
        <w:rPr>
          <w:rStyle w:val="Odwoanieprzypisudolnego"/>
          <w:rFonts w:cstheme="majorHAnsi"/>
        </w:rPr>
        <w:footnoteReference w:id="58"/>
      </w:r>
      <w:r w:rsidRPr="00733091">
        <w:rPr>
          <w:lang w:val="pl-PL"/>
        </w:rPr>
        <w:t xml:space="preserve"> przyjmuje niskie wartości (mapa poniżej). Oznacza on, że mieszkania na terenie Południowych Mazur nie są dostępne – w wystarczającym stopniu – dla młodych ludzi (25-34 lata). Wyjątkiem są Dźwierzuty i Pasym, a także gmina wiejska Szczytno, która osiąga – w wyniku procesów suburbanizacji gminy miejskiej Szczytno najwyższą, dodatnią wartość ww. wskaźnika. Atrakcyjność Południowych Mazur jako miejsca zamieszkania może ulec pogorszeniu w przyszłości z uwagi na prognozowany spadek liczby ludności w wieku przedprodukcyjnym, w tym w wieku 25-34</w:t>
      </w:r>
      <w:r w:rsidR="00943A9D">
        <w:rPr>
          <w:lang w:val="pl-PL"/>
        </w:rPr>
        <w:t xml:space="preserve"> lata</w:t>
      </w:r>
      <w:r w:rsidRPr="00733091">
        <w:rPr>
          <w:lang w:val="pl-PL"/>
        </w:rPr>
        <w:t>.</w:t>
      </w:r>
    </w:p>
    <w:p w14:paraId="049A03F0" w14:textId="26502F47" w:rsidR="0051246A" w:rsidRPr="00D97684" w:rsidRDefault="0051246A" w:rsidP="002E24A9">
      <w:pPr>
        <w:pStyle w:val="Legenda"/>
        <w:rPr>
          <w:rFonts w:cstheme="majorHAnsi"/>
          <w:lang w:val="pl-PL"/>
        </w:rPr>
      </w:pPr>
      <w:bookmarkStart w:id="73" w:name="_Toc69596606"/>
      <w:r w:rsidRPr="00D97684">
        <w:rPr>
          <w:lang w:val="pl-PL"/>
        </w:rPr>
        <w:t xml:space="preserve">Mapa </w:t>
      </w:r>
      <w:r w:rsidR="00733091">
        <w:fldChar w:fldCharType="begin"/>
      </w:r>
      <w:r w:rsidR="00733091" w:rsidRPr="00D97684">
        <w:rPr>
          <w:lang w:val="pl-PL"/>
        </w:rPr>
        <w:instrText xml:space="preserve"> SEQ Mapa \* ARABIC </w:instrText>
      </w:r>
      <w:r w:rsidR="00733091">
        <w:fldChar w:fldCharType="separate"/>
      </w:r>
      <w:r w:rsidR="00B14787">
        <w:rPr>
          <w:noProof/>
          <w:lang w:val="pl-PL"/>
        </w:rPr>
        <w:t>6</w:t>
      </w:r>
      <w:r w:rsidR="00733091">
        <w:rPr>
          <w:noProof/>
        </w:rPr>
        <w:fldChar w:fldCharType="end"/>
      </w:r>
      <w:r w:rsidRPr="00D97684">
        <w:rPr>
          <w:lang w:val="pl-PL"/>
        </w:rPr>
        <w:t>: Atrakcyjność miejsca zamieszkania</w:t>
      </w:r>
      <w:bookmarkEnd w:id="73"/>
    </w:p>
    <w:p w14:paraId="4CA372C5" w14:textId="034A5D02" w:rsidR="003711E3" w:rsidRPr="00D97684" w:rsidRDefault="003711E3" w:rsidP="00733091">
      <w:pPr>
        <w:pStyle w:val="podpiselementu"/>
        <w:spacing w:after="240"/>
        <w:rPr>
          <w:rFonts w:cstheme="majorHAnsi"/>
          <w:lang w:val="pl-PL"/>
        </w:rPr>
      </w:pPr>
      <w:r>
        <w:rPr>
          <w:noProof/>
        </w:rPr>
        <w:drawing>
          <wp:inline distT="0" distB="0" distL="0" distR="0" wp14:anchorId="61A8481A" wp14:editId="06D074EE">
            <wp:extent cx="3646170" cy="3646170"/>
            <wp:effectExtent l="19050" t="19050" r="11430" b="11430"/>
            <wp:docPr id="94" name="Obraz 94" descr="mapa Polski wskazujący atrakcyjność gmin obszaru Partnerstwa Południowe Mazury jao miejsca zamieszkania. Czarnym konturem zaznaczony jest obszar partnerstwa. Atrakcyjność zaznaczona jest od najwyższej (kolor czerwony), poprzez wysoką (odcienie pomarańczowego), średnią – kolor żółty, niską (odcienie zielonego i zielononiebieskiego), po najniższą – kolor niebie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Obraz 94" descr="mapa Polski wskazujący atrakcyjność gmin obszaru Partnerstwa Południowe Mazury jao miejsca zamieszkania. Czarnym konturem zaznaczony jest obszar partnerstwa. Atrakcyjność zaznaczona jest od najwyższej (kolor czerwony), poprzez wysoką (odcienie pomarańczowego), średnią – kolor żółty, niską (odcienie zielonego i zielononiebieskiego), po najniższą – kolor niebieski"/>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646294" cy="3646294"/>
                    </a:xfrm>
                    <a:prstGeom prst="rect">
                      <a:avLst/>
                    </a:prstGeom>
                    <a:noFill/>
                    <a:ln>
                      <a:solidFill>
                        <a:schemeClr val="tx2"/>
                      </a:solidFill>
                    </a:ln>
                  </pic:spPr>
                </pic:pic>
              </a:graphicData>
            </a:graphic>
          </wp:inline>
        </w:drawing>
      </w:r>
      <w:r w:rsidR="00D97684" w:rsidRPr="00D97684">
        <w:rPr>
          <w:rFonts w:cstheme="majorHAnsi"/>
          <w:lang w:val="pl-PL"/>
        </w:rPr>
        <w:br/>
      </w:r>
      <w:r w:rsidRPr="00733091">
        <w:rPr>
          <w:lang w:val="pl-PL"/>
        </w:rPr>
        <w:t xml:space="preserve">Źródło: opracowanie własne ZMP na podstawie </w:t>
      </w:r>
      <w:hyperlink r:id="rId79" w:history="1">
        <w:r w:rsidRPr="00733091">
          <w:rPr>
            <w:rStyle w:val="Hipercze"/>
            <w:color w:val="auto"/>
            <w:u w:val="none"/>
            <w:lang w:val="pl-PL"/>
          </w:rPr>
          <w:t>https://analizy.monitorrozwoju.pl</w:t>
        </w:r>
      </w:hyperlink>
    </w:p>
    <w:p w14:paraId="39CCCEC8" w14:textId="56DED112" w:rsidR="00D97684" w:rsidRDefault="006C4290" w:rsidP="00427A68">
      <w:pPr>
        <w:pStyle w:val="opcjonalne"/>
        <w:spacing w:before="120" w:beforeAutospacing="0" w:after="240" w:afterAutospacing="0" w:line="276" w:lineRule="auto"/>
        <w:rPr>
          <w:lang w:val="pl-PL"/>
        </w:rPr>
      </w:pPr>
      <w:r>
        <mc:AlternateContent>
          <mc:Choice Requires="wps">
            <w:drawing>
              <wp:anchor distT="0" distB="0" distL="114300" distR="114300" simplePos="0" relativeHeight="251658255" behindDoc="0" locked="0" layoutInCell="1" allowOverlap="1" wp14:anchorId="10791A0E" wp14:editId="3D0773FC">
                <wp:simplePos x="0" y="0"/>
                <wp:positionH relativeFrom="margin">
                  <wp:align>left</wp:align>
                </wp:positionH>
                <wp:positionV relativeFrom="paragraph">
                  <wp:posOffset>73660</wp:posOffset>
                </wp:positionV>
                <wp:extent cx="5882640" cy="1013460"/>
                <wp:effectExtent l="0" t="0" r="22860" b="15240"/>
                <wp:wrapNone/>
                <wp:docPr id="135" name="Pole tekstowe 135"/>
                <wp:cNvGraphicFramePr/>
                <a:graphic xmlns:a="http://schemas.openxmlformats.org/drawingml/2006/main">
                  <a:graphicData uri="http://schemas.microsoft.com/office/word/2010/wordprocessingShape">
                    <wps:wsp>
                      <wps:cNvSpPr txBox="1"/>
                      <wps:spPr>
                        <a:xfrm>
                          <a:off x="0" y="0"/>
                          <a:ext cx="5882640" cy="1013460"/>
                        </a:xfrm>
                        <a:prstGeom prst="rect">
                          <a:avLst/>
                        </a:prstGeom>
                        <a:solidFill>
                          <a:schemeClr val="accent1">
                            <a:lumMod val="20000"/>
                            <a:lumOff val="80000"/>
                          </a:schemeClr>
                        </a:solidFill>
                        <a:ln w="6350">
                          <a:solidFill>
                            <a:schemeClr val="accent1"/>
                          </a:solidFill>
                        </a:ln>
                      </wps:spPr>
                      <wps:txbx>
                        <w:txbxContent>
                          <w:p w14:paraId="5D786B74" w14:textId="39532734" w:rsidR="00B14787" w:rsidRDefault="00B14787" w:rsidP="001C373F">
                            <w:pPr>
                              <w:ind w:left="142"/>
                              <w:jc w:val="both"/>
                              <w:rPr>
                                <w:szCs w:val="24"/>
                                <w:lang w:val="pl-PL"/>
                              </w:rPr>
                            </w:pPr>
                            <w:r w:rsidRPr="001C373F">
                              <w:rPr>
                                <w:b/>
                                <w:bCs/>
                                <w:szCs w:val="24"/>
                                <w:lang w:val="pl-PL"/>
                              </w:rPr>
                              <w:t>66,22%</w:t>
                            </w:r>
                            <w:r w:rsidRPr="001C373F">
                              <w:rPr>
                                <w:szCs w:val="24"/>
                                <w:lang w:val="pl-PL"/>
                              </w:rPr>
                              <w:t xml:space="preserve"> uczniów ostatnich klas szkół średnich, biorących udział w badaniu ankietowym </w:t>
                            </w:r>
                            <w:r>
                              <w:rPr>
                                <w:szCs w:val="24"/>
                                <w:lang w:val="pl-PL"/>
                              </w:rPr>
                              <w:br/>
                            </w:r>
                            <w:r w:rsidRPr="001C373F">
                              <w:rPr>
                                <w:szCs w:val="24"/>
                                <w:lang w:val="pl-PL"/>
                              </w:rPr>
                              <w:t xml:space="preserve">w styczniu 2021 r.  planuje zamieszkać poza obszarem Partnerstwa (w regionie, innym województwie, zagranicą). Tylko </w:t>
                            </w:r>
                            <w:r w:rsidRPr="001C373F">
                              <w:rPr>
                                <w:b/>
                                <w:bCs/>
                                <w:szCs w:val="24"/>
                                <w:lang w:val="pl-PL"/>
                              </w:rPr>
                              <w:t>19,18%</w:t>
                            </w:r>
                            <w:r w:rsidRPr="001C373F">
                              <w:rPr>
                                <w:szCs w:val="24"/>
                                <w:lang w:val="pl-PL"/>
                              </w:rPr>
                              <w:t xml:space="preserve"> młodzieży </w:t>
                            </w:r>
                            <w:r>
                              <w:rPr>
                                <w:szCs w:val="24"/>
                                <w:lang w:val="pl-PL"/>
                              </w:rPr>
                              <w:t xml:space="preserve">chce </w:t>
                            </w:r>
                            <w:r w:rsidRPr="001C373F">
                              <w:rPr>
                                <w:szCs w:val="24"/>
                                <w:lang w:val="pl-PL"/>
                              </w:rPr>
                              <w:t xml:space="preserve">wiązać swoją przyszłość </w:t>
                            </w:r>
                            <w:r>
                              <w:rPr>
                                <w:szCs w:val="24"/>
                                <w:lang w:val="pl-PL"/>
                              </w:rPr>
                              <w:br/>
                            </w:r>
                            <w:r w:rsidRPr="001C373F">
                              <w:rPr>
                                <w:szCs w:val="24"/>
                                <w:lang w:val="pl-PL"/>
                              </w:rPr>
                              <w:t>z obszarem Partnerstwa jako miejscem zamieszkania</w:t>
                            </w:r>
                          </w:p>
                          <w:p w14:paraId="4E31FB6F" w14:textId="77777777" w:rsidR="00B14787" w:rsidRPr="001C373F" w:rsidRDefault="00B14787" w:rsidP="001C373F">
                            <w:pPr>
                              <w:ind w:left="142"/>
                              <w:jc w:val="both"/>
                              <w:rPr>
                                <w:szCs w:val="24"/>
                                <w:lang w:val="pl-P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791A0E" id="Pole tekstowe 135" o:spid="_x0000_s1036" type="#_x0000_t202" style="position:absolute;margin-left:0;margin-top:5.8pt;width:463.2pt;height:79.8pt;z-index:251658255;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" fillcolor="#d9e2f3 [660]" strokecolor="#4472c4 [3204]" strokeweight=".5pt">
                <v:textbox>
                  <w:txbxContent>
                    <w:p w14:paraId="5D786B74" w14:textId="39532734" w:rsidR="00B14787" w:rsidRDefault="00B14787" w:rsidP="001C373F">
                      <w:pPr>
                        <w:ind w:left="142"/>
                        <w:jc w:val="both"/>
                        <w:rPr>
                          <w:szCs w:val="24"/>
                          <w:lang w:val="pl-PL"/>
                        </w:rPr>
                      </w:pPr>
                      <w:r w:rsidRPr="001C373F">
                        <w:rPr>
                          <w:b/>
                          <w:bCs/>
                          <w:szCs w:val="24"/>
                          <w:lang w:val="pl-PL"/>
                        </w:rPr>
                        <w:t>66,22%</w:t>
                      </w:r>
                      <w:r w:rsidRPr="001C373F">
                        <w:rPr>
                          <w:szCs w:val="24"/>
                          <w:lang w:val="pl-PL"/>
                        </w:rPr>
                        <w:t xml:space="preserve"> uczniów ostatnich klas szkół średnich, biorących udział w badaniu ankietowym </w:t>
                      </w:r>
                      <w:r>
                        <w:rPr>
                          <w:szCs w:val="24"/>
                          <w:lang w:val="pl-PL"/>
                        </w:rPr>
                        <w:br/>
                      </w:r>
                      <w:r w:rsidRPr="001C373F">
                        <w:rPr>
                          <w:szCs w:val="24"/>
                          <w:lang w:val="pl-PL"/>
                        </w:rPr>
                        <w:t xml:space="preserve">w styczniu 2021 r.  planuje zamieszkać poza obszarem Partnerstwa (w regionie, innym województwie, zagranicą). Tylko </w:t>
                      </w:r>
                      <w:r w:rsidRPr="001C373F">
                        <w:rPr>
                          <w:b/>
                          <w:bCs/>
                          <w:szCs w:val="24"/>
                          <w:lang w:val="pl-PL"/>
                        </w:rPr>
                        <w:t>19,18%</w:t>
                      </w:r>
                      <w:r w:rsidRPr="001C373F">
                        <w:rPr>
                          <w:szCs w:val="24"/>
                          <w:lang w:val="pl-PL"/>
                        </w:rPr>
                        <w:t xml:space="preserve"> młodzieży </w:t>
                      </w:r>
                      <w:r>
                        <w:rPr>
                          <w:szCs w:val="24"/>
                          <w:lang w:val="pl-PL"/>
                        </w:rPr>
                        <w:t xml:space="preserve">chce </w:t>
                      </w:r>
                      <w:r w:rsidRPr="001C373F">
                        <w:rPr>
                          <w:szCs w:val="24"/>
                          <w:lang w:val="pl-PL"/>
                        </w:rPr>
                        <w:t xml:space="preserve">wiązać swoją przyszłość </w:t>
                      </w:r>
                      <w:r>
                        <w:rPr>
                          <w:szCs w:val="24"/>
                          <w:lang w:val="pl-PL"/>
                        </w:rPr>
                        <w:br/>
                      </w:r>
                      <w:r w:rsidRPr="001C373F">
                        <w:rPr>
                          <w:szCs w:val="24"/>
                          <w:lang w:val="pl-PL"/>
                        </w:rPr>
                        <w:t>z obszarem Partnerstwa jako miejscem zamieszkania</w:t>
                      </w:r>
                    </w:p>
                    <w:p w14:paraId="4E31FB6F" w14:textId="77777777" w:rsidR="00B14787" w:rsidRPr="001C373F" w:rsidRDefault="00B14787" w:rsidP="001C373F">
                      <w:pPr>
                        <w:ind w:left="142"/>
                        <w:jc w:val="both"/>
                        <w:rPr>
                          <w:szCs w:val="24"/>
                          <w:lang w:val="pl-PL"/>
                        </w:rPr>
                      </w:pPr>
                    </w:p>
                  </w:txbxContent>
                </v:textbox>
                <w10:wrap anchorx="margin"/>
              </v:shape>
            </w:pict>
          </mc:Fallback>
        </mc:AlternateContent>
      </w:r>
    </w:p>
    <w:p w14:paraId="19DB230C" w14:textId="52C76579" w:rsidR="00D97684" w:rsidRDefault="00D97684" w:rsidP="00427A68">
      <w:pPr>
        <w:pStyle w:val="opcjonalne"/>
        <w:spacing w:before="120" w:beforeAutospacing="0" w:after="240" w:afterAutospacing="0" w:line="276" w:lineRule="auto"/>
        <w:rPr>
          <w:lang w:val="pl-PL"/>
        </w:rPr>
      </w:pPr>
    </w:p>
    <w:p w14:paraId="210F5F4A" w14:textId="2D02B57A" w:rsidR="00D97684" w:rsidRDefault="00D97684" w:rsidP="00427A68">
      <w:pPr>
        <w:pStyle w:val="opcjonalne"/>
        <w:spacing w:before="120" w:beforeAutospacing="0" w:after="240" w:afterAutospacing="0" w:line="276" w:lineRule="auto"/>
        <w:rPr>
          <w:lang w:val="pl-PL"/>
        </w:rPr>
      </w:pPr>
    </w:p>
    <w:p w14:paraId="2BE0DDB9" w14:textId="3402839E" w:rsidR="00D97684" w:rsidRDefault="00D97684" w:rsidP="00427A68">
      <w:pPr>
        <w:pStyle w:val="opcjonalne"/>
        <w:spacing w:before="120" w:beforeAutospacing="0" w:after="240" w:afterAutospacing="0" w:line="276" w:lineRule="auto"/>
        <w:rPr>
          <w:lang w:val="pl-PL"/>
        </w:rPr>
      </w:pPr>
    </w:p>
    <w:p w14:paraId="54E7D17A" w14:textId="77777777" w:rsidR="00D97684" w:rsidRDefault="00D97684" w:rsidP="00427A68">
      <w:pPr>
        <w:pStyle w:val="opcjonalne"/>
        <w:spacing w:before="120" w:beforeAutospacing="0" w:after="240" w:afterAutospacing="0" w:line="276" w:lineRule="auto"/>
        <w:rPr>
          <w:lang w:val="pl-PL"/>
        </w:rPr>
      </w:pPr>
    </w:p>
    <w:p w14:paraId="515439DC" w14:textId="5D4BDF13" w:rsidR="00D97684" w:rsidRDefault="00D97684" w:rsidP="00427A68">
      <w:pPr>
        <w:pStyle w:val="opcjonalne"/>
        <w:spacing w:before="120" w:beforeAutospacing="0" w:after="240" w:afterAutospacing="0" w:line="276" w:lineRule="auto"/>
        <w:rPr>
          <w:lang w:val="pl-PL"/>
        </w:rPr>
      </w:pPr>
    </w:p>
    <w:p w14:paraId="5B0D15DA" w14:textId="2A31B772" w:rsidR="00D97684" w:rsidRDefault="00D97684" w:rsidP="00427A68">
      <w:pPr>
        <w:pStyle w:val="opcjonalne"/>
        <w:spacing w:before="120" w:beforeAutospacing="0" w:after="240" w:afterAutospacing="0" w:line="276" w:lineRule="auto"/>
        <w:rPr>
          <w:lang w:val="pl-PL"/>
        </w:rPr>
      </w:pPr>
    </w:p>
    <w:p w14:paraId="6D8E5B85" w14:textId="2A23CB3D" w:rsidR="003711E3" w:rsidRPr="00427A68" w:rsidRDefault="003711E3" w:rsidP="00427A68">
      <w:pPr>
        <w:pStyle w:val="opcjonalne"/>
        <w:spacing w:before="120" w:beforeAutospacing="0" w:after="240" w:afterAutospacing="0" w:line="276" w:lineRule="auto"/>
        <w:rPr>
          <w:lang w:val="pl-PL"/>
        </w:rPr>
      </w:pPr>
    </w:p>
    <w:p w14:paraId="23E4A83B" w14:textId="52650A43" w:rsidR="00284D34" w:rsidRPr="00690E7F" w:rsidRDefault="00732434" w:rsidP="00733091">
      <w:pPr>
        <w:pStyle w:val="Nagwek3"/>
        <w:spacing w:after="240"/>
        <w:rPr>
          <w:lang w:val="en-US"/>
        </w:rPr>
      </w:pPr>
      <w:bookmarkStart w:id="74" w:name="_Toc69725439"/>
      <w:r w:rsidRPr="00732434">
        <w:rPr>
          <w:lang w:val="en-US"/>
        </w:rPr>
        <w:t>Bezpieczeństwo mieszkańców</w:t>
      </w:r>
      <w:bookmarkEnd w:id="74"/>
    </w:p>
    <w:p w14:paraId="0A02F9CD" w14:textId="563EC9F3" w:rsidR="003711E3" w:rsidRPr="00733091" w:rsidRDefault="003711E3" w:rsidP="00733091">
      <w:pPr>
        <w:rPr>
          <w:rFonts w:cstheme="minorHAnsi"/>
          <w:color w:val="4472C4" w:themeColor="accent1"/>
          <w:lang w:val="pl-PL"/>
        </w:rPr>
      </w:pPr>
      <w:r w:rsidRPr="00733091">
        <w:rPr>
          <w:lang w:val="pl-PL"/>
        </w:rPr>
        <w:t>Poziom bezpieczeństwa mieszkańców rozpatrywany jest dwojako; w kontekście bezpieczeństwa publicznego i osobistego mieszkańców Południowych Mazur oraz zdrowotnego, immanentnie związanego z dostępnością do usług opieki medycznej oraz ich jakością (zależną od liczebności i poziomu kadry medycznej oraz jakości infrastruktury medycznej).</w:t>
      </w:r>
      <w:r w:rsidR="006C4290">
        <w:rPr>
          <w:lang w:val="pl-PL"/>
        </w:rPr>
        <w:t xml:space="preserve"> W okresie 2015-2019 ogólny </w:t>
      </w:r>
      <w:r w:rsidR="00A65E6B">
        <w:rPr>
          <w:lang w:val="pl-PL"/>
        </w:rPr>
        <w:t xml:space="preserve">zarówno </w:t>
      </w:r>
      <w:r w:rsidR="006C4290">
        <w:rPr>
          <w:lang w:val="pl-PL"/>
        </w:rPr>
        <w:t>wskaźnik</w:t>
      </w:r>
      <w:r w:rsidR="00A65E6B">
        <w:rPr>
          <w:lang w:val="pl-PL"/>
        </w:rPr>
        <w:t xml:space="preserve">i </w:t>
      </w:r>
      <w:r w:rsidR="006C4290">
        <w:rPr>
          <w:lang w:val="pl-PL"/>
        </w:rPr>
        <w:t xml:space="preserve">bezpieczeństwa </w:t>
      </w:r>
      <w:r w:rsidR="00A65E6B">
        <w:rPr>
          <w:lang w:val="pl-PL"/>
        </w:rPr>
        <w:t xml:space="preserve">osobistego (liczba stwierdzonych przestępstw na 1000 mieszkańców) oraz bezpieczeństwa zdrowotnego (wielkość wydatków na ochronę zdrowia na 1000 mieszkańców, liczba łóżek szpitalnych na 1000 mieszkańców, liczba lekarzy i dentystów pracujących wg podstawowego miejsca pracy na 1000 mieszkańców) </w:t>
      </w:r>
      <w:r w:rsidR="006C4290">
        <w:rPr>
          <w:lang w:val="pl-PL"/>
        </w:rPr>
        <w:t xml:space="preserve">na terenie Południowych Mazur </w:t>
      </w:r>
      <w:r w:rsidR="00A65E6B">
        <w:rPr>
          <w:lang w:val="pl-PL"/>
        </w:rPr>
        <w:t xml:space="preserve">osiągają niższe wartości niż grupa porównawcza. </w:t>
      </w:r>
    </w:p>
    <w:p w14:paraId="6ACFC43A" w14:textId="416B6394" w:rsidR="00284D34" w:rsidRPr="00690E7F" w:rsidRDefault="00C112EB" w:rsidP="00733091">
      <w:pPr>
        <w:pStyle w:val="Nagwek4"/>
        <w:spacing w:before="120" w:after="240"/>
      </w:pPr>
      <w:r w:rsidRPr="00C112EB">
        <w:t>Bezpieczeństwo zdrowotne</w:t>
      </w:r>
    </w:p>
    <w:p w14:paraId="1127E4F0" w14:textId="4050CAB8" w:rsidR="003711E3" w:rsidRPr="00733091" w:rsidRDefault="003711E3" w:rsidP="001C373F">
      <w:pPr>
        <w:rPr>
          <w:lang w:val="pl-PL"/>
        </w:rPr>
      </w:pPr>
      <w:r w:rsidRPr="00733091">
        <w:rPr>
          <w:lang w:val="pl-PL"/>
        </w:rPr>
        <w:t xml:space="preserve">Pierwszym ogniwem w systemie opieki zdrowotnej jest podstawowa opieka medyczna. W 2019 r. na terenie Południowych Mazur w jej ramach udzielono 1.043.448 porad, co stanowiło 16,1% konsultacji zrealizowanych w województwie warmińsko-mazurskim. Jedynie niewielka część z nich (8,8%) odbyła się w podmiotach, które podlegały samorządowi terytorialnemu. Łącznie takich jednostek było 12, </w:t>
      </w:r>
      <w:r w:rsidR="001C373F">
        <w:rPr>
          <w:lang w:val="pl-PL"/>
        </w:rPr>
        <w:t>c</w:t>
      </w:r>
      <w:r w:rsidRPr="00733091">
        <w:rPr>
          <w:lang w:val="pl-PL"/>
        </w:rPr>
        <w:t>hoć liczba udzielonych porad na przestrzeni lat 2012-2019 ulegała drobnym wahaniom (wartość rozstępu indeksów łańcuchowych</w:t>
      </w:r>
      <w:r w:rsidRPr="005D25AF">
        <w:rPr>
          <w:rStyle w:val="Odwoanieprzypisudolnego"/>
          <w:rFonts w:cstheme="majorHAnsi"/>
        </w:rPr>
        <w:footnoteReference w:id="59"/>
      </w:r>
      <w:r w:rsidRPr="00733091">
        <w:rPr>
          <w:lang w:val="pl-PL"/>
        </w:rPr>
        <w:t xml:space="preserve"> wyznaczonych dla tego okresu wyniosła 7,3 pkt. proc.), to jednak porównanie sytuacji w roku końcowym (2019) i bazowym (2012) wskazywało na trend rosnący. W ciągu analizowanego okresu liczba zarejestrowanych wizyt u lekarza wzrosła o 91.381, tj. o 9,6%.</w:t>
      </w:r>
    </w:p>
    <w:p w14:paraId="150B4442" w14:textId="77777777" w:rsidR="00AE4C8C" w:rsidRDefault="003711E3" w:rsidP="00733091">
      <w:pPr>
        <w:rPr>
          <w:lang w:val="pl-PL"/>
        </w:rPr>
      </w:pPr>
      <w:r w:rsidRPr="00733091">
        <w:rPr>
          <w:lang w:val="pl-PL"/>
        </w:rPr>
        <w:t>Mając na uwadze, że na liczbę porad lekarskich ogółem (oprócz m.in. stanu zdrowia mieszkańców i ich struktury wiekowej) ma również wpływ liczba osób zamieszkujących daną jednostkę administracyjną, do oceny sytuacji panującej w poszczególnych powiatach wykorzystano wskaźnik liczby porad lekarskich w przeliczeniu na 10 tys. mieszkańców (W</w:t>
      </w:r>
      <w:r w:rsidRPr="00733091">
        <w:rPr>
          <w:vertAlign w:val="subscript"/>
          <w:lang w:val="pl-PL"/>
        </w:rPr>
        <w:t>lek.por/10tys.miesz</w:t>
      </w:r>
      <w:r w:rsidRPr="00733091">
        <w:rPr>
          <w:lang w:val="pl-PL"/>
        </w:rPr>
        <w:t xml:space="preserve">). Z jednej strony wielkość ta ma charakter destymulanty, a wzrost jej wartości może świadczyć o pogarszającym się stanie zdrowia ludności, ubytkach kadrowych punktów podstawowej opieki medycznej czy redukcji przychodni. </w:t>
      </w:r>
      <w:r w:rsidRPr="00733091">
        <w:rPr>
          <w:lang w:val="pl-PL"/>
        </w:rPr>
        <w:br/>
      </w:r>
    </w:p>
    <w:p w14:paraId="42867363" w14:textId="791849CA" w:rsidR="003711E3" w:rsidRPr="00733091" w:rsidRDefault="003711E3" w:rsidP="00733091">
      <w:pPr>
        <w:rPr>
          <w:lang w:val="pl-PL"/>
        </w:rPr>
      </w:pPr>
      <w:r w:rsidRPr="00733091">
        <w:rPr>
          <w:lang w:val="pl-PL"/>
        </w:rPr>
        <w:lastRenderedPageBreak/>
        <w:t xml:space="preserve">Z drugiej strony, wskaźnik nosi znamiona stymulanty informującej o większej dostępności do lekarzy podstawowej opieki medycznej i szerszej możliwości korzystania z oferowanych przez nich usług. Zmiany wartości wskaźnika w latach 2012-2019 przedstawione są na poniższym </w:t>
      </w:r>
      <w:r w:rsidR="00745CDB">
        <w:rPr>
          <w:lang w:val="pl-PL"/>
        </w:rPr>
        <w:t>wykresie</w:t>
      </w:r>
      <w:r w:rsidRPr="00733091">
        <w:rPr>
          <w:lang w:val="pl-PL"/>
        </w:rPr>
        <w:t>.</w:t>
      </w:r>
    </w:p>
    <w:p w14:paraId="002114B7" w14:textId="0A164B0B" w:rsidR="00DD31FB" w:rsidRPr="00733091" w:rsidRDefault="00DD31FB" w:rsidP="002E24A9">
      <w:pPr>
        <w:pStyle w:val="Legenda"/>
        <w:rPr>
          <w:lang w:val="pl-PL"/>
        </w:rPr>
      </w:pPr>
      <w:bookmarkStart w:id="75" w:name="_Toc69723182"/>
      <w:r w:rsidRPr="00733091">
        <w:rPr>
          <w:lang w:val="pl-PL"/>
        </w:rPr>
        <w:t xml:space="preserve">Wykres </w:t>
      </w:r>
      <w:r w:rsidR="00733091">
        <w:fldChar w:fldCharType="begin"/>
      </w:r>
      <w:r w:rsidR="00733091" w:rsidRPr="00733091">
        <w:rPr>
          <w:lang w:val="pl-PL"/>
        </w:rPr>
        <w:instrText xml:space="preserve"> SEQ Wykres \* ARABIC </w:instrText>
      </w:r>
      <w:r w:rsidR="00733091">
        <w:fldChar w:fldCharType="separate"/>
      </w:r>
      <w:r w:rsidR="00B14787">
        <w:rPr>
          <w:noProof/>
          <w:lang w:val="pl-PL"/>
        </w:rPr>
        <w:t>24</w:t>
      </w:r>
      <w:r w:rsidR="00733091">
        <w:rPr>
          <w:noProof/>
        </w:rPr>
        <w:fldChar w:fldCharType="end"/>
      </w:r>
      <w:r w:rsidRPr="00733091">
        <w:rPr>
          <w:lang w:val="pl-PL"/>
        </w:rPr>
        <w:t>: Liczba porad lekarskich podstawowej opieki medycznej na 10 tys. mieszkańców w latach 2012-2019</w:t>
      </w:r>
      <w:bookmarkEnd w:id="75"/>
    </w:p>
    <w:p w14:paraId="704EF2F7" w14:textId="20D02291" w:rsidR="00AE4C8C" w:rsidRPr="00D97684" w:rsidRDefault="003711E3" w:rsidP="00D97684">
      <w:pPr>
        <w:pStyle w:val="podpiselementu"/>
        <w:spacing w:after="240"/>
        <w:rPr>
          <w:lang w:val="pl-PL"/>
        </w:rPr>
      </w:pPr>
      <w:r w:rsidRPr="005769A9">
        <w:rPr>
          <w:rFonts w:cstheme="majorHAnsi"/>
          <w:noProof/>
          <w:highlight w:val="yellow"/>
          <w:lang w:eastAsia="pl-PL"/>
        </w:rPr>
        <w:drawing>
          <wp:inline distT="0" distB="0" distL="0" distR="0" wp14:anchorId="2AF2CF6F" wp14:editId="4D9BFBA1">
            <wp:extent cx="5759450" cy="2880360"/>
            <wp:effectExtent l="0" t="0" r="12700" b="15240"/>
            <wp:docPr id="53" name="Wykres 53" descr="wykres liniowy wskazujący liczbę porad lekarskich podstawowej opieki medycznej na 10 tys. mieszkańców w latach 2012-2019. Liczba porad w powiecie piskim zaznaczona jest linią żóltą, w powiecie działdowskim – pomarańczową, w powiecie nidzickim – szarą, w powiecie szczycieńskim – niebieską, w województwie warmińsko-mazurskim - czarną">
              <a:extLst xmlns:a="http://schemas.openxmlformats.org/drawingml/2006/main">
                <a:ext uri="{FF2B5EF4-FFF2-40B4-BE49-F238E27FC236}">
                  <a16:creationId xmlns:a16="http://schemas.microsoft.com/office/drawing/2014/main" id="{B99A5AC2-E422-4354-9C01-E471D5DFE2A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r w:rsidRPr="00733091">
        <w:rPr>
          <w:lang w:val="pl-PL"/>
        </w:rPr>
        <w:t>Źródło: opracowanie własne na podstawie danych BDL</w:t>
      </w:r>
    </w:p>
    <w:p w14:paraId="750679BD" w14:textId="77777777" w:rsidR="00A65E6B" w:rsidRDefault="003711E3" w:rsidP="00733091">
      <w:pPr>
        <w:rPr>
          <w:rFonts w:eastAsia="Times New Roman" w:cstheme="majorHAnsi"/>
          <w:lang w:val="pl-PL" w:eastAsia="pl-PL"/>
        </w:rPr>
      </w:pPr>
      <w:r w:rsidRPr="00733091">
        <w:rPr>
          <w:rFonts w:cstheme="majorHAnsi"/>
          <w:lang w:val="pl-PL"/>
        </w:rPr>
        <w:t xml:space="preserve">Drugi szczebel w systemie ochrony zdrowia stanowi leczenie specjalistyczne realizowane w ramach ambulatoryjnej opieki specjalistycznej. W 2019 r. na terenie Południowych Mazur funkcjonowało 139 poradni świadczących tego typu usługi, co stanowiło 16,0% jednostek zarejestrowanych w województwie warmińsko-mazurskim. Łącznie udzieliły one 1.401.389 porad, tj. </w:t>
      </w:r>
      <w:r w:rsidRPr="00733091">
        <w:rPr>
          <w:rFonts w:eastAsia="Times New Roman" w:cstheme="majorHAnsi"/>
          <w:lang w:val="pl-PL" w:eastAsia="pl-PL"/>
        </w:rPr>
        <w:t>14,1% ogółu odnotowanych na terenie Warmii i Mazur. Średnio na jedną przychodnię przypadało 10.082 konsultacji, przy czym największą ich liczbę zarejestrowały przychodnie z powiatu nidzickiego (10.925), natomiast najmniejszą z piskiego (8.545). Wskaźnik liczby porad przypadających na 10 tys. mieszkańców (</w:t>
      </w:r>
      <w:r w:rsidRPr="00733091">
        <w:rPr>
          <w:rFonts w:cstheme="majorHAnsi"/>
          <w:lang w:val="pl-PL"/>
        </w:rPr>
        <w:t>W</w:t>
      </w:r>
      <w:r w:rsidRPr="00733091">
        <w:rPr>
          <w:rFonts w:cstheme="majorHAnsi"/>
          <w:vertAlign w:val="subscript"/>
          <w:lang w:val="pl-PL"/>
        </w:rPr>
        <w:t>por.amb/10tys.miesz</w:t>
      </w:r>
      <w:r w:rsidRPr="00733091">
        <w:rPr>
          <w:rFonts w:eastAsia="Times New Roman" w:cstheme="majorHAnsi"/>
          <w:lang w:val="pl-PL" w:eastAsia="pl-PL"/>
        </w:rPr>
        <w:t xml:space="preserve">) wyniósł dla Południowych Mazur 62.700 i był niższy od wskaźnika wyznaczonego zarówno dla kraju (75.935), jak i dla regionu (69.686). Najwyższa wartość wskaźnika wystąpiła w powiecie nidzickim (66.500), najniższa w piskim (57.841). Na przestrzeni lat 2012-2019 widoczny był wzrost liczby porad przypadających na 10 tys. mieszkańców (który w skali całego obszaru PM wyniósł 11,7%) i spadek liczby porad przypadających na przychodnię (-2,5%), co było m.in. konsekwencją przyrostu liczby placówek (+14 nowych). </w:t>
      </w:r>
    </w:p>
    <w:p w14:paraId="28AB92DE" w14:textId="7D385449" w:rsidR="003711E3" w:rsidRPr="00733091" w:rsidRDefault="003711E3" w:rsidP="00733091">
      <w:pPr>
        <w:rPr>
          <w:rFonts w:eastAsia="Times New Roman" w:cstheme="majorHAnsi"/>
          <w:lang w:val="pl-PL" w:eastAsia="pl-PL"/>
        </w:rPr>
      </w:pPr>
      <w:r w:rsidRPr="00733091">
        <w:rPr>
          <w:rFonts w:eastAsia="Times New Roman" w:cstheme="majorHAnsi"/>
          <w:lang w:val="pl-PL" w:eastAsia="pl-PL"/>
        </w:rPr>
        <w:t>Zmiany wartości wskaźników opisujących sytuację poszczególnych powiatów w zakresie ambulatoryjnej opieki specjalistycznej zestawione są w poniższej tabeli.</w:t>
      </w:r>
    </w:p>
    <w:p w14:paraId="592E23EA" w14:textId="17A3B5E5" w:rsidR="003711E3" w:rsidRPr="00733091" w:rsidRDefault="003711E3" w:rsidP="002E24A9">
      <w:pPr>
        <w:pStyle w:val="Legenda"/>
        <w:rPr>
          <w:rFonts w:cstheme="majorHAnsi"/>
          <w:lang w:val="pl-PL"/>
        </w:rPr>
      </w:pPr>
      <w:r w:rsidRPr="00733091">
        <w:rPr>
          <w:rFonts w:eastAsia="Times New Roman" w:cstheme="majorHAnsi"/>
          <w:lang w:val="pl-PL" w:eastAsia="pl-PL"/>
        </w:rPr>
        <w:lastRenderedPageBreak/>
        <w:br/>
      </w:r>
      <w:bookmarkStart w:id="76" w:name="_Toc69723258"/>
      <w:r w:rsidRPr="00733091">
        <w:rPr>
          <w:lang w:val="pl-PL"/>
        </w:rPr>
        <w:t xml:space="preserve">Tabela </w:t>
      </w:r>
      <w:r w:rsidR="00733091">
        <w:fldChar w:fldCharType="begin"/>
      </w:r>
      <w:r w:rsidR="00733091" w:rsidRPr="00733091">
        <w:rPr>
          <w:lang w:val="pl-PL"/>
        </w:rPr>
        <w:instrText xml:space="preserve"> SEQ Tabela \* ARABIC </w:instrText>
      </w:r>
      <w:r w:rsidR="00733091">
        <w:fldChar w:fldCharType="separate"/>
      </w:r>
      <w:r w:rsidR="00B14787">
        <w:rPr>
          <w:noProof/>
          <w:lang w:val="pl-PL"/>
        </w:rPr>
        <w:t>9</w:t>
      </w:r>
      <w:r w:rsidR="00733091">
        <w:rPr>
          <w:noProof/>
        </w:rPr>
        <w:fldChar w:fldCharType="end"/>
      </w:r>
      <w:r w:rsidRPr="00733091">
        <w:rPr>
          <w:lang w:val="pl-PL"/>
        </w:rPr>
        <w:t>. Ambulatoryjna opieka specjalistyczna w powiatach Południowych Mazur</w:t>
      </w:r>
      <w:bookmarkEnd w:id="76"/>
    </w:p>
    <w:tbl>
      <w:tblPr>
        <w:tblStyle w:val="CWD"/>
        <w:tblW w:w="5000" w:type="pct"/>
        <w:tblLayout w:type="fixed"/>
        <w:tblLook w:val="04A0" w:firstRow="1" w:lastRow="0" w:firstColumn="1" w:lastColumn="0" w:noHBand="0" w:noVBand="1"/>
      </w:tblPr>
      <w:tblGrid>
        <w:gridCol w:w="2972"/>
        <w:gridCol w:w="1418"/>
        <w:gridCol w:w="1275"/>
        <w:gridCol w:w="1134"/>
        <w:gridCol w:w="1134"/>
        <w:gridCol w:w="1127"/>
      </w:tblGrid>
      <w:tr w:rsidR="00651D92" w:rsidRPr="005D25AF" w14:paraId="131F5154" w14:textId="77777777" w:rsidTr="001C373F">
        <w:trPr>
          <w:cnfStyle w:val="100000000000" w:firstRow="1" w:lastRow="0" w:firstColumn="0" w:lastColumn="0" w:oddVBand="0" w:evenVBand="0" w:oddHBand="0"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972" w:type="dxa"/>
            <w:noWrap/>
            <w:hideMark/>
          </w:tcPr>
          <w:p w14:paraId="71669DFC" w14:textId="77777777" w:rsidR="00651D92" w:rsidRPr="005D25AF" w:rsidRDefault="00651D92" w:rsidP="00666811">
            <w:pPr>
              <w:pStyle w:val="elementgraficznytabela"/>
              <w:spacing w:after="240"/>
              <w:jc w:val="center"/>
              <w:rPr>
                <w:lang w:eastAsia="pl-PL"/>
              </w:rPr>
            </w:pPr>
            <w:r w:rsidRPr="005D25AF">
              <w:rPr>
                <w:lang w:eastAsia="pl-PL"/>
              </w:rPr>
              <w:t>Wyszczególnienie</w:t>
            </w:r>
          </w:p>
        </w:tc>
        <w:tc>
          <w:tcPr>
            <w:tcW w:w="1418" w:type="dxa"/>
          </w:tcPr>
          <w:p w14:paraId="08C7BD65" w14:textId="77777777" w:rsidR="00651D92" w:rsidRPr="005D25AF" w:rsidRDefault="00651D92" w:rsidP="00666811">
            <w:pPr>
              <w:pStyle w:val="elementgraficznytabela"/>
              <w:spacing w:after="240"/>
              <w:jc w:val="center"/>
              <w:cnfStyle w:val="100000000000" w:firstRow="1" w:lastRow="0" w:firstColumn="0" w:lastColumn="0" w:oddVBand="0" w:evenVBand="0" w:oddHBand="0" w:evenHBand="0" w:firstRowFirstColumn="0" w:firstRowLastColumn="0" w:lastRowFirstColumn="0" w:lastRowLastColumn="0"/>
              <w:rPr>
                <w:lang w:eastAsia="pl-PL"/>
              </w:rPr>
            </w:pPr>
            <w:r w:rsidRPr="005D25AF">
              <w:rPr>
                <w:lang w:eastAsia="pl-PL"/>
              </w:rPr>
              <w:t>Rok</w:t>
            </w:r>
          </w:p>
        </w:tc>
        <w:tc>
          <w:tcPr>
            <w:tcW w:w="1275" w:type="dxa"/>
            <w:noWrap/>
            <w:hideMark/>
          </w:tcPr>
          <w:p w14:paraId="71B96E15" w14:textId="77777777" w:rsidR="00651D92" w:rsidRPr="005D25AF" w:rsidRDefault="00651D92" w:rsidP="00666811">
            <w:pPr>
              <w:pStyle w:val="elementgraficznytabela"/>
              <w:spacing w:after="240"/>
              <w:jc w:val="center"/>
              <w:cnfStyle w:val="100000000000" w:firstRow="1" w:lastRow="0" w:firstColumn="0" w:lastColumn="0" w:oddVBand="0" w:evenVBand="0" w:oddHBand="0" w:evenHBand="0" w:firstRowFirstColumn="0" w:firstRowLastColumn="0" w:lastRowFirstColumn="0" w:lastRowLastColumn="0"/>
              <w:rPr>
                <w:lang w:eastAsia="pl-PL"/>
              </w:rPr>
            </w:pPr>
            <w:r w:rsidRPr="005D25AF">
              <w:rPr>
                <w:lang w:eastAsia="pl-PL"/>
              </w:rPr>
              <w:t>D</w:t>
            </w:r>
          </w:p>
        </w:tc>
        <w:tc>
          <w:tcPr>
            <w:tcW w:w="1134" w:type="dxa"/>
            <w:noWrap/>
            <w:hideMark/>
          </w:tcPr>
          <w:p w14:paraId="71C103C7" w14:textId="77777777" w:rsidR="00651D92" w:rsidRPr="005D25AF" w:rsidRDefault="00651D92" w:rsidP="00666811">
            <w:pPr>
              <w:pStyle w:val="elementgraficznytabela"/>
              <w:spacing w:after="240"/>
              <w:jc w:val="center"/>
              <w:cnfStyle w:val="100000000000" w:firstRow="1" w:lastRow="0" w:firstColumn="0" w:lastColumn="0" w:oddVBand="0" w:evenVBand="0" w:oddHBand="0" w:evenHBand="0" w:firstRowFirstColumn="0" w:firstRowLastColumn="0" w:lastRowFirstColumn="0" w:lastRowLastColumn="0"/>
              <w:rPr>
                <w:lang w:eastAsia="pl-PL"/>
              </w:rPr>
            </w:pPr>
            <w:r w:rsidRPr="005D25AF">
              <w:rPr>
                <w:lang w:eastAsia="pl-PL"/>
              </w:rPr>
              <w:t>N</w:t>
            </w:r>
          </w:p>
        </w:tc>
        <w:tc>
          <w:tcPr>
            <w:tcW w:w="1134" w:type="dxa"/>
            <w:noWrap/>
            <w:hideMark/>
          </w:tcPr>
          <w:p w14:paraId="14BAD5B8" w14:textId="77777777" w:rsidR="00651D92" w:rsidRPr="005D25AF" w:rsidRDefault="00651D92" w:rsidP="00666811">
            <w:pPr>
              <w:pStyle w:val="elementgraficznytabela"/>
              <w:spacing w:after="240"/>
              <w:jc w:val="center"/>
              <w:cnfStyle w:val="100000000000" w:firstRow="1" w:lastRow="0" w:firstColumn="0" w:lastColumn="0" w:oddVBand="0" w:evenVBand="0" w:oddHBand="0" w:evenHBand="0" w:firstRowFirstColumn="0" w:firstRowLastColumn="0" w:lastRowFirstColumn="0" w:lastRowLastColumn="0"/>
              <w:rPr>
                <w:lang w:eastAsia="pl-PL"/>
              </w:rPr>
            </w:pPr>
            <w:r w:rsidRPr="005D25AF">
              <w:rPr>
                <w:lang w:eastAsia="pl-PL"/>
              </w:rPr>
              <w:t>P</w:t>
            </w:r>
          </w:p>
        </w:tc>
        <w:tc>
          <w:tcPr>
            <w:tcW w:w="1127" w:type="dxa"/>
            <w:noWrap/>
            <w:hideMark/>
          </w:tcPr>
          <w:p w14:paraId="5EA5A106" w14:textId="77777777" w:rsidR="00651D92" w:rsidRPr="005D25AF" w:rsidRDefault="00651D92" w:rsidP="00666811">
            <w:pPr>
              <w:pStyle w:val="elementgraficznytabela"/>
              <w:spacing w:after="240"/>
              <w:jc w:val="center"/>
              <w:cnfStyle w:val="100000000000" w:firstRow="1" w:lastRow="0" w:firstColumn="0" w:lastColumn="0" w:oddVBand="0" w:evenVBand="0" w:oddHBand="0" w:evenHBand="0" w:firstRowFirstColumn="0" w:firstRowLastColumn="0" w:lastRowFirstColumn="0" w:lastRowLastColumn="0"/>
              <w:rPr>
                <w:lang w:eastAsia="pl-PL"/>
              </w:rPr>
            </w:pPr>
            <w:r w:rsidRPr="005D25AF">
              <w:rPr>
                <w:lang w:eastAsia="pl-PL"/>
              </w:rPr>
              <w:t>SZ</w:t>
            </w:r>
          </w:p>
        </w:tc>
      </w:tr>
      <w:tr w:rsidR="00651D92" w:rsidRPr="005D25AF" w14:paraId="546FA7D9" w14:textId="77777777" w:rsidTr="001C373F">
        <w:trPr>
          <w:trHeight w:val="288"/>
        </w:trPr>
        <w:tc>
          <w:tcPr>
            <w:cnfStyle w:val="001000000000" w:firstRow="0" w:lastRow="0" w:firstColumn="1" w:lastColumn="0" w:oddVBand="0" w:evenVBand="0" w:oddHBand="0" w:evenHBand="0" w:firstRowFirstColumn="0" w:firstRowLastColumn="0" w:lastRowFirstColumn="0" w:lastRowLastColumn="0"/>
            <w:tcW w:w="2972" w:type="dxa"/>
            <w:vMerge w:val="restart"/>
            <w:noWrap/>
          </w:tcPr>
          <w:p w14:paraId="337FB771" w14:textId="77777777" w:rsidR="00651D92" w:rsidRPr="005D25AF" w:rsidRDefault="00651D92" w:rsidP="00733091">
            <w:pPr>
              <w:pStyle w:val="elementgraficznytabela"/>
              <w:spacing w:after="240"/>
              <w:rPr>
                <w:lang w:eastAsia="pl-PL"/>
              </w:rPr>
            </w:pPr>
            <w:r w:rsidRPr="005D25AF">
              <w:rPr>
                <w:lang w:eastAsia="pl-PL"/>
              </w:rPr>
              <w:t>Liczba przychodni</w:t>
            </w:r>
          </w:p>
        </w:tc>
        <w:tc>
          <w:tcPr>
            <w:tcW w:w="1418" w:type="dxa"/>
          </w:tcPr>
          <w:p w14:paraId="45AD3F2B" w14:textId="77777777" w:rsidR="00651D92" w:rsidRPr="005D25AF" w:rsidRDefault="00651D92" w:rsidP="009B403E">
            <w:pPr>
              <w:pStyle w:val="elementgraficznytabela"/>
              <w:spacing w:after="240"/>
              <w:cnfStyle w:val="000000000000" w:firstRow="0" w:lastRow="0" w:firstColumn="0" w:lastColumn="0" w:oddVBand="0" w:evenVBand="0" w:oddHBand="0" w:evenHBand="0" w:firstRowFirstColumn="0" w:firstRowLastColumn="0" w:lastRowFirstColumn="0" w:lastRowLastColumn="0"/>
              <w:rPr>
                <w:lang w:eastAsia="pl-PL"/>
              </w:rPr>
            </w:pPr>
            <w:r w:rsidRPr="005D25AF">
              <w:rPr>
                <w:lang w:eastAsia="pl-PL"/>
              </w:rPr>
              <w:t>2019</w:t>
            </w:r>
          </w:p>
        </w:tc>
        <w:tc>
          <w:tcPr>
            <w:tcW w:w="1275" w:type="dxa"/>
            <w:noWrap/>
          </w:tcPr>
          <w:p w14:paraId="225D3BA6" w14:textId="77777777" w:rsidR="00651D92" w:rsidRPr="005D25AF" w:rsidRDefault="00651D92" w:rsidP="009B403E">
            <w:pPr>
              <w:pStyle w:val="elementgraficznytabela"/>
              <w:spacing w:after="240"/>
              <w:cnfStyle w:val="000000000000" w:firstRow="0" w:lastRow="0" w:firstColumn="0" w:lastColumn="0" w:oddVBand="0" w:evenVBand="0" w:oddHBand="0" w:evenHBand="0" w:firstRowFirstColumn="0" w:firstRowLastColumn="0" w:lastRowFirstColumn="0" w:lastRowLastColumn="0"/>
              <w:rPr>
                <w:lang w:eastAsia="pl-PL"/>
              </w:rPr>
            </w:pPr>
            <w:r w:rsidRPr="005D25AF">
              <w:t>39</w:t>
            </w:r>
          </w:p>
        </w:tc>
        <w:tc>
          <w:tcPr>
            <w:tcW w:w="1134" w:type="dxa"/>
            <w:noWrap/>
          </w:tcPr>
          <w:p w14:paraId="6DC61FC6" w14:textId="77777777" w:rsidR="00651D92" w:rsidRPr="005D25AF" w:rsidRDefault="00651D92" w:rsidP="009B403E">
            <w:pPr>
              <w:pStyle w:val="elementgraficznytabela"/>
              <w:spacing w:after="240"/>
              <w:cnfStyle w:val="000000000000" w:firstRow="0" w:lastRow="0" w:firstColumn="0" w:lastColumn="0" w:oddVBand="0" w:evenVBand="0" w:oddHBand="0" w:evenHBand="0" w:firstRowFirstColumn="0" w:firstRowLastColumn="0" w:lastRowFirstColumn="0" w:lastRowLastColumn="0"/>
              <w:rPr>
                <w:lang w:eastAsia="pl-PL"/>
              </w:rPr>
            </w:pPr>
            <w:r w:rsidRPr="005D25AF">
              <w:t>20</w:t>
            </w:r>
          </w:p>
        </w:tc>
        <w:tc>
          <w:tcPr>
            <w:tcW w:w="1134" w:type="dxa"/>
            <w:noWrap/>
          </w:tcPr>
          <w:p w14:paraId="64BDF247" w14:textId="77777777" w:rsidR="00651D92" w:rsidRPr="005D25AF" w:rsidRDefault="00651D92" w:rsidP="009B403E">
            <w:pPr>
              <w:pStyle w:val="elementgraficznytabela"/>
              <w:spacing w:after="240"/>
              <w:cnfStyle w:val="000000000000" w:firstRow="0" w:lastRow="0" w:firstColumn="0" w:lastColumn="0" w:oddVBand="0" w:evenVBand="0" w:oddHBand="0" w:evenHBand="0" w:firstRowFirstColumn="0" w:firstRowLastColumn="0" w:lastRowFirstColumn="0" w:lastRowLastColumn="0"/>
              <w:rPr>
                <w:lang w:eastAsia="pl-PL"/>
              </w:rPr>
            </w:pPr>
            <w:r w:rsidRPr="005D25AF">
              <w:t>38</w:t>
            </w:r>
          </w:p>
        </w:tc>
        <w:tc>
          <w:tcPr>
            <w:tcW w:w="1127" w:type="dxa"/>
            <w:noWrap/>
          </w:tcPr>
          <w:p w14:paraId="660477AA" w14:textId="77777777" w:rsidR="00651D92" w:rsidRPr="005D25AF" w:rsidRDefault="00651D92" w:rsidP="009B403E">
            <w:pPr>
              <w:pStyle w:val="elementgraficznytabela"/>
              <w:spacing w:after="240"/>
              <w:cnfStyle w:val="000000000000" w:firstRow="0" w:lastRow="0" w:firstColumn="0" w:lastColumn="0" w:oddVBand="0" w:evenVBand="0" w:oddHBand="0" w:evenHBand="0" w:firstRowFirstColumn="0" w:firstRowLastColumn="0" w:lastRowFirstColumn="0" w:lastRowLastColumn="0"/>
              <w:rPr>
                <w:lang w:eastAsia="pl-PL"/>
              </w:rPr>
            </w:pPr>
            <w:r w:rsidRPr="005D25AF">
              <w:t>42</w:t>
            </w:r>
          </w:p>
        </w:tc>
      </w:tr>
      <w:tr w:rsidR="00651D92" w:rsidRPr="005D25AF" w14:paraId="513ABA0B" w14:textId="77777777" w:rsidTr="001C373F">
        <w:trPr>
          <w:trHeight w:val="288"/>
        </w:trPr>
        <w:tc>
          <w:tcPr>
            <w:cnfStyle w:val="001000000000" w:firstRow="0" w:lastRow="0" w:firstColumn="1" w:lastColumn="0" w:oddVBand="0" w:evenVBand="0" w:oddHBand="0" w:evenHBand="0" w:firstRowFirstColumn="0" w:firstRowLastColumn="0" w:lastRowFirstColumn="0" w:lastRowLastColumn="0"/>
            <w:tcW w:w="2972" w:type="dxa"/>
            <w:vMerge/>
            <w:noWrap/>
          </w:tcPr>
          <w:p w14:paraId="5A8709AB" w14:textId="77777777" w:rsidR="00651D92" w:rsidRPr="005D25AF" w:rsidRDefault="00651D92" w:rsidP="00733091">
            <w:pPr>
              <w:pStyle w:val="elementgraficznytabela"/>
              <w:spacing w:after="240"/>
              <w:rPr>
                <w:lang w:eastAsia="pl-PL"/>
              </w:rPr>
            </w:pPr>
          </w:p>
        </w:tc>
        <w:tc>
          <w:tcPr>
            <w:tcW w:w="1418" w:type="dxa"/>
          </w:tcPr>
          <w:p w14:paraId="098ADD29" w14:textId="77777777" w:rsidR="00651D92" w:rsidRPr="005D25AF" w:rsidRDefault="00651D92" w:rsidP="009B403E">
            <w:pPr>
              <w:pStyle w:val="elementgraficznytabela"/>
              <w:spacing w:after="240"/>
              <w:cnfStyle w:val="000000000000" w:firstRow="0" w:lastRow="0" w:firstColumn="0" w:lastColumn="0" w:oddVBand="0" w:evenVBand="0" w:oddHBand="0" w:evenHBand="0" w:firstRowFirstColumn="0" w:firstRowLastColumn="0" w:lastRowFirstColumn="0" w:lastRowLastColumn="0"/>
              <w:rPr>
                <w:lang w:eastAsia="pl-PL"/>
              </w:rPr>
            </w:pPr>
            <w:r w:rsidRPr="005D25AF">
              <w:rPr>
                <w:lang w:eastAsia="pl-PL"/>
              </w:rPr>
              <w:t>zmiana 2012=100%</w:t>
            </w:r>
          </w:p>
        </w:tc>
        <w:tc>
          <w:tcPr>
            <w:tcW w:w="1275" w:type="dxa"/>
            <w:noWrap/>
          </w:tcPr>
          <w:p w14:paraId="2F5320EC" w14:textId="77777777" w:rsidR="00651D92" w:rsidRPr="005D25AF" w:rsidRDefault="00651D92" w:rsidP="009B403E">
            <w:pPr>
              <w:pStyle w:val="elementgraficznytabela"/>
              <w:spacing w:after="240"/>
              <w:cnfStyle w:val="000000000000" w:firstRow="0" w:lastRow="0" w:firstColumn="0" w:lastColumn="0" w:oddVBand="0" w:evenVBand="0" w:oddHBand="0" w:evenHBand="0" w:firstRowFirstColumn="0" w:firstRowLastColumn="0" w:lastRowFirstColumn="0" w:lastRowLastColumn="0"/>
              <w:rPr>
                <w:lang w:eastAsia="pl-PL"/>
              </w:rPr>
            </w:pPr>
            <w:r w:rsidRPr="005D25AF">
              <w:t>8,3</w:t>
            </w:r>
          </w:p>
        </w:tc>
        <w:tc>
          <w:tcPr>
            <w:tcW w:w="1134" w:type="dxa"/>
            <w:noWrap/>
          </w:tcPr>
          <w:p w14:paraId="2322CBF6" w14:textId="77777777" w:rsidR="00651D92" w:rsidRPr="005D25AF" w:rsidRDefault="00651D92" w:rsidP="009B403E">
            <w:pPr>
              <w:pStyle w:val="elementgraficznytabela"/>
              <w:spacing w:after="240"/>
              <w:cnfStyle w:val="000000000000" w:firstRow="0" w:lastRow="0" w:firstColumn="0" w:lastColumn="0" w:oddVBand="0" w:evenVBand="0" w:oddHBand="0" w:evenHBand="0" w:firstRowFirstColumn="0" w:firstRowLastColumn="0" w:lastRowFirstColumn="0" w:lastRowLastColumn="0"/>
              <w:rPr>
                <w:lang w:eastAsia="pl-PL"/>
              </w:rPr>
            </w:pPr>
            <w:r w:rsidRPr="005D25AF">
              <w:t>11,1</w:t>
            </w:r>
          </w:p>
        </w:tc>
        <w:tc>
          <w:tcPr>
            <w:tcW w:w="1134" w:type="dxa"/>
            <w:noWrap/>
          </w:tcPr>
          <w:p w14:paraId="08F76820" w14:textId="77777777" w:rsidR="00651D92" w:rsidRPr="005D25AF" w:rsidRDefault="00651D92" w:rsidP="009B403E">
            <w:pPr>
              <w:pStyle w:val="elementgraficznytabela"/>
              <w:spacing w:after="240"/>
              <w:cnfStyle w:val="000000000000" w:firstRow="0" w:lastRow="0" w:firstColumn="0" w:lastColumn="0" w:oddVBand="0" w:evenVBand="0" w:oddHBand="0" w:evenHBand="0" w:firstRowFirstColumn="0" w:firstRowLastColumn="0" w:lastRowFirstColumn="0" w:lastRowLastColumn="0"/>
              <w:rPr>
                <w:lang w:eastAsia="pl-PL"/>
              </w:rPr>
            </w:pPr>
            <w:r w:rsidRPr="005D25AF">
              <w:t>11,8</w:t>
            </w:r>
          </w:p>
        </w:tc>
        <w:tc>
          <w:tcPr>
            <w:tcW w:w="1127" w:type="dxa"/>
            <w:noWrap/>
          </w:tcPr>
          <w:p w14:paraId="1662393E" w14:textId="77777777" w:rsidR="00651D92" w:rsidRPr="005D25AF" w:rsidRDefault="00651D92" w:rsidP="009B403E">
            <w:pPr>
              <w:pStyle w:val="elementgraficznytabela"/>
              <w:spacing w:after="240"/>
              <w:cnfStyle w:val="000000000000" w:firstRow="0" w:lastRow="0" w:firstColumn="0" w:lastColumn="0" w:oddVBand="0" w:evenVBand="0" w:oddHBand="0" w:evenHBand="0" w:firstRowFirstColumn="0" w:firstRowLastColumn="0" w:lastRowFirstColumn="0" w:lastRowLastColumn="0"/>
              <w:rPr>
                <w:lang w:eastAsia="pl-PL"/>
              </w:rPr>
            </w:pPr>
            <w:r w:rsidRPr="005D25AF">
              <w:t>13,5</w:t>
            </w:r>
          </w:p>
        </w:tc>
      </w:tr>
      <w:tr w:rsidR="00651D92" w:rsidRPr="005D25AF" w14:paraId="3757FBA9" w14:textId="77777777" w:rsidTr="001C373F">
        <w:trPr>
          <w:trHeight w:val="288"/>
        </w:trPr>
        <w:tc>
          <w:tcPr>
            <w:cnfStyle w:val="001000000000" w:firstRow="0" w:lastRow="0" w:firstColumn="1" w:lastColumn="0" w:oddVBand="0" w:evenVBand="0" w:oddHBand="0" w:evenHBand="0" w:firstRowFirstColumn="0" w:firstRowLastColumn="0" w:lastRowFirstColumn="0" w:lastRowLastColumn="0"/>
            <w:tcW w:w="2972" w:type="dxa"/>
            <w:vMerge w:val="restart"/>
            <w:noWrap/>
          </w:tcPr>
          <w:p w14:paraId="55000C84" w14:textId="77777777" w:rsidR="00651D92" w:rsidRPr="005D25AF" w:rsidRDefault="00651D92" w:rsidP="00733091">
            <w:pPr>
              <w:pStyle w:val="elementgraficznytabela"/>
              <w:spacing w:after="240"/>
              <w:rPr>
                <w:lang w:eastAsia="pl-PL"/>
              </w:rPr>
            </w:pPr>
            <w:r w:rsidRPr="005D25AF">
              <w:rPr>
                <w:lang w:eastAsia="pl-PL"/>
              </w:rPr>
              <w:t>Liczba udzielonych porad ogółem</w:t>
            </w:r>
          </w:p>
        </w:tc>
        <w:tc>
          <w:tcPr>
            <w:tcW w:w="1418" w:type="dxa"/>
          </w:tcPr>
          <w:p w14:paraId="7DECF998" w14:textId="77777777" w:rsidR="00651D92" w:rsidRPr="005D25AF" w:rsidRDefault="00651D92" w:rsidP="009B403E">
            <w:pPr>
              <w:pStyle w:val="elementgraficznytabela"/>
              <w:spacing w:after="240"/>
              <w:cnfStyle w:val="000000000000" w:firstRow="0" w:lastRow="0" w:firstColumn="0" w:lastColumn="0" w:oddVBand="0" w:evenVBand="0" w:oddHBand="0" w:evenHBand="0" w:firstRowFirstColumn="0" w:firstRowLastColumn="0" w:lastRowFirstColumn="0" w:lastRowLastColumn="0"/>
              <w:rPr>
                <w:lang w:eastAsia="pl-PL"/>
              </w:rPr>
            </w:pPr>
            <w:r w:rsidRPr="005D25AF">
              <w:rPr>
                <w:lang w:eastAsia="pl-PL"/>
              </w:rPr>
              <w:t>2019</w:t>
            </w:r>
          </w:p>
        </w:tc>
        <w:tc>
          <w:tcPr>
            <w:tcW w:w="1275" w:type="dxa"/>
            <w:noWrap/>
          </w:tcPr>
          <w:p w14:paraId="07302DAA" w14:textId="77777777" w:rsidR="00651D92" w:rsidRPr="005D25AF" w:rsidRDefault="00651D92" w:rsidP="009B403E">
            <w:pPr>
              <w:pStyle w:val="elementgraficznytabela"/>
              <w:spacing w:after="240"/>
              <w:cnfStyle w:val="000000000000" w:firstRow="0" w:lastRow="0" w:firstColumn="0" w:lastColumn="0" w:oddVBand="0" w:evenVBand="0" w:oddHBand="0" w:evenHBand="0" w:firstRowFirstColumn="0" w:firstRowLastColumn="0" w:lastRowFirstColumn="0" w:lastRowLastColumn="0"/>
              <w:rPr>
                <w:lang w:eastAsia="pl-PL"/>
              </w:rPr>
            </w:pPr>
            <w:r w:rsidRPr="005D25AF">
              <w:t>408.487</w:t>
            </w:r>
          </w:p>
        </w:tc>
        <w:tc>
          <w:tcPr>
            <w:tcW w:w="1134" w:type="dxa"/>
            <w:noWrap/>
          </w:tcPr>
          <w:p w14:paraId="5E548688" w14:textId="77777777" w:rsidR="00651D92" w:rsidRPr="005D25AF" w:rsidRDefault="00651D92" w:rsidP="009B403E">
            <w:pPr>
              <w:pStyle w:val="elementgraficznytabela"/>
              <w:spacing w:after="240"/>
              <w:cnfStyle w:val="000000000000" w:firstRow="0" w:lastRow="0" w:firstColumn="0" w:lastColumn="0" w:oddVBand="0" w:evenVBand="0" w:oddHBand="0" w:evenHBand="0" w:firstRowFirstColumn="0" w:firstRowLastColumn="0" w:lastRowFirstColumn="0" w:lastRowLastColumn="0"/>
              <w:rPr>
                <w:lang w:eastAsia="pl-PL"/>
              </w:rPr>
            </w:pPr>
            <w:r w:rsidRPr="005D25AF">
              <w:t>218.498</w:t>
            </w:r>
          </w:p>
        </w:tc>
        <w:tc>
          <w:tcPr>
            <w:tcW w:w="1134" w:type="dxa"/>
            <w:noWrap/>
          </w:tcPr>
          <w:p w14:paraId="6BB9FCF3" w14:textId="77777777" w:rsidR="00651D92" w:rsidRPr="005D25AF" w:rsidRDefault="00651D92" w:rsidP="009B403E">
            <w:pPr>
              <w:pStyle w:val="elementgraficznytabela"/>
              <w:spacing w:after="240"/>
              <w:cnfStyle w:val="000000000000" w:firstRow="0" w:lastRow="0" w:firstColumn="0" w:lastColumn="0" w:oddVBand="0" w:evenVBand="0" w:oddHBand="0" w:evenHBand="0" w:firstRowFirstColumn="0" w:firstRowLastColumn="0" w:lastRowFirstColumn="0" w:lastRowLastColumn="0"/>
              <w:rPr>
                <w:lang w:eastAsia="pl-PL"/>
              </w:rPr>
            </w:pPr>
            <w:r w:rsidRPr="005D25AF">
              <w:t>324.692</w:t>
            </w:r>
          </w:p>
        </w:tc>
        <w:tc>
          <w:tcPr>
            <w:tcW w:w="1127" w:type="dxa"/>
            <w:noWrap/>
          </w:tcPr>
          <w:p w14:paraId="5929E58B" w14:textId="77777777" w:rsidR="00651D92" w:rsidRPr="005D25AF" w:rsidRDefault="00651D92" w:rsidP="009B403E">
            <w:pPr>
              <w:pStyle w:val="elementgraficznytabela"/>
              <w:spacing w:after="240"/>
              <w:cnfStyle w:val="000000000000" w:firstRow="0" w:lastRow="0" w:firstColumn="0" w:lastColumn="0" w:oddVBand="0" w:evenVBand="0" w:oddHBand="0" w:evenHBand="0" w:firstRowFirstColumn="0" w:firstRowLastColumn="0" w:lastRowFirstColumn="0" w:lastRowLastColumn="0"/>
              <w:rPr>
                <w:lang w:eastAsia="pl-PL"/>
              </w:rPr>
            </w:pPr>
            <w:r w:rsidRPr="005D25AF">
              <w:t>449.712</w:t>
            </w:r>
          </w:p>
        </w:tc>
      </w:tr>
      <w:tr w:rsidR="00651D92" w:rsidRPr="005D25AF" w14:paraId="48365E65" w14:textId="77777777" w:rsidTr="001C373F">
        <w:trPr>
          <w:trHeight w:val="288"/>
        </w:trPr>
        <w:tc>
          <w:tcPr>
            <w:cnfStyle w:val="001000000000" w:firstRow="0" w:lastRow="0" w:firstColumn="1" w:lastColumn="0" w:oddVBand="0" w:evenVBand="0" w:oddHBand="0" w:evenHBand="0" w:firstRowFirstColumn="0" w:firstRowLastColumn="0" w:lastRowFirstColumn="0" w:lastRowLastColumn="0"/>
            <w:tcW w:w="2972" w:type="dxa"/>
            <w:vMerge/>
            <w:noWrap/>
          </w:tcPr>
          <w:p w14:paraId="455E4707" w14:textId="77777777" w:rsidR="00651D92" w:rsidRPr="005D25AF" w:rsidRDefault="00651D92" w:rsidP="00733091">
            <w:pPr>
              <w:pStyle w:val="elementgraficznytabela"/>
              <w:spacing w:after="240"/>
              <w:rPr>
                <w:lang w:eastAsia="pl-PL"/>
              </w:rPr>
            </w:pPr>
          </w:p>
        </w:tc>
        <w:tc>
          <w:tcPr>
            <w:tcW w:w="1418" w:type="dxa"/>
          </w:tcPr>
          <w:p w14:paraId="4CD7C011" w14:textId="6736FDF8" w:rsidR="00651D92" w:rsidRPr="005D25AF" w:rsidRDefault="00651D92" w:rsidP="009B403E">
            <w:pPr>
              <w:pStyle w:val="elementgraficznytabela"/>
              <w:spacing w:after="240"/>
              <w:cnfStyle w:val="000000000000" w:firstRow="0" w:lastRow="0" w:firstColumn="0" w:lastColumn="0" w:oddVBand="0" w:evenVBand="0" w:oddHBand="0" w:evenHBand="0" w:firstRowFirstColumn="0" w:firstRowLastColumn="0" w:lastRowFirstColumn="0" w:lastRowLastColumn="0"/>
              <w:rPr>
                <w:lang w:eastAsia="pl-PL"/>
              </w:rPr>
            </w:pPr>
            <w:r w:rsidRPr="005D25AF">
              <w:rPr>
                <w:lang w:eastAsia="pl-PL"/>
              </w:rPr>
              <w:t>zmiana 2012=100%</w:t>
            </w:r>
          </w:p>
        </w:tc>
        <w:tc>
          <w:tcPr>
            <w:tcW w:w="1275" w:type="dxa"/>
            <w:noWrap/>
          </w:tcPr>
          <w:p w14:paraId="0BF034EE" w14:textId="77777777" w:rsidR="00651D92" w:rsidRPr="005D25AF" w:rsidRDefault="00651D92" w:rsidP="009B403E">
            <w:pPr>
              <w:pStyle w:val="elementgraficznytabela"/>
              <w:spacing w:after="240"/>
              <w:cnfStyle w:val="000000000000" w:firstRow="0" w:lastRow="0" w:firstColumn="0" w:lastColumn="0" w:oddVBand="0" w:evenVBand="0" w:oddHBand="0" w:evenHBand="0" w:firstRowFirstColumn="0" w:firstRowLastColumn="0" w:lastRowFirstColumn="0" w:lastRowLastColumn="0"/>
              <w:rPr>
                <w:lang w:eastAsia="pl-PL"/>
              </w:rPr>
            </w:pPr>
            <w:r w:rsidRPr="005D25AF">
              <w:t>1,8</w:t>
            </w:r>
          </w:p>
        </w:tc>
        <w:tc>
          <w:tcPr>
            <w:tcW w:w="1134" w:type="dxa"/>
            <w:noWrap/>
          </w:tcPr>
          <w:p w14:paraId="192B3F64" w14:textId="77777777" w:rsidR="00651D92" w:rsidRPr="005D25AF" w:rsidRDefault="00651D92" w:rsidP="009B403E">
            <w:pPr>
              <w:pStyle w:val="elementgraficznytabela"/>
              <w:spacing w:after="240"/>
              <w:cnfStyle w:val="000000000000" w:firstRow="0" w:lastRow="0" w:firstColumn="0" w:lastColumn="0" w:oddVBand="0" w:evenVBand="0" w:oddHBand="0" w:evenHBand="0" w:firstRowFirstColumn="0" w:firstRowLastColumn="0" w:lastRowFirstColumn="0" w:lastRowLastColumn="0"/>
              <w:rPr>
                <w:lang w:eastAsia="pl-PL"/>
              </w:rPr>
            </w:pPr>
            <w:r w:rsidRPr="005D25AF">
              <w:t>-2,9</w:t>
            </w:r>
          </w:p>
        </w:tc>
        <w:tc>
          <w:tcPr>
            <w:tcW w:w="1134" w:type="dxa"/>
            <w:noWrap/>
          </w:tcPr>
          <w:p w14:paraId="2B2BAA42" w14:textId="77777777" w:rsidR="00651D92" w:rsidRPr="005D25AF" w:rsidRDefault="00651D92" w:rsidP="009B403E">
            <w:pPr>
              <w:pStyle w:val="elementgraficznytabela"/>
              <w:spacing w:after="240"/>
              <w:cnfStyle w:val="000000000000" w:firstRow="0" w:lastRow="0" w:firstColumn="0" w:lastColumn="0" w:oddVBand="0" w:evenVBand="0" w:oddHBand="0" w:evenHBand="0" w:firstRowFirstColumn="0" w:firstRowLastColumn="0" w:lastRowFirstColumn="0" w:lastRowLastColumn="0"/>
              <w:rPr>
                <w:lang w:eastAsia="pl-PL"/>
              </w:rPr>
            </w:pPr>
            <w:r w:rsidRPr="005D25AF">
              <w:t>24,6</w:t>
            </w:r>
          </w:p>
        </w:tc>
        <w:tc>
          <w:tcPr>
            <w:tcW w:w="1127" w:type="dxa"/>
            <w:noWrap/>
          </w:tcPr>
          <w:p w14:paraId="452F7207" w14:textId="77777777" w:rsidR="00651D92" w:rsidRPr="005D25AF" w:rsidRDefault="00651D92" w:rsidP="009B403E">
            <w:pPr>
              <w:pStyle w:val="elementgraficznytabela"/>
              <w:spacing w:after="240"/>
              <w:cnfStyle w:val="000000000000" w:firstRow="0" w:lastRow="0" w:firstColumn="0" w:lastColumn="0" w:oddVBand="0" w:evenVBand="0" w:oddHBand="0" w:evenHBand="0" w:firstRowFirstColumn="0" w:firstRowLastColumn="0" w:lastRowFirstColumn="0" w:lastRowLastColumn="0"/>
              <w:rPr>
                <w:lang w:eastAsia="pl-PL"/>
              </w:rPr>
            </w:pPr>
            <w:r w:rsidRPr="005D25AF">
              <w:t>10,9</w:t>
            </w:r>
          </w:p>
        </w:tc>
      </w:tr>
      <w:tr w:rsidR="00651D92" w:rsidRPr="005D25AF" w14:paraId="1D3327DA" w14:textId="77777777" w:rsidTr="001C373F">
        <w:trPr>
          <w:trHeight w:val="288"/>
        </w:trPr>
        <w:tc>
          <w:tcPr>
            <w:cnfStyle w:val="001000000000" w:firstRow="0" w:lastRow="0" w:firstColumn="1" w:lastColumn="0" w:oddVBand="0" w:evenVBand="0" w:oddHBand="0" w:evenHBand="0" w:firstRowFirstColumn="0" w:firstRowLastColumn="0" w:lastRowFirstColumn="0" w:lastRowLastColumn="0"/>
            <w:tcW w:w="2972" w:type="dxa"/>
            <w:vMerge w:val="restart"/>
            <w:noWrap/>
          </w:tcPr>
          <w:p w14:paraId="68D01916" w14:textId="77777777" w:rsidR="00651D92" w:rsidRPr="005D25AF" w:rsidRDefault="00651D92" w:rsidP="00733091">
            <w:pPr>
              <w:pStyle w:val="elementgraficznytabela"/>
              <w:spacing w:after="240"/>
              <w:rPr>
                <w:lang w:eastAsia="pl-PL"/>
              </w:rPr>
            </w:pPr>
            <w:r w:rsidRPr="005D25AF">
              <w:rPr>
                <w:lang w:eastAsia="pl-PL"/>
              </w:rPr>
              <w:t>Liczba udzielonych porad w przeliczeniu na przychodnię</w:t>
            </w:r>
          </w:p>
        </w:tc>
        <w:tc>
          <w:tcPr>
            <w:tcW w:w="1418" w:type="dxa"/>
          </w:tcPr>
          <w:p w14:paraId="125F5D60" w14:textId="77777777" w:rsidR="00651D92" w:rsidRPr="005D25AF" w:rsidRDefault="00651D92" w:rsidP="009B403E">
            <w:pPr>
              <w:pStyle w:val="elementgraficznytabela"/>
              <w:spacing w:after="240"/>
              <w:cnfStyle w:val="000000000000" w:firstRow="0" w:lastRow="0" w:firstColumn="0" w:lastColumn="0" w:oddVBand="0" w:evenVBand="0" w:oddHBand="0" w:evenHBand="0" w:firstRowFirstColumn="0" w:firstRowLastColumn="0" w:lastRowFirstColumn="0" w:lastRowLastColumn="0"/>
              <w:rPr>
                <w:lang w:eastAsia="pl-PL"/>
              </w:rPr>
            </w:pPr>
            <w:r w:rsidRPr="005D25AF">
              <w:rPr>
                <w:lang w:eastAsia="pl-PL"/>
              </w:rPr>
              <w:t>2019</w:t>
            </w:r>
          </w:p>
        </w:tc>
        <w:tc>
          <w:tcPr>
            <w:tcW w:w="1275" w:type="dxa"/>
            <w:noWrap/>
          </w:tcPr>
          <w:p w14:paraId="6F8DF36E" w14:textId="77777777" w:rsidR="00651D92" w:rsidRPr="005D25AF" w:rsidRDefault="00651D92" w:rsidP="009B403E">
            <w:pPr>
              <w:pStyle w:val="elementgraficznytabela"/>
              <w:spacing w:after="240"/>
              <w:cnfStyle w:val="000000000000" w:firstRow="0" w:lastRow="0" w:firstColumn="0" w:lastColumn="0" w:oddVBand="0" w:evenVBand="0" w:oddHBand="0" w:evenHBand="0" w:firstRowFirstColumn="0" w:firstRowLastColumn="0" w:lastRowFirstColumn="0" w:lastRowLastColumn="0"/>
              <w:rPr>
                <w:lang w:eastAsia="pl-PL"/>
              </w:rPr>
            </w:pPr>
            <w:r w:rsidRPr="005D25AF">
              <w:t>10.474</w:t>
            </w:r>
          </w:p>
        </w:tc>
        <w:tc>
          <w:tcPr>
            <w:tcW w:w="1134" w:type="dxa"/>
            <w:noWrap/>
          </w:tcPr>
          <w:p w14:paraId="33C0AEB5" w14:textId="77777777" w:rsidR="00651D92" w:rsidRPr="005D25AF" w:rsidRDefault="00651D92" w:rsidP="009B403E">
            <w:pPr>
              <w:pStyle w:val="elementgraficznytabela"/>
              <w:spacing w:after="240"/>
              <w:cnfStyle w:val="000000000000" w:firstRow="0" w:lastRow="0" w:firstColumn="0" w:lastColumn="0" w:oddVBand="0" w:evenVBand="0" w:oddHBand="0" w:evenHBand="0" w:firstRowFirstColumn="0" w:firstRowLastColumn="0" w:lastRowFirstColumn="0" w:lastRowLastColumn="0"/>
              <w:rPr>
                <w:lang w:eastAsia="pl-PL"/>
              </w:rPr>
            </w:pPr>
            <w:r w:rsidRPr="005D25AF">
              <w:t>10.925</w:t>
            </w:r>
          </w:p>
        </w:tc>
        <w:tc>
          <w:tcPr>
            <w:tcW w:w="1134" w:type="dxa"/>
            <w:noWrap/>
          </w:tcPr>
          <w:p w14:paraId="01FB3764" w14:textId="77777777" w:rsidR="00651D92" w:rsidRPr="005D25AF" w:rsidRDefault="00651D92" w:rsidP="009B403E">
            <w:pPr>
              <w:pStyle w:val="elementgraficznytabela"/>
              <w:spacing w:after="240"/>
              <w:cnfStyle w:val="000000000000" w:firstRow="0" w:lastRow="0" w:firstColumn="0" w:lastColumn="0" w:oddVBand="0" w:evenVBand="0" w:oddHBand="0" w:evenHBand="0" w:firstRowFirstColumn="0" w:firstRowLastColumn="0" w:lastRowFirstColumn="0" w:lastRowLastColumn="0"/>
              <w:rPr>
                <w:lang w:eastAsia="pl-PL"/>
              </w:rPr>
            </w:pPr>
            <w:r w:rsidRPr="005D25AF">
              <w:t>8.545</w:t>
            </w:r>
          </w:p>
        </w:tc>
        <w:tc>
          <w:tcPr>
            <w:tcW w:w="1127" w:type="dxa"/>
            <w:noWrap/>
          </w:tcPr>
          <w:p w14:paraId="1D889E71" w14:textId="77777777" w:rsidR="00651D92" w:rsidRPr="005D25AF" w:rsidRDefault="00651D92" w:rsidP="009B403E">
            <w:pPr>
              <w:pStyle w:val="elementgraficznytabela"/>
              <w:spacing w:after="240"/>
              <w:cnfStyle w:val="000000000000" w:firstRow="0" w:lastRow="0" w:firstColumn="0" w:lastColumn="0" w:oddVBand="0" w:evenVBand="0" w:oddHBand="0" w:evenHBand="0" w:firstRowFirstColumn="0" w:firstRowLastColumn="0" w:lastRowFirstColumn="0" w:lastRowLastColumn="0"/>
              <w:rPr>
                <w:lang w:eastAsia="pl-PL"/>
              </w:rPr>
            </w:pPr>
            <w:r w:rsidRPr="005D25AF">
              <w:t>10.707</w:t>
            </w:r>
          </w:p>
        </w:tc>
      </w:tr>
      <w:tr w:rsidR="00651D92" w:rsidRPr="005D25AF" w14:paraId="492D4F30" w14:textId="77777777" w:rsidTr="001C373F">
        <w:trPr>
          <w:trHeight w:val="288"/>
        </w:trPr>
        <w:tc>
          <w:tcPr>
            <w:cnfStyle w:val="001000000000" w:firstRow="0" w:lastRow="0" w:firstColumn="1" w:lastColumn="0" w:oddVBand="0" w:evenVBand="0" w:oddHBand="0" w:evenHBand="0" w:firstRowFirstColumn="0" w:firstRowLastColumn="0" w:lastRowFirstColumn="0" w:lastRowLastColumn="0"/>
            <w:tcW w:w="2972" w:type="dxa"/>
            <w:vMerge/>
            <w:noWrap/>
          </w:tcPr>
          <w:p w14:paraId="4E8C95A9" w14:textId="77777777" w:rsidR="00651D92" w:rsidRPr="005D25AF" w:rsidRDefault="00651D92" w:rsidP="00733091">
            <w:pPr>
              <w:pStyle w:val="elementgraficznytabela"/>
              <w:spacing w:after="240"/>
              <w:rPr>
                <w:lang w:eastAsia="pl-PL"/>
              </w:rPr>
            </w:pPr>
          </w:p>
        </w:tc>
        <w:tc>
          <w:tcPr>
            <w:tcW w:w="1418" w:type="dxa"/>
          </w:tcPr>
          <w:p w14:paraId="02564878" w14:textId="77777777" w:rsidR="00651D92" w:rsidRPr="005D25AF" w:rsidRDefault="00651D92" w:rsidP="009B403E">
            <w:pPr>
              <w:pStyle w:val="elementgraficznytabela"/>
              <w:spacing w:after="240"/>
              <w:cnfStyle w:val="000000000000" w:firstRow="0" w:lastRow="0" w:firstColumn="0" w:lastColumn="0" w:oddVBand="0" w:evenVBand="0" w:oddHBand="0" w:evenHBand="0" w:firstRowFirstColumn="0" w:firstRowLastColumn="0" w:lastRowFirstColumn="0" w:lastRowLastColumn="0"/>
              <w:rPr>
                <w:lang w:eastAsia="pl-PL"/>
              </w:rPr>
            </w:pPr>
            <w:r w:rsidRPr="005D25AF">
              <w:rPr>
                <w:lang w:eastAsia="pl-PL"/>
              </w:rPr>
              <w:t>zmiana 2012=100%</w:t>
            </w:r>
          </w:p>
        </w:tc>
        <w:tc>
          <w:tcPr>
            <w:tcW w:w="1275" w:type="dxa"/>
            <w:noWrap/>
          </w:tcPr>
          <w:p w14:paraId="4326CF6D" w14:textId="77777777" w:rsidR="00651D92" w:rsidRPr="005D25AF" w:rsidRDefault="00651D92" w:rsidP="009B403E">
            <w:pPr>
              <w:pStyle w:val="elementgraficznytabela"/>
              <w:spacing w:after="240"/>
              <w:cnfStyle w:val="000000000000" w:firstRow="0" w:lastRow="0" w:firstColumn="0" w:lastColumn="0" w:oddVBand="0" w:evenVBand="0" w:oddHBand="0" w:evenHBand="0" w:firstRowFirstColumn="0" w:firstRowLastColumn="0" w:lastRowFirstColumn="0" w:lastRowLastColumn="0"/>
              <w:rPr>
                <w:lang w:eastAsia="pl-PL"/>
              </w:rPr>
            </w:pPr>
            <w:r w:rsidRPr="005D25AF">
              <w:t>-6,0</w:t>
            </w:r>
          </w:p>
        </w:tc>
        <w:tc>
          <w:tcPr>
            <w:tcW w:w="1134" w:type="dxa"/>
            <w:noWrap/>
          </w:tcPr>
          <w:p w14:paraId="42F06C68" w14:textId="77777777" w:rsidR="00651D92" w:rsidRPr="005D25AF" w:rsidRDefault="00651D92" w:rsidP="009B403E">
            <w:pPr>
              <w:pStyle w:val="elementgraficznytabela"/>
              <w:spacing w:after="240"/>
              <w:cnfStyle w:val="000000000000" w:firstRow="0" w:lastRow="0" w:firstColumn="0" w:lastColumn="0" w:oddVBand="0" w:evenVBand="0" w:oddHBand="0" w:evenHBand="0" w:firstRowFirstColumn="0" w:firstRowLastColumn="0" w:lastRowFirstColumn="0" w:lastRowLastColumn="0"/>
              <w:rPr>
                <w:lang w:eastAsia="pl-PL"/>
              </w:rPr>
            </w:pPr>
            <w:r w:rsidRPr="005D25AF">
              <w:t>-12,6</w:t>
            </w:r>
          </w:p>
        </w:tc>
        <w:tc>
          <w:tcPr>
            <w:tcW w:w="1134" w:type="dxa"/>
            <w:noWrap/>
          </w:tcPr>
          <w:p w14:paraId="1C7B9A2A" w14:textId="77777777" w:rsidR="00651D92" w:rsidRPr="005D25AF" w:rsidRDefault="00651D92" w:rsidP="009B403E">
            <w:pPr>
              <w:pStyle w:val="elementgraficznytabela"/>
              <w:spacing w:after="240"/>
              <w:cnfStyle w:val="000000000000" w:firstRow="0" w:lastRow="0" w:firstColumn="0" w:lastColumn="0" w:oddVBand="0" w:evenVBand="0" w:oddHBand="0" w:evenHBand="0" w:firstRowFirstColumn="0" w:firstRowLastColumn="0" w:lastRowFirstColumn="0" w:lastRowLastColumn="0"/>
              <w:rPr>
                <w:lang w:eastAsia="pl-PL"/>
              </w:rPr>
            </w:pPr>
            <w:r w:rsidRPr="005D25AF">
              <w:t>11,5</w:t>
            </w:r>
          </w:p>
        </w:tc>
        <w:tc>
          <w:tcPr>
            <w:tcW w:w="1127" w:type="dxa"/>
            <w:noWrap/>
          </w:tcPr>
          <w:p w14:paraId="4CD60291" w14:textId="77777777" w:rsidR="00651D92" w:rsidRPr="005D25AF" w:rsidRDefault="00651D92" w:rsidP="009B403E">
            <w:pPr>
              <w:pStyle w:val="elementgraficznytabela"/>
              <w:spacing w:after="240"/>
              <w:cnfStyle w:val="000000000000" w:firstRow="0" w:lastRow="0" w:firstColumn="0" w:lastColumn="0" w:oddVBand="0" w:evenVBand="0" w:oddHBand="0" w:evenHBand="0" w:firstRowFirstColumn="0" w:firstRowLastColumn="0" w:lastRowFirstColumn="0" w:lastRowLastColumn="0"/>
              <w:rPr>
                <w:lang w:eastAsia="pl-PL"/>
              </w:rPr>
            </w:pPr>
            <w:r w:rsidRPr="005D25AF">
              <w:t>-2,3</w:t>
            </w:r>
          </w:p>
        </w:tc>
      </w:tr>
      <w:tr w:rsidR="00651D92" w:rsidRPr="005D25AF" w14:paraId="5F6F6E8A" w14:textId="77777777" w:rsidTr="001C373F">
        <w:trPr>
          <w:trHeight w:val="288"/>
        </w:trPr>
        <w:tc>
          <w:tcPr>
            <w:cnfStyle w:val="001000000000" w:firstRow="0" w:lastRow="0" w:firstColumn="1" w:lastColumn="0" w:oddVBand="0" w:evenVBand="0" w:oddHBand="0" w:evenHBand="0" w:firstRowFirstColumn="0" w:firstRowLastColumn="0" w:lastRowFirstColumn="0" w:lastRowLastColumn="0"/>
            <w:tcW w:w="2972" w:type="dxa"/>
            <w:vMerge w:val="restart"/>
            <w:noWrap/>
          </w:tcPr>
          <w:p w14:paraId="6A43CE75" w14:textId="77777777" w:rsidR="00651D92" w:rsidRPr="005D25AF" w:rsidRDefault="00651D92" w:rsidP="00733091">
            <w:pPr>
              <w:pStyle w:val="elementgraficznytabela"/>
              <w:spacing w:after="240"/>
              <w:rPr>
                <w:lang w:eastAsia="pl-PL"/>
              </w:rPr>
            </w:pPr>
            <w:r w:rsidRPr="005D25AF">
              <w:rPr>
                <w:lang w:eastAsia="pl-PL"/>
              </w:rPr>
              <w:t>Liczba udzielonych porad w przeliczeniu na 10 tys. mieszkańców</w:t>
            </w:r>
          </w:p>
        </w:tc>
        <w:tc>
          <w:tcPr>
            <w:tcW w:w="1418" w:type="dxa"/>
          </w:tcPr>
          <w:p w14:paraId="46545F88" w14:textId="77777777" w:rsidR="00651D92" w:rsidRPr="005D25AF" w:rsidRDefault="00651D92" w:rsidP="009B403E">
            <w:pPr>
              <w:pStyle w:val="elementgraficznytabela"/>
              <w:spacing w:after="240"/>
              <w:cnfStyle w:val="000000000000" w:firstRow="0" w:lastRow="0" w:firstColumn="0" w:lastColumn="0" w:oddVBand="0" w:evenVBand="0" w:oddHBand="0" w:evenHBand="0" w:firstRowFirstColumn="0" w:firstRowLastColumn="0" w:lastRowFirstColumn="0" w:lastRowLastColumn="0"/>
              <w:rPr>
                <w:lang w:eastAsia="pl-PL"/>
              </w:rPr>
            </w:pPr>
            <w:r w:rsidRPr="005D25AF">
              <w:rPr>
                <w:lang w:eastAsia="pl-PL"/>
              </w:rPr>
              <w:t>2019</w:t>
            </w:r>
          </w:p>
        </w:tc>
        <w:tc>
          <w:tcPr>
            <w:tcW w:w="1275" w:type="dxa"/>
            <w:noWrap/>
          </w:tcPr>
          <w:p w14:paraId="2DE1B601" w14:textId="77777777" w:rsidR="00651D92" w:rsidRPr="005D25AF" w:rsidRDefault="00651D92" w:rsidP="009B403E">
            <w:pPr>
              <w:pStyle w:val="elementgraficznytabela"/>
              <w:spacing w:after="240"/>
              <w:cnfStyle w:val="000000000000" w:firstRow="0" w:lastRow="0" w:firstColumn="0" w:lastColumn="0" w:oddVBand="0" w:evenVBand="0" w:oddHBand="0" w:evenHBand="0" w:firstRowFirstColumn="0" w:firstRowLastColumn="0" w:lastRowFirstColumn="0" w:lastRowLastColumn="0"/>
              <w:rPr>
                <w:lang w:eastAsia="pl-PL"/>
              </w:rPr>
            </w:pPr>
            <w:r w:rsidRPr="005D25AF">
              <w:t>62.710</w:t>
            </w:r>
          </w:p>
        </w:tc>
        <w:tc>
          <w:tcPr>
            <w:tcW w:w="1134" w:type="dxa"/>
            <w:noWrap/>
          </w:tcPr>
          <w:p w14:paraId="471016C9" w14:textId="77777777" w:rsidR="00651D92" w:rsidRPr="005D25AF" w:rsidRDefault="00651D92" w:rsidP="009B403E">
            <w:pPr>
              <w:pStyle w:val="elementgraficznytabela"/>
              <w:spacing w:after="240"/>
              <w:cnfStyle w:val="000000000000" w:firstRow="0" w:lastRow="0" w:firstColumn="0" w:lastColumn="0" w:oddVBand="0" w:evenVBand="0" w:oddHBand="0" w:evenHBand="0" w:firstRowFirstColumn="0" w:firstRowLastColumn="0" w:lastRowFirstColumn="0" w:lastRowLastColumn="0"/>
              <w:rPr>
                <w:lang w:eastAsia="pl-PL"/>
              </w:rPr>
            </w:pPr>
            <w:r w:rsidRPr="005D25AF">
              <w:t>66.500</w:t>
            </w:r>
          </w:p>
        </w:tc>
        <w:tc>
          <w:tcPr>
            <w:tcW w:w="1134" w:type="dxa"/>
            <w:noWrap/>
          </w:tcPr>
          <w:p w14:paraId="4F46EF5D" w14:textId="77777777" w:rsidR="00651D92" w:rsidRPr="005D25AF" w:rsidRDefault="00651D92" w:rsidP="009B403E">
            <w:pPr>
              <w:pStyle w:val="elementgraficznytabela"/>
              <w:spacing w:after="240"/>
              <w:cnfStyle w:val="000000000000" w:firstRow="0" w:lastRow="0" w:firstColumn="0" w:lastColumn="0" w:oddVBand="0" w:evenVBand="0" w:oddHBand="0" w:evenHBand="0" w:firstRowFirstColumn="0" w:firstRowLastColumn="0" w:lastRowFirstColumn="0" w:lastRowLastColumn="0"/>
              <w:rPr>
                <w:lang w:eastAsia="pl-PL"/>
              </w:rPr>
            </w:pPr>
            <w:r w:rsidRPr="005D25AF">
              <w:t>57.841</w:t>
            </w:r>
          </w:p>
        </w:tc>
        <w:tc>
          <w:tcPr>
            <w:tcW w:w="1127" w:type="dxa"/>
            <w:noWrap/>
          </w:tcPr>
          <w:p w14:paraId="6F59B486" w14:textId="77777777" w:rsidR="00651D92" w:rsidRPr="005D25AF" w:rsidRDefault="00651D92" w:rsidP="009B403E">
            <w:pPr>
              <w:pStyle w:val="elementgraficznytabela"/>
              <w:spacing w:after="240"/>
              <w:cnfStyle w:val="000000000000" w:firstRow="0" w:lastRow="0" w:firstColumn="0" w:lastColumn="0" w:oddVBand="0" w:evenVBand="0" w:oddHBand="0" w:evenHBand="0" w:firstRowFirstColumn="0" w:firstRowLastColumn="0" w:lastRowFirstColumn="0" w:lastRowLastColumn="0"/>
              <w:rPr>
                <w:lang w:eastAsia="pl-PL"/>
              </w:rPr>
            </w:pPr>
            <w:r w:rsidRPr="005D25AF">
              <w:t>64.822</w:t>
            </w:r>
          </w:p>
        </w:tc>
      </w:tr>
      <w:tr w:rsidR="00651D92" w:rsidRPr="005D25AF" w14:paraId="3C045EB6" w14:textId="77777777" w:rsidTr="001C373F">
        <w:trPr>
          <w:trHeight w:val="288"/>
        </w:trPr>
        <w:tc>
          <w:tcPr>
            <w:cnfStyle w:val="001000000000" w:firstRow="0" w:lastRow="0" w:firstColumn="1" w:lastColumn="0" w:oddVBand="0" w:evenVBand="0" w:oddHBand="0" w:evenHBand="0" w:firstRowFirstColumn="0" w:firstRowLastColumn="0" w:lastRowFirstColumn="0" w:lastRowLastColumn="0"/>
            <w:tcW w:w="2972" w:type="dxa"/>
            <w:vMerge/>
            <w:noWrap/>
          </w:tcPr>
          <w:p w14:paraId="50F099B2" w14:textId="77777777" w:rsidR="00651D92" w:rsidRPr="005D25AF" w:rsidRDefault="00651D92" w:rsidP="00733091">
            <w:pPr>
              <w:pStyle w:val="elementgraficznytabela"/>
              <w:spacing w:after="240"/>
              <w:rPr>
                <w:lang w:eastAsia="pl-PL"/>
              </w:rPr>
            </w:pPr>
          </w:p>
        </w:tc>
        <w:tc>
          <w:tcPr>
            <w:tcW w:w="1418" w:type="dxa"/>
          </w:tcPr>
          <w:p w14:paraId="39451B47" w14:textId="77777777" w:rsidR="00651D92" w:rsidRPr="005D25AF" w:rsidRDefault="00651D92" w:rsidP="009B403E">
            <w:pPr>
              <w:pStyle w:val="elementgraficznytabela"/>
              <w:spacing w:after="240"/>
              <w:cnfStyle w:val="000000000000" w:firstRow="0" w:lastRow="0" w:firstColumn="0" w:lastColumn="0" w:oddVBand="0" w:evenVBand="0" w:oddHBand="0" w:evenHBand="0" w:firstRowFirstColumn="0" w:firstRowLastColumn="0" w:lastRowFirstColumn="0" w:lastRowLastColumn="0"/>
              <w:rPr>
                <w:lang w:eastAsia="pl-PL"/>
              </w:rPr>
            </w:pPr>
            <w:r w:rsidRPr="005D25AF">
              <w:rPr>
                <w:lang w:eastAsia="pl-PL"/>
              </w:rPr>
              <w:t>zmiana 2012=100%</w:t>
            </w:r>
          </w:p>
        </w:tc>
        <w:tc>
          <w:tcPr>
            <w:tcW w:w="1275" w:type="dxa"/>
            <w:noWrap/>
          </w:tcPr>
          <w:p w14:paraId="2B3455ED" w14:textId="77777777" w:rsidR="00651D92" w:rsidRPr="005D25AF" w:rsidRDefault="00651D92" w:rsidP="009B403E">
            <w:pPr>
              <w:pStyle w:val="elementgraficznytabela"/>
              <w:spacing w:after="240"/>
              <w:cnfStyle w:val="000000000000" w:firstRow="0" w:lastRow="0" w:firstColumn="0" w:lastColumn="0" w:oddVBand="0" w:evenVBand="0" w:oddHBand="0" w:evenHBand="0" w:firstRowFirstColumn="0" w:firstRowLastColumn="0" w:lastRowFirstColumn="0" w:lastRowLastColumn="0"/>
              <w:rPr>
                <w:lang w:eastAsia="pl-PL"/>
              </w:rPr>
            </w:pPr>
            <w:r w:rsidRPr="005D25AF">
              <w:t>4,3</w:t>
            </w:r>
          </w:p>
        </w:tc>
        <w:tc>
          <w:tcPr>
            <w:tcW w:w="1134" w:type="dxa"/>
            <w:noWrap/>
          </w:tcPr>
          <w:p w14:paraId="11D1247D" w14:textId="77777777" w:rsidR="00651D92" w:rsidRPr="005D25AF" w:rsidRDefault="00651D92" w:rsidP="009B403E">
            <w:pPr>
              <w:pStyle w:val="elementgraficznytabela"/>
              <w:spacing w:after="240"/>
              <w:cnfStyle w:val="000000000000" w:firstRow="0" w:lastRow="0" w:firstColumn="0" w:lastColumn="0" w:oddVBand="0" w:evenVBand="0" w:oddHBand="0" w:evenHBand="0" w:firstRowFirstColumn="0" w:firstRowLastColumn="0" w:lastRowFirstColumn="0" w:lastRowLastColumn="0"/>
              <w:rPr>
                <w:lang w:eastAsia="pl-PL"/>
              </w:rPr>
            </w:pPr>
            <w:r w:rsidRPr="005D25AF">
              <w:t>0,9</w:t>
            </w:r>
          </w:p>
        </w:tc>
        <w:tc>
          <w:tcPr>
            <w:tcW w:w="1134" w:type="dxa"/>
            <w:noWrap/>
          </w:tcPr>
          <w:p w14:paraId="1F719C84" w14:textId="77777777" w:rsidR="00651D92" w:rsidRPr="005D25AF" w:rsidRDefault="00651D92" w:rsidP="009B403E">
            <w:pPr>
              <w:pStyle w:val="elementgraficznytabela"/>
              <w:spacing w:after="240"/>
              <w:cnfStyle w:val="000000000000" w:firstRow="0" w:lastRow="0" w:firstColumn="0" w:lastColumn="0" w:oddVBand="0" w:evenVBand="0" w:oddHBand="0" w:evenHBand="0" w:firstRowFirstColumn="0" w:firstRowLastColumn="0" w:lastRowFirstColumn="0" w:lastRowLastColumn="0"/>
              <w:rPr>
                <w:lang w:eastAsia="pl-PL"/>
              </w:rPr>
            </w:pPr>
            <w:r w:rsidRPr="005D25AF">
              <w:t>28,9</w:t>
            </w:r>
          </w:p>
        </w:tc>
        <w:tc>
          <w:tcPr>
            <w:tcW w:w="1127" w:type="dxa"/>
            <w:noWrap/>
          </w:tcPr>
          <w:p w14:paraId="648E23E8" w14:textId="77777777" w:rsidR="00651D92" w:rsidRPr="005D25AF" w:rsidRDefault="00651D92" w:rsidP="009B403E">
            <w:pPr>
              <w:pStyle w:val="elementgraficznytabela"/>
              <w:spacing w:after="240"/>
              <w:cnfStyle w:val="000000000000" w:firstRow="0" w:lastRow="0" w:firstColumn="0" w:lastColumn="0" w:oddVBand="0" w:evenVBand="0" w:oddHBand="0" w:evenHBand="0" w:firstRowFirstColumn="0" w:firstRowLastColumn="0" w:lastRowFirstColumn="0" w:lastRowLastColumn="0"/>
              <w:rPr>
                <w:lang w:eastAsia="pl-PL"/>
              </w:rPr>
            </w:pPr>
            <w:r w:rsidRPr="005D25AF">
              <w:t>14,0</w:t>
            </w:r>
          </w:p>
        </w:tc>
      </w:tr>
    </w:tbl>
    <w:p w14:paraId="53160CB4" w14:textId="666B833A" w:rsidR="00A65E6B" w:rsidRPr="00A65E6B" w:rsidRDefault="003711E3" w:rsidP="00A65E6B">
      <w:pPr>
        <w:pStyle w:val="podpiselementu"/>
        <w:spacing w:after="240"/>
        <w:rPr>
          <w:rFonts w:asciiTheme="minorHAnsi" w:hAnsiTheme="minorHAnsi" w:cstheme="minorHAnsi"/>
          <w:sz w:val="20"/>
          <w:szCs w:val="20"/>
          <w:lang w:val="pl-PL"/>
        </w:rPr>
      </w:pPr>
      <w:r w:rsidRPr="00745CDB">
        <w:rPr>
          <w:rFonts w:asciiTheme="minorHAnsi" w:hAnsiTheme="minorHAnsi" w:cstheme="minorHAnsi"/>
          <w:sz w:val="20"/>
          <w:szCs w:val="20"/>
          <w:lang w:val="pl-PL"/>
        </w:rPr>
        <w:t>D - powiat działdowski, N - powiat nidzicki, P - powiat piski, S - powiat szczycieński</w:t>
      </w:r>
      <w:r w:rsidR="00A65E6B">
        <w:rPr>
          <w:rFonts w:asciiTheme="minorHAnsi" w:hAnsiTheme="minorHAnsi" w:cstheme="minorHAnsi"/>
          <w:sz w:val="20"/>
          <w:szCs w:val="20"/>
          <w:lang w:val="pl-PL"/>
        </w:rPr>
        <w:br/>
        <w:t>Wartość dodatnia oznacza wzrost; ujemna spadek liczby placówek</w:t>
      </w:r>
    </w:p>
    <w:p w14:paraId="3BFD2129" w14:textId="77777777" w:rsidR="003711E3" w:rsidRPr="00733091" w:rsidRDefault="003711E3" w:rsidP="00733091">
      <w:pPr>
        <w:pStyle w:val="podpiselementu"/>
        <w:spacing w:after="240"/>
        <w:rPr>
          <w:lang w:val="pl-PL"/>
        </w:rPr>
      </w:pPr>
      <w:r w:rsidRPr="00733091">
        <w:rPr>
          <w:lang w:val="pl-PL"/>
        </w:rPr>
        <w:t>Źródło: opracowanie własne na podstawie danych BDL</w:t>
      </w:r>
    </w:p>
    <w:p w14:paraId="78EDE494" w14:textId="77777777" w:rsidR="003711E3" w:rsidRPr="00733091" w:rsidRDefault="003711E3" w:rsidP="00733091">
      <w:pPr>
        <w:contextualSpacing/>
        <w:rPr>
          <w:rFonts w:cstheme="majorHAnsi"/>
          <w:sz w:val="18"/>
          <w:szCs w:val="18"/>
          <w:lang w:val="pl-PL"/>
        </w:rPr>
      </w:pPr>
    </w:p>
    <w:p w14:paraId="36060FE6" w14:textId="1D088E94" w:rsidR="004A5BC7" w:rsidRPr="00733091" w:rsidRDefault="003711E3" w:rsidP="004E378E">
      <w:pPr>
        <w:rPr>
          <w:lang w:val="pl-PL"/>
        </w:rPr>
      </w:pPr>
      <w:r w:rsidRPr="00733091">
        <w:rPr>
          <w:lang w:val="pl-PL"/>
        </w:rPr>
        <w:t>Ostatnim szczeblem infrastruktury medycznej jest stacjonarna opieka medyczna obejmująca opiekę szpitalną. Na terenie Południowych Mazur realizowana jest ona w SP ZOZ w Działdowie</w:t>
      </w:r>
      <w:r w:rsidRPr="005D25AF">
        <w:rPr>
          <w:rStyle w:val="Odwoanieprzypisudolnego"/>
          <w:rFonts w:cstheme="majorHAnsi"/>
        </w:rPr>
        <w:footnoteReference w:id="60"/>
      </w:r>
      <w:r w:rsidRPr="00733091">
        <w:rPr>
          <w:lang w:val="pl-PL"/>
        </w:rPr>
        <w:t xml:space="preserve">, ZOZ w Nidzicy, ZOZ w Szczytnie i SP ZOZ Szpitalu Powiatowym w Piszu. W 2018 r. podmioty te dysponowały 685 łóżkami, co oznaczało, że na jedno łóżko w szpitalu przypadało 328 osób (w Polsce 211, a w </w:t>
      </w:r>
      <w:r w:rsidRPr="00733091">
        <w:rPr>
          <w:lang w:val="pl-PL"/>
        </w:rPr>
        <w:lastRenderedPageBreak/>
        <w:t>województwie 223). Na przestrzeni lat 2010-2018 liczba łóżek w szpitalach zmniejszyła się o 127, z tego w powiecie działdowskim ubyły 93, w nidzickim przybyło 6, w piskim ubyło 25 i w szczycieńskim ubyło 15.</w:t>
      </w:r>
    </w:p>
    <w:p w14:paraId="3114A656" w14:textId="5DF09824" w:rsidR="00ED2BBA" w:rsidRPr="00733091" w:rsidRDefault="003711E3" w:rsidP="00733091">
      <w:pPr>
        <w:rPr>
          <w:lang w:val="pl-PL"/>
        </w:rPr>
      </w:pPr>
      <w:r w:rsidRPr="00733091">
        <w:rPr>
          <w:lang w:val="pl-PL"/>
        </w:rPr>
        <w:t xml:space="preserve">Ogólną charakterystykę szpitali z uwzględnieniem funkcjonujących w nich oddziałów i liczbą łóżek wg stanu na 3.10.2020 r. zawiera poniższa tabela. Zawarte w niej informacje pochodzą z ksiąg rejestrowych Rejestru Podmiotów Wykonujących Działalność Leczniczą prowadzonego zgodnie z Ustawą z dnia 15 kwietnia 2011 r. </w:t>
      </w:r>
      <w:r w:rsidR="009B403E">
        <w:rPr>
          <w:lang w:val="pl-PL"/>
        </w:rPr>
        <w:br/>
      </w:r>
      <w:r w:rsidRPr="00733091">
        <w:rPr>
          <w:lang w:val="pl-PL"/>
        </w:rPr>
        <w:t>o działalności leczniczej</w:t>
      </w:r>
      <w:r w:rsidR="00ED2BBA" w:rsidRPr="00733091">
        <w:rPr>
          <w:lang w:val="pl-PL"/>
        </w:rPr>
        <w:t>.</w:t>
      </w:r>
    </w:p>
    <w:p w14:paraId="78E2F155" w14:textId="70C0BB55" w:rsidR="00BD3D54" w:rsidRDefault="003711E3" w:rsidP="002E24A9">
      <w:pPr>
        <w:pStyle w:val="Legenda"/>
        <w:rPr>
          <w:lang w:val="pl-PL"/>
        </w:rPr>
      </w:pPr>
      <w:bookmarkStart w:id="77" w:name="_Toc69723259"/>
      <w:r w:rsidRPr="00733091">
        <w:rPr>
          <w:lang w:val="pl-PL"/>
        </w:rPr>
        <w:t xml:space="preserve">Tabela </w:t>
      </w:r>
      <w:r w:rsidR="00733091">
        <w:fldChar w:fldCharType="begin"/>
      </w:r>
      <w:r w:rsidR="00733091" w:rsidRPr="00733091">
        <w:rPr>
          <w:lang w:val="pl-PL"/>
        </w:rPr>
        <w:instrText xml:space="preserve"> SEQ Tabela \* ARABIC </w:instrText>
      </w:r>
      <w:r w:rsidR="00733091">
        <w:fldChar w:fldCharType="separate"/>
      </w:r>
      <w:r w:rsidR="00B14787">
        <w:rPr>
          <w:noProof/>
          <w:lang w:val="pl-PL"/>
        </w:rPr>
        <w:t>10</w:t>
      </w:r>
      <w:r w:rsidR="00733091">
        <w:rPr>
          <w:noProof/>
        </w:rPr>
        <w:fldChar w:fldCharType="end"/>
      </w:r>
      <w:r w:rsidRPr="00733091">
        <w:rPr>
          <w:lang w:val="pl-PL"/>
        </w:rPr>
        <w:t>. Oddziały w szpitalach powiatowych PM wraz z liczbą łóżek (2020 r.)</w:t>
      </w:r>
      <w:bookmarkEnd w:id="77"/>
    </w:p>
    <w:tbl>
      <w:tblPr>
        <w:tblStyle w:val="Tabela-Siatka"/>
        <w:tblW w:w="9207" w:type="dxa"/>
        <w:tblInd w:w="-5" w:type="dxa"/>
        <w:tblLook w:val="04A0" w:firstRow="1" w:lastRow="0" w:firstColumn="1" w:lastColumn="0" w:noHBand="0" w:noVBand="1"/>
      </w:tblPr>
      <w:tblGrid>
        <w:gridCol w:w="3402"/>
        <w:gridCol w:w="1843"/>
        <w:gridCol w:w="1134"/>
        <w:gridCol w:w="1247"/>
        <w:gridCol w:w="1581"/>
      </w:tblGrid>
      <w:tr w:rsidR="006173E3" w14:paraId="4035E604" w14:textId="77777777" w:rsidTr="006173E3">
        <w:trPr>
          <w:tblHeader/>
        </w:trPr>
        <w:tc>
          <w:tcPr>
            <w:tcW w:w="3402" w:type="dxa"/>
            <w:shd w:val="clear" w:color="auto" w:fill="FFC000"/>
          </w:tcPr>
          <w:p w14:paraId="1447B364" w14:textId="37F1D937" w:rsidR="006173E3" w:rsidRPr="006173E3" w:rsidRDefault="006173E3" w:rsidP="006173E3">
            <w:pPr>
              <w:ind w:left="0"/>
              <w:contextualSpacing/>
              <w:rPr>
                <w:b/>
                <w:bCs/>
                <w:lang w:val="pl-PL"/>
              </w:rPr>
            </w:pPr>
            <w:r>
              <w:rPr>
                <w:b/>
                <w:bCs/>
                <w:lang w:val="pl-PL"/>
              </w:rPr>
              <w:t xml:space="preserve">Oddział </w:t>
            </w:r>
          </w:p>
        </w:tc>
        <w:tc>
          <w:tcPr>
            <w:tcW w:w="1843" w:type="dxa"/>
            <w:shd w:val="clear" w:color="auto" w:fill="FFC000"/>
          </w:tcPr>
          <w:p w14:paraId="1DB9CF9C" w14:textId="41C9B31D" w:rsidR="006173E3" w:rsidRPr="006173E3" w:rsidRDefault="006173E3" w:rsidP="006173E3">
            <w:pPr>
              <w:ind w:left="0"/>
              <w:contextualSpacing/>
              <w:rPr>
                <w:b/>
                <w:bCs/>
                <w:lang w:val="pl-PL"/>
              </w:rPr>
            </w:pPr>
            <w:r w:rsidRPr="006173E3">
              <w:rPr>
                <w:b/>
                <w:bCs/>
                <w:lang w:val="pl-PL"/>
              </w:rPr>
              <w:t>Powiat działdowski</w:t>
            </w:r>
          </w:p>
        </w:tc>
        <w:tc>
          <w:tcPr>
            <w:tcW w:w="1134" w:type="dxa"/>
            <w:shd w:val="clear" w:color="auto" w:fill="FFC000"/>
          </w:tcPr>
          <w:p w14:paraId="7C5E43B3" w14:textId="6DE9DDFC" w:rsidR="006173E3" w:rsidRPr="006173E3" w:rsidRDefault="006173E3" w:rsidP="006173E3">
            <w:pPr>
              <w:ind w:left="0"/>
              <w:contextualSpacing/>
              <w:rPr>
                <w:b/>
                <w:bCs/>
                <w:lang w:val="pl-PL"/>
              </w:rPr>
            </w:pPr>
            <w:r w:rsidRPr="006173E3">
              <w:rPr>
                <w:b/>
                <w:bCs/>
                <w:lang w:val="pl-PL"/>
              </w:rPr>
              <w:t xml:space="preserve">Powiat nidzicki </w:t>
            </w:r>
          </w:p>
        </w:tc>
        <w:tc>
          <w:tcPr>
            <w:tcW w:w="1247" w:type="dxa"/>
            <w:shd w:val="clear" w:color="auto" w:fill="FFC000"/>
          </w:tcPr>
          <w:p w14:paraId="4758146D" w14:textId="6E6D1630" w:rsidR="006173E3" w:rsidRPr="006173E3" w:rsidRDefault="006173E3" w:rsidP="006173E3">
            <w:pPr>
              <w:ind w:left="0"/>
              <w:contextualSpacing/>
              <w:rPr>
                <w:b/>
                <w:bCs/>
                <w:lang w:val="pl-PL"/>
              </w:rPr>
            </w:pPr>
            <w:r w:rsidRPr="006173E3">
              <w:rPr>
                <w:b/>
                <w:bCs/>
                <w:lang w:val="pl-PL"/>
              </w:rPr>
              <w:t xml:space="preserve">Powiat piski </w:t>
            </w:r>
          </w:p>
        </w:tc>
        <w:tc>
          <w:tcPr>
            <w:tcW w:w="1581" w:type="dxa"/>
            <w:shd w:val="clear" w:color="auto" w:fill="FFC000"/>
          </w:tcPr>
          <w:p w14:paraId="191470BE" w14:textId="4BAC88DC" w:rsidR="006173E3" w:rsidRPr="006173E3" w:rsidRDefault="006173E3" w:rsidP="006173E3">
            <w:pPr>
              <w:ind w:left="0"/>
              <w:contextualSpacing/>
              <w:rPr>
                <w:b/>
                <w:bCs/>
                <w:lang w:val="pl-PL"/>
              </w:rPr>
            </w:pPr>
            <w:r w:rsidRPr="006173E3">
              <w:rPr>
                <w:b/>
                <w:bCs/>
                <w:lang w:val="pl-PL"/>
              </w:rPr>
              <w:t xml:space="preserve">Powiat szczycieński </w:t>
            </w:r>
          </w:p>
        </w:tc>
      </w:tr>
      <w:tr w:rsidR="006173E3" w14:paraId="5208E45C" w14:textId="77777777" w:rsidTr="006173E3">
        <w:tc>
          <w:tcPr>
            <w:tcW w:w="3402" w:type="dxa"/>
            <w:shd w:val="clear" w:color="auto" w:fill="BFBFBF" w:themeFill="background1" w:themeFillShade="BF"/>
            <w:vAlign w:val="center"/>
          </w:tcPr>
          <w:p w14:paraId="6EC5FBBF" w14:textId="7DF4C348" w:rsidR="00745CDB" w:rsidRPr="00745CDB" w:rsidRDefault="006173E3" w:rsidP="006173E3">
            <w:pPr>
              <w:ind w:left="0"/>
              <w:contextualSpacing/>
            </w:pPr>
            <w:r w:rsidRPr="00C34CBA">
              <w:t>Anestezjologii i intensywnej terapii</w:t>
            </w:r>
          </w:p>
        </w:tc>
        <w:tc>
          <w:tcPr>
            <w:tcW w:w="1843" w:type="dxa"/>
            <w:vAlign w:val="center"/>
          </w:tcPr>
          <w:p w14:paraId="3C57B57D" w14:textId="38BFCBF1" w:rsidR="006173E3" w:rsidRDefault="006173E3" w:rsidP="006173E3">
            <w:pPr>
              <w:ind w:left="0"/>
              <w:contextualSpacing/>
              <w:jc w:val="center"/>
              <w:rPr>
                <w:lang w:val="pl-PL"/>
              </w:rPr>
            </w:pPr>
            <w:r w:rsidRPr="00C34CBA">
              <w:t>4</w:t>
            </w:r>
          </w:p>
        </w:tc>
        <w:tc>
          <w:tcPr>
            <w:tcW w:w="1134" w:type="dxa"/>
            <w:vAlign w:val="center"/>
          </w:tcPr>
          <w:p w14:paraId="0BDA53DB" w14:textId="30FFB04E" w:rsidR="006173E3" w:rsidRDefault="006173E3" w:rsidP="006173E3">
            <w:pPr>
              <w:ind w:left="0"/>
              <w:contextualSpacing/>
              <w:jc w:val="center"/>
              <w:rPr>
                <w:lang w:val="pl-PL"/>
              </w:rPr>
            </w:pPr>
            <w:r w:rsidRPr="00C34CBA">
              <w:t>-</w:t>
            </w:r>
          </w:p>
        </w:tc>
        <w:tc>
          <w:tcPr>
            <w:tcW w:w="1247" w:type="dxa"/>
            <w:vAlign w:val="center"/>
          </w:tcPr>
          <w:p w14:paraId="51CFAB0F" w14:textId="5C1B5E86" w:rsidR="006173E3" w:rsidRDefault="006173E3" w:rsidP="006173E3">
            <w:pPr>
              <w:ind w:left="0"/>
              <w:contextualSpacing/>
              <w:jc w:val="center"/>
              <w:rPr>
                <w:lang w:val="pl-PL"/>
              </w:rPr>
            </w:pPr>
            <w:r w:rsidRPr="00C34CBA">
              <w:t>4</w:t>
            </w:r>
          </w:p>
        </w:tc>
        <w:tc>
          <w:tcPr>
            <w:tcW w:w="1581" w:type="dxa"/>
            <w:vAlign w:val="center"/>
          </w:tcPr>
          <w:p w14:paraId="26E248A0" w14:textId="210631BE" w:rsidR="006173E3" w:rsidRDefault="006173E3" w:rsidP="006173E3">
            <w:pPr>
              <w:ind w:left="0"/>
              <w:contextualSpacing/>
              <w:jc w:val="center"/>
              <w:rPr>
                <w:lang w:val="pl-PL"/>
              </w:rPr>
            </w:pPr>
            <w:r w:rsidRPr="00C34CBA">
              <w:t>3</w:t>
            </w:r>
          </w:p>
        </w:tc>
      </w:tr>
      <w:tr w:rsidR="006173E3" w14:paraId="45F01EDC" w14:textId="77777777" w:rsidTr="006173E3">
        <w:tc>
          <w:tcPr>
            <w:tcW w:w="3402" w:type="dxa"/>
            <w:shd w:val="clear" w:color="auto" w:fill="BFBFBF" w:themeFill="background1" w:themeFillShade="BF"/>
            <w:vAlign w:val="center"/>
          </w:tcPr>
          <w:p w14:paraId="3A2D8D24" w14:textId="05AF118E" w:rsidR="006173E3" w:rsidRDefault="006173E3" w:rsidP="006173E3">
            <w:pPr>
              <w:ind w:left="0"/>
              <w:contextualSpacing/>
              <w:rPr>
                <w:lang w:val="pl-PL"/>
              </w:rPr>
            </w:pPr>
            <w:r w:rsidRPr="00C34CBA">
              <w:t>Blok operacyjny</w:t>
            </w:r>
          </w:p>
        </w:tc>
        <w:tc>
          <w:tcPr>
            <w:tcW w:w="1843" w:type="dxa"/>
            <w:vAlign w:val="center"/>
          </w:tcPr>
          <w:p w14:paraId="008C7141" w14:textId="28412BA9" w:rsidR="006173E3" w:rsidRDefault="006173E3" w:rsidP="006173E3">
            <w:pPr>
              <w:ind w:left="0"/>
              <w:contextualSpacing/>
              <w:jc w:val="center"/>
              <w:rPr>
                <w:lang w:val="pl-PL"/>
              </w:rPr>
            </w:pPr>
            <w:r w:rsidRPr="00C34CBA">
              <w:t>-</w:t>
            </w:r>
          </w:p>
        </w:tc>
        <w:tc>
          <w:tcPr>
            <w:tcW w:w="1134" w:type="dxa"/>
            <w:vAlign w:val="center"/>
          </w:tcPr>
          <w:p w14:paraId="26E16F8E" w14:textId="6734B946" w:rsidR="006173E3" w:rsidRDefault="006173E3" w:rsidP="006173E3">
            <w:pPr>
              <w:ind w:left="0"/>
              <w:contextualSpacing/>
              <w:jc w:val="center"/>
              <w:rPr>
                <w:lang w:val="pl-PL"/>
              </w:rPr>
            </w:pPr>
            <w:r w:rsidRPr="00C34CBA">
              <w:t>4</w:t>
            </w:r>
          </w:p>
        </w:tc>
        <w:tc>
          <w:tcPr>
            <w:tcW w:w="1247" w:type="dxa"/>
            <w:vAlign w:val="center"/>
          </w:tcPr>
          <w:p w14:paraId="3181631E" w14:textId="6CB4AC30" w:rsidR="006173E3" w:rsidRDefault="006173E3" w:rsidP="006173E3">
            <w:pPr>
              <w:ind w:left="0"/>
              <w:contextualSpacing/>
              <w:jc w:val="center"/>
              <w:rPr>
                <w:lang w:val="pl-PL"/>
              </w:rPr>
            </w:pPr>
            <w:r w:rsidRPr="00C34CBA">
              <w:t>-</w:t>
            </w:r>
          </w:p>
        </w:tc>
        <w:tc>
          <w:tcPr>
            <w:tcW w:w="1581" w:type="dxa"/>
            <w:vAlign w:val="center"/>
          </w:tcPr>
          <w:p w14:paraId="4BC454A5" w14:textId="6A3E8DA5" w:rsidR="006173E3" w:rsidRDefault="006173E3" w:rsidP="006173E3">
            <w:pPr>
              <w:ind w:left="0"/>
              <w:contextualSpacing/>
              <w:jc w:val="center"/>
              <w:rPr>
                <w:lang w:val="pl-PL"/>
              </w:rPr>
            </w:pPr>
            <w:r w:rsidRPr="00C34CBA">
              <w:t>-</w:t>
            </w:r>
          </w:p>
        </w:tc>
      </w:tr>
      <w:tr w:rsidR="006173E3" w14:paraId="1975B36D" w14:textId="77777777" w:rsidTr="006173E3">
        <w:tc>
          <w:tcPr>
            <w:tcW w:w="3402" w:type="dxa"/>
            <w:shd w:val="clear" w:color="auto" w:fill="BFBFBF" w:themeFill="background1" w:themeFillShade="BF"/>
            <w:vAlign w:val="center"/>
          </w:tcPr>
          <w:p w14:paraId="27DCC912" w14:textId="7CCCD578" w:rsidR="006173E3" w:rsidRDefault="006173E3" w:rsidP="006173E3">
            <w:pPr>
              <w:ind w:left="0"/>
              <w:contextualSpacing/>
              <w:rPr>
                <w:lang w:val="pl-PL"/>
              </w:rPr>
            </w:pPr>
            <w:r w:rsidRPr="00C34CBA">
              <w:t>Chirurgiczny ogólny</w:t>
            </w:r>
          </w:p>
        </w:tc>
        <w:tc>
          <w:tcPr>
            <w:tcW w:w="1843" w:type="dxa"/>
            <w:vAlign w:val="center"/>
          </w:tcPr>
          <w:p w14:paraId="5C1A87A3" w14:textId="59265753" w:rsidR="006173E3" w:rsidRDefault="006173E3" w:rsidP="006173E3">
            <w:pPr>
              <w:ind w:left="0"/>
              <w:contextualSpacing/>
              <w:jc w:val="center"/>
              <w:rPr>
                <w:lang w:val="pl-PL"/>
              </w:rPr>
            </w:pPr>
            <w:r w:rsidRPr="00C34CBA">
              <w:t>26</w:t>
            </w:r>
          </w:p>
        </w:tc>
        <w:tc>
          <w:tcPr>
            <w:tcW w:w="1134" w:type="dxa"/>
            <w:vAlign w:val="center"/>
          </w:tcPr>
          <w:p w14:paraId="00D258BA" w14:textId="2EF0F960" w:rsidR="006173E3" w:rsidRDefault="006173E3" w:rsidP="006173E3">
            <w:pPr>
              <w:ind w:left="0"/>
              <w:contextualSpacing/>
              <w:jc w:val="center"/>
              <w:rPr>
                <w:lang w:val="pl-PL"/>
              </w:rPr>
            </w:pPr>
            <w:r w:rsidRPr="00C34CBA">
              <w:t>19</w:t>
            </w:r>
          </w:p>
        </w:tc>
        <w:tc>
          <w:tcPr>
            <w:tcW w:w="1247" w:type="dxa"/>
            <w:vAlign w:val="center"/>
          </w:tcPr>
          <w:p w14:paraId="20A28940" w14:textId="6D9B92C4" w:rsidR="006173E3" w:rsidRDefault="006173E3" w:rsidP="006173E3">
            <w:pPr>
              <w:ind w:left="0"/>
              <w:contextualSpacing/>
              <w:jc w:val="center"/>
              <w:rPr>
                <w:lang w:val="pl-PL"/>
              </w:rPr>
            </w:pPr>
            <w:r w:rsidRPr="00C34CBA">
              <w:t>20</w:t>
            </w:r>
          </w:p>
        </w:tc>
        <w:tc>
          <w:tcPr>
            <w:tcW w:w="1581" w:type="dxa"/>
            <w:vAlign w:val="center"/>
          </w:tcPr>
          <w:p w14:paraId="16782024" w14:textId="045A6091" w:rsidR="006173E3" w:rsidRDefault="006173E3" w:rsidP="006173E3">
            <w:pPr>
              <w:ind w:left="0"/>
              <w:contextualSpacing/>
              <w:jc w:val="center"/>
              <w:rPr>
                <w:lang w:val="pl-PL"/>
              </w:rPr>
            </w:pPr>
            <w:r w:rsidRPr="00C34CBA">
              <w:t>30</w:t>
            </w:r>
          </w:p>
        </w:tc>
      </w:tr>
      <w:tr w:rsidR="006173E3" w14:paraId="2AA70B82" w14:textId="77777777" w:rsidTr="006173E3">
        <w:tc>
          <w:tcPr>
            <w:tcW w:w="3402" w:type="dxa"/>
            <w:shd w:val="clear" w:color="auto" w:fill="BFBFBF" w:themeFill="background1" w:themeFillShade="BF"/>
            <w:vAlign w:val="center"/>
          </w:tcPr>
          <w:p w14:paraId="53710A1E" w14:textId="1A375BCB" w:rsidR="006173E3" w:rsidRDefault="006173E3" w:rsidP="006173E3">
            <w:pPr>
              <w:ind w:left="0"/>
              <w:contextualSpacing/>
              <w:rPr>
                <w:lang w:val="pl-PL"/>
              </w:rPr>
            </w:pPr>
            <w:r w:rsidRPr="00C34CBA">
              <w:t>Chirurgii urazowo-ortopedycznej</w:t>
            </w:r>
          </w:p>
        </w:tc>
        <w:tc>
          <w:tcPr>
            <w:tcW w:w="1843" w:type="dxa"/>
            <w:vAlign w:val="center"/>
          </w:tcPr>
          <w:p w14:paraId="329DF4DB" w14:textId="58C9284D" w:rsidR="006173E3" w:rsidRDefault="006173E3" w:rsidP="006173E3">
            <w:pPr>
              <w:ind w:left="0"/>
              <w:contextualSpacing/>
              <w:jc w:val="center"/>
              <w:rPr>
                <w:lang w:val="pl-PL"/>
              </w:rPr>
            </w:pPr>
            <w:r w:rsidRPr="00C34CBA">
              <w:t>17</w:t>
            </w:r>
          </w:p>
        </w:tc>
        <w:tc>
          <w:tcPr>
            <w:tcW w:w="1134" w:type="dxa"/>
            <w:vAlign w:val="center"/>
          </w:tcPr>
          <w:p w14:paraId="70C75085" w14:textId="381BFC99" w:rsidR="006173E3" w:rsidRDefault="006173E3" w:rsidP="006173E3">
            <w:pPr>
              <w:ind w:left="0"/>
              <w:contextualSpacing/>
              <w:jc w:val="center"/>
              <w:rPr>
                <w:lang w:val="pl-PL"/>
              </w:rPr>
            </w:pPr>
            <w:r w:rsidRPr="00C34CBA">
              <w:t>-</w:t>
            </w:r>
          </w:p>
        </w:tc>
        <w:tc>
          <w:tcPr>
            <w:tcW w:w="1247" w:type="dxa"/>
            <w:vAlign w:val="center"/>
          </w:tcPr>
          <w:p w14:paraId="2968EBCA" w14:textId="24B63F44" w:rsidR="006173E3" w:rsidRDefault="006173E3" w:rsidP="006173E3">
            <w:pPr>
              <w:ind w:left="0"/>
              <w:contextualSpacing/>
              <w:jc w:val="center"/>
              <w:rPr>
                <w:lang w:val="pl-PL"/>
              </w:rPr>
            </w:pPr>
            <w:r w:rsidRPr="00C34CBA">
              <w:t>-</w:t>
            </w:r>
          </w:p>
        </w:tc>
        <w:tc>
          <w:tcPr>
            <w:tcW w:w="1581" w:type="dxa"/>
            <w:vAlign w:val="center"/>
          </w:tcPr>
          <w:p w14:paraId="392A6665" w14:textId="7EA5EAB1" w:rsidR="006173E3" w:rsidRDefault="006173E3" w:rsidP="006173E3">
            <w:pPr>
              <w:ind w:left="0"/>
              <w:contextualSpacing/>
              <w:jc w:val="center"/>
              <w:rPr>
                <w:lang w:val="pl-PL"/>
              </w:rPr>
            </w:pPr>
            <w:r w:rsidRPr="00C34CBA">
              <w:t>-</w:t>
            </w:r>
          </w:p>
        </w:tc>
      </w:tr>
      <w:tr w:rsidR="006173E3" w14:paraId="27675189" w14:textId="77777777" w:rsidTr="006173E3">
        <w:tc>
          <w:tcPr>
            <w:tcW w:w="3402" w:type="dxa"/>
            <w:shd w:val="clear" w:color="auto" w:fill="BFBFBF" w:themeFill="background1" w:themeFillShade="BF"/>
            <w:vAlign w:val="center"/>
          </w:tcPr>
          <w:p w14:paraId="65713365" w14:textId="3E298415" w:rsidR="006173E3" w:rsidRDefault="006173E3" w:rsidP="006173E3">
            <w:pPr>
              <w:ind w:left="0"/>
              <w:contextualSpacing/>
              <w:rPr>
                <w:lang w:val="pl-PL"/>
              </w:rPr>
            </w:pPr>
            <w:r w:rsidRPr="00C34CBA">
              <w:t>Chorób wewnętrznych</w:t>
            </w:r>
          </w:p>
        </w:tc>
        <w:tc>
          <w:tcPr>
            <w:tcW w:w="1843" w:type="dxa"/>
            <w:vAlign w:val="center"/>
          </w:tcPr>
          <w:p w14:paraId="42CD9A3C" w14:textId="59BCF62A" w:rsidR="006173E3" w:rsidRDefault="006173E3" w:rsidP="006173E3">
            <w:pPr>
              <w:ind w:left="0"/>
              <w:contextualSpacing/>
              <w:jc w:val="center"/>
              <w:rPr>
                <w:lang w:val="pl-PL"/>
              </w:rPr>
            </w:pPr>
            <w:r w:rsidRPr="00C34CBA">
              <w:t>35</w:t>
            </w:r>
          </w:p>
        </w:tc>
        <w:tc>
          <w:tcPr>
            <w:tcW w:w="1134" w:type="dxa"/>
            <w:vAlign w:val="center"/>
          </w:tcPr>
          <w:p w14:paraId="64A2C2E4" w14:textId="413C8F9C" w:rsidR="006173E3" w:rsidRDefault="006173E3" w:rsidP="006173E3">
            <w:pPr>
              <w:ind w:left="0"/>
              <w:contextualSpacing/>
              <w:jc w:val="center"/>
              <w:rPr>
                <w:lang w:val="pl-PL"/>
              </w:rPr>
            </w:pPr>
            <w:r w:rsidRPr="00C34CBA">
              <w:t>32</w:t>
            </w:r>
          </w:p>
        </w:tc>
        <w:tc>
          <w:tcPr>
            <w:tcW w:w="1247" w:type="dxa"/>
            <w:vAlign w:val="center"/>
          </w:tcPr>
          <w:p w14:paraId="531B8F86" w14:textId="4B5E3228" w:rsidR="006173E3" w:rsidRDefault="006173E3" w:rsidP="006173E3">
            <w:pPr>
              <w:ind w:left="0"/>
              <w:contextualSpacing/>
              <w:jc w:val="center"/>
              <w:rPr>
                <w:lang w:val="pl-PL"/>
              </w:rPr>
            </w:pPr>
            <w:r w:rsidRPr="00C34CBA">
              <w:t>35</w:t>
            </w:r>
          </w:p>
        </w:tc>
        <w:tc>
          <w:tcPr>
            <w:tcW w:w="1581" w:type="dxa"/>
            <w:vAlign w:val="center"/>
          </w:tcPr>
          <w:p w14:paraId="635DFAB1" w14:textId="77B7043E" w:rsidR="006173E3" w:rsidRDefault="006173E3" w:rsidP="006173E3">
            <w:pPr>
              <w:ind w:left="0"/>
              <w:contextualSpacing/>
              <w:jc w:val="center"/>
              <w:rPr>
                <w:lang w:val="pl-PL"/>
              </w:rPr>
            </w:pPr>
            <w:r w:rsidRPr="00C34CBA">
              <w:t>45</w:t>
            </w:r>
          </w:p>
        </w:tc>
      </w:tr>
      <w:tr w:rsidR="006173E3" w14:paraId="0D4EAE7B" w14:textId="77777777" w:rsidTr="006173E3">
        <w:tc>
          <w:tcPr>
            <w:tcW w:w="3402" w:type="dxa"/>
            <w:shd w:val="clear" w:color="auto" w:fill="BFBFBF" w:themeFill="background1" w:themeFillShade="BF"/>
            <w:vAlign w:val="center"/>
          </w:tcPr>
          <w:p w14:paraId="41AFCA90" w14:textId="432AA4F3" w:rsidR="006173E3" w:rsidRDefault="006173E3" w:rsidP="006173E3">
            <w:pPr>
              <w:ind w:left="0"/>
              <w:contextualSpacing/>
              <w:rPr>
                <w:lang w:val="pl-PL"/>
              </w:rPr>
            </w:pPr>
            <w:r w:rsidRPr="00C34CBA">
              <w:t>Geriatryczny</w:t>
            </w:r>
          </w:p>
        </w:tc>
        <w:tc>
          <w:tcPr>
            <w:tcW w:w="1843" w:type="dxa"/>
            <w:vAlign w:val="center"/>
          </w:tcPr>
          <w:p w14:paraId="0FFACF55" w14:textId="5606E3CE" w:rsidR="006173E3" w:rsidRDefault="006173E3" w:rsidP="006173E3">
            <w:pPr>
              <w:ind w:left="0"/>
              <w:contextualSpacing/>
              <w:jc w:val="center"/>
              <w:rPr>
                <w:lang w:val="pl-PL"/>
              </w:rPr>
            </w:pPr>
            <w:r w:rsidRPr="00C34CBA">
              <w:t>-</w:t>
            </w:r>
          </w:p>
        </w:tc>
        <w:tc>
          <w:tcPr>
            <w:tcW w:w="1134" w:type="dxa"/>
            <w:vAlign w:val="center"/>
          </w:tcPr>
          <w:p w14:paraId="23F09B44" w14:textId="615E3465" w:rsidR="006173E3" w:rsidRDefault="006173E3" w:rsidP="006173E3">
            <w:pPr>
              <w:ind w:left="0"/>
              <w:contextualSpacing/>
              <w:jc w:val="center"/>
              <w:rPr>
                <w:lang w:val="pl-PL"/>
              </w:rPr>
            </w:pPr>
            <w:r w:rsidRPr="00C34CBA">
              <w:t>28</w:t>
            </w:r>
          </w:p>
        </w:tc>
        <w:tc>
          <w:tcPr>
            <w:tcW w:w="1247" w:type="dxa"/>
            <w:vAlign w:val="center"/>
          </w:tcPr>
          <w:p w14:paraId="608139B2" w14:textId="760CE95E" w:rsidR="006173E3" w:rsidRDefault="006173E3" w:rsidP="006173E3">
            <w:pPr>
              <w:ind w:left="0"/>
              <w:contextualSpacing/>
              <w:jc w:val="center"/>
              <w:rPr>
                <w:lang w:val="pl-PL"/>
              </w:rPr>
            </w:pPr>
            <w:r w:rsidRPr="00C34CBA">
              <w:t>-</w:t>
            </w:r>
          </w:p>
        </w:tc>
        <w:tc>
          <w:tcPr>
            <w:tcW w:w="1581" w:type="dxa"/>
            <w:vAlign w:val="center"/>
          </w:tcPr>
          <w:p w14:paraId="588F5221" w14:textId="6861C3D1" w:rsidR="006173E3" w:rsidRDefault="006173E3" w:rsidP="006173E3">
            <w:pPr>
              <w:ind w:left="0"/>
              <w:contextualSpacing/>
              <w:jc w:val="center"/>
              <w:rPr>
                <w:lang w:val="pl-PL"/>
              </w:rPr>
            </w:pPr>
            <w:r w:rsidRPr="00C34CBA">
              <w:t>-</w:t>
            </w:r>
          </w:p>
        </w:tc>
      </w:tr>
      <w:tr w:rsidR="006173E3" w14:paraId="355146A8" w14:textId="77777777" w:rsidTr="006173E3">
        <w:tc>
          <w:tcPr>
            <w:tcW w:w="3402" w:type="dxa"/>
            <w:shd w:val="clear" w:color="auto" w:fill="BFBFBF" w:themeFill="background1" w:themeFillShade="BF"/>
            <w:vAlign w:val="center"/>
          </w:tcPr>
          <w:p w14:paraId="1E886D24" w14:textId="09A20EC2" w:rsidR="006173E3" w:rsidRDefault="006173E3" w:rsidP="006173E3">
            <w:pPr>
              <w:ind w:left="0"/>
              <w:contextualSpacing/>
              <w:rPr>
                <w:lang w:val="pl-PL"/>
              </w:rPr>
            </w:pPr>
            <w:r w:rsidRPr="00C34CBA">
              <w:t>Kardiologiczny</w:t>
            </w:r>
          </w:p>
        </w:tc>
        <w:tc>
          <w:tcPr>
            <w:tcW w:w="1843" w:type="dxa"/>
            <w:vAlign w:val="center"/>
          </w:tcPr>
          <w:p w14:paraId="72CFCA5A" w14:textId="291CD62F" w:rsidR="006173E3" w:rsidRDefault="006173E3" w:rsidP="006173E3">
            <w:pPr>
              <w:ind w:left="0"/>
              <w:contextualSpacing/>
              <w:jc w:val="center"/>
              <w:rPr>
                <w:lang w:val="pl-PL"/>
              </w:rPr>
            </w:pPr>
            <w:r w:rsidRPr="00C34CBA">
              <w:t>12</w:t>
            </w:r>
          </w:p>
        </w:tc>
        <w:tc>
          <w:tcPr>
            <w:tcW w:w="1134" w:type="dxa"/>
            <w:vAlign w:val="center"/>
          </w:tcPr>
          <w:p w14:paraId="2892DB74" w14:textId="52519B45" w:rsidR="006173E3" w:rsidRDefault="006173E3" w:rsidP="006173E3">
            <w:pPr>
              <w:ind w:left="0"/>
              <w:contextualSpacing/>
              <w:jc w:val="center"/>
              <w:rPr>
                <w:lang w:val="pl-PL"/>
              </w:rPr>
            </w:pPr>
            <w:r w:rsidRPr="00C34CBA">
              <w:t>-</w:t>
            </w:r>
          </w:p>
        </w:tc>
        <w:tc>
          <w:tcPr>
            <w:tcW w:w="1247" w:type="dxa"/>
            <w:vAlign w:val="center"/>
          </w:tcPr>
          <w:p w14:paraId="24F9B541" w14:textId="1FBE89E0" w:rsidR="006173E3" w:rsidRDefault="006173E3" w:rsidP="006173E3">
            <w:pPr>
              <w:ind w:left="0"/>
              <w:contextualSpacing/>
              <w:jc w:val="center"/>
              <w:rPr>
                <w:lang w:val="pl-PL"/>
              </w:rPr>
            </w:pPr>
            <w:r w:rsidRPr="00C34CBA">
              <w:t>-</w:t>
            </w:r>
          </w:p>
        </w:tc>
        <w:tc>
          <w:tcPr>
            <w:tcW w:w="1581" w:type="dxa"/>
            <w:vAlign w:val="center"/>
          </w:tcPr>
          <w:p w14:paraId="1AAB365D" w14:textId="6BBC07C0" w:rsidR="006173E3" w:rsidRDefault="006173E3" w:rsidP="006173E3">
            <w:pPr>
              <w:ind w:left="0"/>
              <w:contextualSpacing/>
              <w:jc w:val="center"/>
              <w:rPr>
                <w:lang w:val="pl-PL"/>
              </w:rPr>
            </w:pPr>
            <w:r w:rsidRPr="00C34CBA">
              <w:t>-</w:t>
            </w:r>
          </w:p>
        </w:tc>
      </w:tr>
      <w:tr w:rsidR="006173E3" w14:paraId="20D09827" w14:textId="77777777" w:rsidTr="006173E3">
        <w:tc>
          <w:tcPr>
            <w:tcW w:w="3402" w:type="dxa"/>
            <w:shd w:val="clear" w:color="auto" w:fill="BFBFBF" w:themeFill="background1" w:themeFillShade="BF"/>
            <w:vAlign w:val="center"/>
          </w:tcPr>
          <w:p w14:paraId="2D81D470" w14:textId="4DA63A3E" w:rsidR="006173E3" w:rsidRPr="00C34CBA" w:rsidRDefault="006173E3" w:rsidP="006173E3">
            <w:pPr>
              <w:ind w:left="0"/>
              <w:contextualSpacing/>
            </w:pPr>
            <w:r w:rsidRPr="00C34CBA">
              <w:t>Medycyny paliatywnej</w:t>
            </w:r>
          </w:p>
        </w:tc>
        <w:tc>
          <w:tcPr>
            <w:tcW w:w="1843" w:type="dxa"/>
            <w:vAlign w:val="center"/>
          </w:tcPr>
          <w:p w14:paraId="68BFA9D2" w14:textId="7D15457F" w:rsidR="006173E3" w:rsidRPr="00C34CBA" w:rsidRDefault="006173E3" w:rsidP="006173E3">
            <w:pPr>
              <w:ind w:left="0"/>
              <w:contextualSpacing/>
              <w:jc w:val="center"/>
            </w:pPr>
            <w:r w:rsidRPr="00C34CBA">
              <w:t>12</w:t>
            </w:r>
          </w:p>
        </w:tc>
        <w:tc>
          <w:tcPr>
            <w:tcW w:w="1134" w:type="dxa"/>
            <w:vAlign w:val="center"/>
          </w:tcPr>
          <w:p w14:paraId="1BE2D507" w14:textId="34180556" w:rsidR="006173E3" w:rsidRPr="00C34CBA" w:rsidRDefault="006173E3" w:rsidP="006173E3">
            <w:pPr>
              <w:ind w:left="0"/>
              <w:contextualSpacing/>
              <w:jc w:val="center"/>
            </w:pPr>
            <w:r w:rsidRPr="00C34CBA">
              <w:t>-</w:t>
            </w:r>
          </w:p>
        </w:tc>
        <w:tc>
          <w:tcPr>
            <w:tcW w:w="1247" w:type="dxa"/>
            <w:vAlign w:val="center"/>
          </w:tcPr>
          <w:p w14:paraId="68132B0F" w14:textId="189172CF" w:rsidR="006173E3" w:rsidRPr="00C34CBA" w:rsidRDefault="006173E3" w:rsidP="006173E3">
            <w:pPr>
              <w:ind w:left="0"/>
              <w:contextualSpacing/>
              <w:jc w:val="center"/>
            </w:pPr>
            <w:r w:rsidRPr="00C34CBA">
              <w:t>-</w:t>
            </w:r>
          </w:p>
        </w:tc>
        <w:tc>
          <w:tcPr>
            <w:tcW w:w="1581" w:type="dxa"/>
            <w:vAlign w:val="center"/>
          </w:tcPr>
          <w:p w14:paraId="4267BD29" w14:textId="1EEE3C61" w:rsidR="006173E3" w:rsidRPr="00C34CBA" w:rsidRDefault="006173E3" w:rsidP="006173E3">
            <w:pPr>
              <w:ind w:left="0"/>
              <w:contextualSpacing/>
              <w:jc w:val="center"/>
            </w:pPr>
            <w:r w:rsidRPr="00C34CBA">
              <w:t>-</w:t>
            </w:r>
          </w:p>
        </w:tc>
      </w:tr>
      <w:tr w:rsidR="006173E3" w14:paraId="5F9859C1" w14:textId="77777777" w:rsidTr="006173E3">
        <w:tc>
          <w:tcPr>
            <w:tcW w:w="3402" w:type="dxa"/>
            <w:shd w:val="clear" w:color="auto" w:fill="BFBFBF" w:themeFill="background1" w:themeFillShade="BF"/>
            <w:vAlign w:val="center"/>
          </w:tcPr>
          <w:p w14:paraId="7D69C3DD" w14:textId="348F0C29" w:rsidR="006173E3" w:rsidRPr="00C34CBA" w:rsidRDefault="006173E3" w:rsidP="006173E3">
            <w:pPr>
              <w:ind w:left="0"/>
              <w:contextualSpacing/>
            </w:pPr>
            <w:r w:rsidRPr="00C34CBA">
              <w:t>Nefrologiczny</w:t>
            </w:r>
          </w:p>
        </w:tc>
        <w:tc>
          <w:tcPr>
            <w:tcW w:w="1843" w:type="dxa"/>
            <w:vAlign w:val="center"/>
          </w:tcPr>
          <w:p w14:paraId="5D8C0239" w14:textId="6ED26033" w:rsidR="006173E3" w:rsidRPr="00C34CBA" w:rsidRDefault="006173E3" w:rsidP="006173E3">
            <w:pPr>
              <w:ind w:left="0"/>
              <w:contextualSpacing/>
              <w:jc w:val="center"/>
            </w:pPr>
            <w:r w:rsidRPr="00C34CBA">
              <w:t>2</w:t>
            </w:r>
          </w:p>
        </w:tc>
        <w:tc>
          <w:tcPr>
            <w:tcW w:w="1134" w:type="dxa"/>
            <w:vAlign w:val="center"/>
          </w:tcPr>
          <w:p w14:paraId="5F3E382C" w14:textId="17C18688" w:rsidR="006173E3" w:rsidRPr="00C34CBA" w:rsidRDefault="006173E3" w:rsidP="006173E3">
            <w:pPr>
              <w:ind w:left="0"/>
              <w:contextualSpacing/>
              <w:jc w:val="center"/>
            </w:pPr>
            <w:r w:rsidRPr="00C34CBA">
              <w:t>-</w:t>
            </w:r>
          </w:p>
        </w:tc>
        <w:tc>
          <w:tcPr>
            <w:tcW w:w="1247" w:type="dxa"/>
            <w:vAlign w:val="center"/>
          </w:tcPr>
          <w:p w14:paraId="70FDC64D" w14:textId="7652C893" w:rsidR="006173E3" w:rsidRPr="00C34CBA" w:rsidRDefault="006173E3" w:rsidP="006173E3">
            <w:pPr>
              <w:ind w:left="0"/>
              <w:contextualSpacing/>
              <w:jc w:val="center"/>
            </w:pPr>
            <w:r w:rsidRPr="00C34CBA">
              <w:t>-</w:t>
            </w:r>
          </w:p>
        </w:tc>
        <w:tc>
          <w:tcPr>
            <w:tcW w:w="1581" w:type="dxa"/>
            <w:vAlign w:val="center"/>
          </w:tcPr>
          <w:p w14:paraId="52AD5B67" w14:textId="60E59FF1" w:rsidR="006173E3" w:rsidRPr="00C34CBA" w:rsidRDefault="006173E3" w:rsidP="006173E3">
            <w:pPr>
              <w:ind w:left="0"/>
              <w:contextualSpacing/>
              <w:jc w:val="center"/>
            </w:pPr>
            <w:r w:rsidRPr="00C34CBA">
              <w:t>-</w:t>
            </w:r>
          </w:p>
        </w:tc>
      </w:tr>
      <w:tr w:rsidR="006173E3" w14:paraId="5C9E99FB" w14:textId="77777777" w:rsidTr="006173E3">
        <w:tc>
          <w:tcPr>
            <w:tcW w:w="3402" w:type="dxa"/>
            <w:shd w:val="clear" w:color="auto" w:fill="BFBFBF" w:themeFill="background1" w:themeFillShade="BF"/>
            <w:vAlign w:val="center"/>
          </w:tcPr>
          <w:p w14:paraId="72B82B0F" w14:textId="6435DA28" w:rsidR="006173E3" w:rsidRPr="00C34CBA" w:rsidRDefault="006173E3" w:rsidP="006173E3">
            <w:pPr>
              <w:ind w:left="0"/>
              <w:contextualSpacing/>
            </w:pPr>
            <w:r w:rsidRPr="00C34CBA">
              <w:t>Neonatologiczny</w:t>
            </w:r>
          </w:p>
        </w:tc>
        <w:tc>
          <w:tcPr>
            <w:tcW w:w="1843" w:type="dxa"/>
            <w:vAlign w:val="center"/>
          </w:tcPr>
          <w:p w14:paraId="1E58D883" w14:textId="00FF292C" w:rsidR="006173E3" w:rsidRPr="00C34CBA" w:rsidRDefault="006173E3" w:rsidP="006173E3">
            <w:pPr>
              <w:ind w:left="0"/>
              <w:contextualSpacing/>
              <w:jc w:val="center"/>
            </w:pPr>
            <w:r w:rsidRPr="00C34CBA">
              <w:t>16</w:t>
            </w:r>
          </w:p>
        </w:tc>
        <w:tc>
          <w:tcPr>
            <w:tcW w:w="1134" w:type="dxa"/>
            <w:vAlign w:val="center"/>
          </w:tcPr>
          <w:p w14:paraId="5176C905" w14:textId="57DB1B08" w:rsidR="006173E3" w:rsidRPr="00C34CBA" w:rsidRDefault="006173E3" w:rsidP="006173E3">
            <w:pPr>
              <w:ind w:left="0"/>
              <w:contextualSpacing/>
              <w:jc w:val="center"/>
            </w:pPr>
            <w:r w:rsidRPr="00C34CBA">
              <w:t>-</w:t>
            </w:r>
          </w:p>
        </w:tc>
        <w:tc>
          <w:tcPr>
            <w:tcW w:w="1247" w:type="dxa"/>
            <w:vAlign w:val="center"/>
          </w:tcPr>
          <w:p w14:paraId="550A9DD5" w14:textId="0BA8D588" w:rsidR="006173E3" w:rsidRPr="00C34CBA" w:rsidRDefault="006173E3" w:rsidP="006173E3">
            <w:pPr>
              <w:ind w:left="0"/>
              <w:contextualSpacing/>
              <w:jc w:val="center"/>
            </w:pPr>
            <w:r w:rsidRPr="00C34CBA">
              <w:t>-</w:t>
            </w:r>
          </w:p>
        </w:tc>
        <w:tc>
          <w:tcPr>
            <w:tcW w:w="1581" w:type="dxa"/>
            <w:vAlign w:val="center"/>
          </w:tcPr>
          <w:p w14:paraId="1355C621" w14:textId="67147641" w:rsidR="006173E3" w:rsidRPr="00C34CBA" w:rsidRDefault="006173E3" w:rsidP="006173E3">
            <w:pPr>
              <w:ind w:left="0"/>
              <w:contextualSpacing/>
              <w:jc w:val="center"/>
            </w:pPr>
            <w:r w:rsidRPr="00C34CBA">
              <w:t>-</w:t>
            </w:r>
          </w:p>
        </w:tc>
      </w:tr>
      <w:tr w:rsidR="006173E3" w14:paraId="4246D632" w14:textId="77777777" w:rsidTr="006173E3">
        <w:tc>
          <w:tcPr>
            <w:tcW w:w="3402" w:type="dxa"/>
            <w:shd w:val="clear" w:color="auto" w:fill="BFBFBF" w:themeFill="background1" w:themeFillShade="BF"/>
            <w:vAlign w:val="center"/>
          </w:tcPr>
          <w:p w14:paraId="4B8622A7" w14:textId="17099021" w:rsidR="006173E3" w:rsidRPr="00C34CBA" w:rsidRDefault="006173E3" w:rsidP="006173E3">
            <w:pPr>
              <w:ind w:left="0"/>
              <w:contextualSpacing/>
            </w:pPr>
            <w:r w:rsidRPr="00C34CBA">
              <w:t>Neurologiczny</w:t>
            </w:r>
          </w:p>
        </w:tc>
        <w:tc>
          <w:tcPr>
            <w:tcW w:w="1843" w:type="dxa"/>
            <w:vAlign w:val="center"/>
          </w:tcPr>
          <w:p w14:paraId="73EC2CCB" w14:textId="64EB06C5" w:rsidR="006173E3" w:rsidRPr="00C34CBA" w:rsidRDefault="006173E3" w:rsidP="006173E3">
            <w:pPr>
              <w:ind w:left="0"/>
              <w:contextualSpacing/>
              <w:jc w:val="center"/>
            </w:pPr>
            <w:r w:rsidRPr="00C34CBA">
              <w:t>19</w:t>
            </w:r>
          </w:p>
        </w:tc>
        <w:tc>
          <w:tcPr>
            <w:tcW w:w="1134" w:type="dxa"/>
            <w:vAlign w:val="center"/>
          </w:tcPr>
          <w:p w14:paraId="467F5691" w14:textId="276FAA08" w:rsidR="006173E3" w:rsidRPr="00C34CBA" w:rsidRDefault="006173E3" w:rsidP="006173E3">
            <w:pPr>
              <w:ind w:left="0"/>
              <w:contextualSpacing/>
              <w:jc w:val="center"/>
            </w:pPr>
            <w:r w:rsidRPr="00C34CBA">
              <w:t>-</w:t>
            </w:r>
          </w:p>
        </w:tc>
        <w:tc>
          <w:tcPr>
            <w:tcW w:w="1247" w:type="dxa"/>
            <w:vAlign w:val="center"/>
          </w:tcPr>
          <w:p w14:paraId="1E28C508" w14:textId="01DAAF0E" w:rsidR="006173E3" w:rsidRPr="00C34CBA" w:rsidRDefault="006173E3" w:rsidP="006173E3">
            <w:pPr>
              <w:ind w:left="0"/>
              <w:contextualSpacing/>
              <w:jc w:val="center"/>
            </w:pPr>
            <w:r w:rsidRPr="00C34CBA">
              <w:t>10</w:t>
            </w:r>
          </w:p>
        </w:tc>
        <w:tc>
          <w:tcPr>
            <w:tcW w:w="1581" w:type="dxa"/>
            <w:vAlign w:val="center"/>
          </w:tcPr>
          <w:p w14:paraId="1D1B7AE8" w14:textId="3D7A5DC4" w:rsidR="006173E3" w:rsidRPr="00C34CBA" w:rsidRDefault="006173E3" w:rsidP="006173E3">
            <w:pPr>
              <w:ind w:left="0"/>
              <w:contextualSpacing/>
              <w:jc w:val="center"/>
            </w:pPr>
            <w:r w:rsidRPr="00C34CBA">
              <w:t>-</w:t>
            </w:r>
          </w:p>
        </w:tc>
      </w:tr>
      <w:tr w:rsidR="006173E3" w14:paraId="3E78A97C" w14:textId="77777777" w:rsidTr="006173E3">
        <w:tc>
          <w:tcPr>
            <w:tcW w:w="3402" w:type="dxa"/>
            <w:shd w:val="clear" w:color="auto" w:fill="BFBFBF" w:themeFill="background1" w:themeFillShade="BF"/>
            <w:vAlign w:val="center"/>
          </w:tcPr>
          <w:p w14:paraId="329413AE" w14:textId="1A6BEC18" w:rsidR="006173E3" w:rsidRPr="00C34CBA" w:rsidRDefault="006173E3" w:rsidP="006173E3">
            <w:pPr>
              <w:ind w:left="0"/>
              <w:contextualSpacing/>
            </w:pPr>
            <w:r w:rsidRPr="00C34CBA">
              <w:t>Obserwacyjno-zakaźny</w:t>
            </w:r>
          </w:p>
        </w:tc>
        <w:tc>
          <w:tcPr>
            <w:tcW w:w="1843" w:type="dxa"/>
            <w:vAlign w:val="center"/>
          </w:tcPr>
          <w:p w14:paraId="75C3DA0B" w14:textId="394D0E90" w:rsidR="006173E3" w:rsidRPr="00C34CBA" w:rsidRDefault="006173E3" w:rsidP="006173E3">
            <w:pPr>
              <w:ind w:left="0"/>
              <w:contextualSpacing/>
              <w:jc w:val="center"/>
            </w:pPr>
            <w:r w:rsidRPr="00C34CBA">
              <w:t>-</w:t>
            </w:r>
          </w:p>
        </w:tc>
        <w:tc>
          <w:tcPr>
            <w:tcW w:w="1134" w:type="dxa"/>
            <w:vAlign w:val="center"/>
          </w:tcPr>
          <w:p w14:paraId="7590BE0C" w14:textId="5C348CD8" w:rsidR="006173E3" w:rsidRPr="00C34CBA" w:rsidRDefault="006173E3" w:rsidP="006173E3">
            <w:pPr>
              <w:ind w:left="0"/>
              <w:contextualSpacing/>
              <w:jc w:val="center"/>
            </w:pPr>
            <w:r w:rsidRPr="00C34CBA">
              <w:t>-</w:t>
            </w:r>
          </w:p>
        </w:tc>
        <w:tc>
          <w:tcPr>
            <w:tcW w:w="1247" w:type="dxa"/>
            <w:vAlign w:val="center"/>
          </w:tcPr>
          <w:p w14:paraId="4CD7BB7C" w14:textId="670C0ED6" w:rsidR="006173E3" w:rsidRPr="00C34CBA" w:rsidRDefault="006173E3" w:rsidP="006173E3">
            <w:pPr>
              <w:ind w:left="0"/>
              <w:contextualSpacing/>
              <w:jc w:val="center"/>
            </w:pPr>
            <w:r w:rsidRPr="00C34CBA">
              <w:t>15</w:t>
            </w:r>
          </w:p>
        </w:tc>
        <w:tc>
          <w:tcPr>
            <w:tcW w:w="1581" w:type="dxa"/>
            <w:vAlign w:val="center"/>
          </w:tcPr>
          <w:p w14:paraId="0B4057E5" w14:textId="54A215D0" w:rsidR="006173E3" w:rsidRPr="00C34CBA" w:rsidRDefault="006173E3" w:rsidP="006173E3">
            <w:pPr>
              <w:ind w:left="0"/>
              <w:contextualSpacing/>
              <w:jc w:val="center"/>
            </w:pPr>
            <w:r w:rsidRPr="00C34CBA">
              <w:t>-</w:t>
            </w:r>
          </w:p>
        </w:tc>
      </w:tr>
      <w:tr w:rsidR="006173E3" w14:paraId="7ACAE42D" w14:textId="77777777" w:rsidTr="006173E3">
        <w:tc>
          <w:tcPr>
            <w:tcW w:w="3402" w:type="dxa"/>
            <w:shd w:val="clear" w:color="auto" w:fill="BFBFBF" w:themeFill="background1" w:themeFillShade="BF"/>
            <w:vAlign w:val="center"/>
          </w:tcPr>
          <w:p w14:paraId="360AC3DA" w14:textId="692B9FE1" w:rsidR="006173E3" w:rsidRPr="00C34CBA" w:rsidRDefault="006173E3" w:rsidP="006173E3">
            <w:pPr>
              <w:ind w:left="0"/>
              <w:contextualSpacing/>
            </w:pPr>
            <w:r w:rsidRPr="00C34CBA">
              <w:t>Pediatryczny</w:t>
            </w:r>
          </w:p>
        </w:tc>
        <w:tc>
          <w:tcPr>
            <w:tcW w:w="1843" w:type="dxa"/>
            <w:vAlign w:val="center"/>
          </w:tcPr>
          <w:p w14:paraId="560858D0" w14:textId="49A17A57" w:rsidR="006173E3" w:rsidRPr="00C34CBA" w:rsidRDefault="006173E3" w:rsidP="006173E3">
            <w:pPr>
              <w:ind w:left="0"/>
              <w:contextualSpacing/>
              <w:jc w:val="center"/>
            </w:pPr>
            <w:r w:rsidRPr="00C34CBA">
              <w:t>17</w:t>
            </w:r>
          </w:p>
        </w:tc>
        <w:tc>
          <w:tcPr>
            <w:tcW w:w="1134" w:type="dxa"/>
            <w:vAlign w:val="center"/>
          </w:tcPr>
          <w:p w14:paraId="1943FC81" w14:textId="52DF4242" w:rsidR="006173E3" w:rsidRPr="00C34CBA" w:rsidRDefault="006173E3" w:rsidP="006173E3">
            <w:pPr>
              <w:ind w:left="0"/>
              <w:contextualSpacing/>
              <w:jc w:val="center"/>
            </w:pPr>
            <w:r w:rsidRPr="00C34CBA">
              <w:t>9</w:t>
            </w:r>
          </w:p>
        </w:tc>
        <w:tc>
          <w:tcPr>
            <w:tcW w:w="1247" w:type="dxa"/>
            <w:vAlign w:val="center"/>
          </w:tcPr>
          <w:p w14:paraId="603AABA4" w14:textId="59FDB1F8" w:rsidR="006173E3" w:rsidRPr="00C34CBA" w:rsidRDefault="006173E3" w:rsidP="006173E3">
            <w:pPr>
              <w:ind w:left="0"/>
              <w:contextualSpacing/>
              <w:jc w:val="center"/>
            </w:pPr>
            <w:r w:rsidRPr="00C34CBA">
              <w:t>20</w:t>
            </w:r>
          </w:p>
        </w:tc>
        <w:tc>
          <w:tcPr>
            <w:tcW w:w="1581" w:type="dxa"/>
            <w:vAlign w:val="center"/>
          </w:tcPr>
          <w:p w14:paraId="45D7970F" w14:textId="74A168AF" w:rsidR="006173E3" w:rsidRPr="00C34CBA" w:rsidRDefault="006173E3" w:rsidP="006173E3">
            <w:pPr>
              <w:ind w:left="0"/>
              <w:contextualSpacing/>
              <w:jc w:val="center"/>
            </w:pPr>
            <w:r w:rsidRPr="00C34CBA">
              <w:t>12</w:t>
            </w:r>
          </w:p>
        </w:tc>
      </w:tr>
      <w:tr w:rsidR="006173E3" w14:paraId="1AC679A3" w14:textId="77777777" w:rsidTr="006173E3">
        <w:tc>
          <w:tcPr>
            <w:tcW w:w="3402" w:type="dxa"/>
            <w:shd w:val="clear" w:color="auto" w:fill="BFBFBF" w:themeFill="background1" w:themeFillShade="BF"/>
            <w:vAlign w:val="center"/>
          </w:tcPr>
          <w:p w14:paraId="54A0885C" w14:textId="6F39E97F" w:rsidR="006173E3" w:rsidRPr="00C34CBA" w:rsidRDefault="006173E3" w:rsidP="006173E3">
            <w:pPr>
              <w:ind w:left="0"/>
              <w:contextualSpacing/>
            </w:pPr>
            <w:r w:rsidRPr="00C34CBA">
              <w:t>Położniczo-ginekologiczny</w:t>
            </w:r>
          </w:p>
        </w:tc>
        <w:tc>
          <w:tcPr>
            <w:tcW w:w="1843" w:type="dxa"/>
            <w:vAlign w:val="center"/>
          </w:tcPr>
          <w:p w14:paraId="2D9C0E8F" w14:textId="1BBFAAF2" w:rsidR="006173E3" w:rsidRPr="00C34CBA" w:rsidRDefault="006173E3" w:rsidP="006173E3">
            <w:pPr>
              <w:ind w:left="0"/>
              <w:contextualSpacing/>
              <w:jc w:val="center"/>
            </w:pPr>
            <w:r w:rsidRPr="00C34CBA">
              <w:t>26</w:t>
            </w:r>
          </w:p>
        </w:tc>
        <w:tc>
          <w:tcPr>
            <w:tcW w:w="1134" w:type="dxa"/>
            <w:vAlign w:val="center"/>
          </w:tcPr>
          <w:p w14:paraId="56E75552" w14:textId="230DB87E" w:rsidR="006173E3" w:rsidRPr="00C34CBA" w:rsidRDefault="006173E3" w:rsidP="006173E3">
            <w:pPr>
              <w:ind w:left="0"/>
              <w:contextualSpacing/>
              <w:jc w:val="center"/>
            </w:pPr>
            <w:r w:rsidRPr="00C34CBA">
              <w:t>18</w:t>
            </w:r>
          </w:p>
        </w:tc>
        <w:tc>
          <w:tcPr>
            <w:tcW w:w="1247" w:type="dxa"/>
            <w:vAlign w:val="center"/>
          </w:tcPr>
          <w:p w14:paraId="03C10EAC" w14:textId="606B848D" w:rsidR="006173E3" w:rsidRPr="00C34CBA" w:rsidRDefault="006173E3" w:rsidP="006173E3">
            <w:pPr>
              <w:ind w:left="0"/>
              <w:contextualSpacing/>
              <w:jc w:val="center"/>
            </w:pPr>
            <w:r w:rsidRPr="00C34CBA">
              <w:t>20</w:t>
            </w:r>
          </w:p>
        </w:tc>
        <w:tc>
          <w:tcPr>
            <w:tcW w:w="1581" w:type="dxa"/>
            <w:vAlign w:val="center"/>
          </w:tcPr>
          <w:p w14:paraId="205C94D5" w14:textId="17C8F9B4" w:rsidR="006173E3" w:rsidRPr="00C34CBA" w:rsidRDefault="006173E3" w:rsidP="006173E3">
            <w:pPr>
              <w:ind w:left="0"/>
              <w:contextualSpacing/>
              <w:jc w:val="center"/>
            </w:pPr>
            <w:r w:rsidRPr="00C34CBA">
              <w:t>32</w:t>
            </w:r>
          </w:p>
        </w:tc>
      </w:tr>
      <w:tr w:rsidR="006173E3" w14:paraId="02B861F0" w14:textId="77777777" w:rsidTr="006173E3">
        <w:tc>
          <w:tcPr>
            <w:tcW w:w="3402" w:type="dxa"/>
            <w:shd w:val="clear" w:color="auto" w:fill="BFBFBF" w:themeFill="background1" w:themeFillShade="BF"/>
            <w:vAlign w:val="center"/>
          </w:tcPr>
          <w:p w14:paraId="7F67508F" w14:textId="079C0A93" w:rsidR="006173E3" w:rsidRPr="00C34CBA" w:rsidRDefault="006173E3" w:rsidP="006173E3">
            <w:pPr>
              <w:ind w:left="0"/>
              <w:contextualSpacing/>
            </w:pPr>
            <w:r w:rsidRPr="00C34CBA">
              <w:t>Psychiatryczny</w:t>
            </w:r>
          </w:p>
        </w:tc>
        <w:tc>
          <w:tcPr>
            <w:tcW w:w="1843" w:type="dxa"/>
            <w:vAlign w:val="center"/>
          </w:tcPr>
          <w:p w14:paraId="398A7BC1" w14:textId="084E4E7F" w:rsidR="006173E3" w:rsidRPr="00C34CBA" w:rsidRDefault="006173E3" w:rsidP="006173E3">
            <w:pPr>
              <w:ind w:left="0"/>
              <w:contextualSpacing/>
              <w:jc w:val="center"/>
            </w:pPr>
            <w:r w:rsidRPr="00C34CBA">
              <w:t>30</w:t>
            </w:r>
          </w:p>
        </w:tc>
        <w:tc>
          <w:tcPr>
            <w:tcW w:w="1134" w:type="dxa"/>
            <w:vAlign w:val="center"/>
          </w:tcPr>
          <w:p w14:paraId="10BA740E" w14:textId="3F260E3E" w:rsidR="006173E3" w:rsidRPr="00C34CBA" w:rsidRDefault="006173E3" w:rsidP="006173E3">
            <w:pPr>
              <w:ind w:left="0"/>
              <w:contextualSpacing/>
              <w:jc w:val="center"/>
            </w:pPr>
            <w:r w:rsidRPr="00C34CBA">
              <w:t>-</w:t>
            </w:r>
          </w:p>
        </w:tc>
        <w:tc>
          <w:tcPr>
            <w:tcW w:w="1247" w:type="dxa"/>
            <w:vAlign w:val="center"/>
          </w:tcPr>
          <w:p w14:paraId="5C0307DD" w14:textId="31FD2B87" w:rsidR="006173E3" w:rsidRPr="00C34CBA" w:rsidRDefault="006173E3" w:rsidP="006173E3">
            <w:pPr>
              <w:ind w:left="0"/>
              <w:contextualSpacing/>
              <w:jc w:val="center"/>
            </w:pPr>
            <w:r w:rsidRPr="00C34CBA">
              <w:t>-</w:t>
            </w:r>
          </w:p>
        </w:tc>
        <w:tc>
          <w:tcPr>
            <w:tcW w:w="1581" w:type="dxa"/>
            <w:vAlign w:val="center"/>
          </w:tcPr>
          <w:p w14:paraId="7B518DC3" w14:textId="587BAD10" w:rsidR="006173E3" w:rsidRPr="00C34CBA" w:rsidRDefault="006173E3" w:rsidP="006173E3">
            <w:pPr>
              <w:ind w:left="0"/>
              <w:contextualSpacing/>
              <w:jc w:val="center"/>
            </w:pPr>
            <w:r w:rsidRPr="00C34CBA">
              <w:t>-</w:t>
            </w:r>
          </w:p>
        </w:tc>
      </w:tr>
      <w:tr w:rsidR="006173E3" w14:paraId="69993890" w14:textId="77777777" w:rsidTr="006173E3">
        <w:tc>
          <w:tcPr>
            <w:tcW w:w="3402" w:type="dxa"/>
            <w:shd w:val="clear" w:color="auto" w:fill="BFBFBF" w:themeFill="background1" w:themeFillShade="BF"/>
            <w:vAlign w:val="center"/>
          </w:tcPr>
          <w:p w14:paraId="7691DD78" w14:textId="1BAB228B" w:rsidR="006173E3" w:rsidRPr="00C34CBA" w:rsidRDefault="006173E3" w:rsidP="006173E3">
            <w:pPr>
              <w:ind w:left="0"/>
              <w:contextualSpacing/>
            </w:pPr>
            <w:r w:rsidRPr="00C34CBA">
              <w:t>Rehabilitacji neurologicznej</w:t>
            </w:r>
          </w:p>
        </w:tc>
        <w:tc>
          <w:tcPr>
            <w:tcW w:w="1843" w:type="dxa"/>
            <w:vAlign w:val="center"/>
          </w:tcPr>
          <w:p w14:paraId="54EA4805" w14:textId="0F58FF46" w:rsidR="006173E3" w:rsidRPr="00C34CBA" w:rsidRDefault="006173E3" w:rsidP="006173E3">
            <w:pPr>
              <w:ind w:left="0"/>
              <w:contextualSpacing/>
              <w:jc w:val="center"/>
            </w:pPr>
            <w:r w:rsidRPr="00C34CBA">
              <w:t>10</w:t>
            </w:r>
          </w:p>
        </w:tc>
        <w:tc>
          <w:tcPr>
            <w:tcW w:w="1134" w:type="dxa"/>
            <w:vAlign w:val="center"/>
          </w:tcPr>
          <w:p w14:paraId="3AD9C94C" w14:textId="6445CC90" w:rsidR="006173E3" w:rsidRPr="00C34CBA" w:rsidRDefault="006173E3" w:rsidP="006173E3">
            <w:pPr>
              <w:ind w:left="0"/>
              <w:contextualSpacing/>
              <w:jc w:val="center"/>
            </w:pPr>
            <w:r w:rsidRPr="00C34CBA">
              <w:t>-</w:t>
            </w:r>
          </w:p>
        </w:tc>
        <w:tc>
          <w:tcPr>
            <w:tcW w:w="1247" w:type="dxa"/>
            <w:vAlign w:val="center"/>
          </w:tcPr>
          <w:p w14:paraId="500C4E83" w14:textId="64C589A0" w:rsidR="006173E3" w:rsidRPr="00C34CBA" w:rsidRDefault="006173E3" w:rsidP="006173E3">
            <w:pPr>
              <w:ind w:left="0"/>
              <w:contextualSpacing/>
              <w:jc w:val="center"/>
            </w:pPr>
            <w:r w:rsidRPr="00C34CBA">
              <w:t>-</w:t>
            </w:r>
          </w:p>
        </w:tc>
        <w:tc>
          <w:tcPr>
            <w:tcW w:w="1581" w:type="dxa"/>
            <w:vAlign w:val="center"/>
          </w:tcPr>
          <w:p w14:paraId="032CD2A2" w14:textId="093DACC0" w:rsidR="006173E3" w:rsidRPr="00C34CBA" w:rsidRDefault="006173E3" w:rsidP="006173E3">
            <w:pPr>
              <w:ind w:left="0"/>
              <w:contextualSpacing/>
              <w:jc w:val="center"/>
            </w:pPr>
            <w:r w:rsidRPr="00C34CBA">
              <w:t>-</w:t>
            </w:r>
          </w:p>
        </w:tc>
      </w:tr>
      <w:tr w:rsidR="006173E3" w14:paraId="6A1B627A" w14:textId="77777777" w:rsidTr="006173E3">
        <w:tc>
          <w:tcPr>
            <w:tcW w:w="3402" w:type="dxa"/>
            <w:shd w:val="clear" w:color="auto" w:fill="BFBFBF" w:themeFill="background1" w:themeFillShade="BF"/>
            <w:vAlign w:val="center"/>
          </w:tcPr>
          <w:p w14:paraId="361BD07F" w14:textId="1E18EB43" w:rsidR="006173E3" w:rsidRPr="00C34CBA" w:rsidRDefault="006173E3" w:rsidP="006173E3">
            <w:pPr>
              <w:ind w:left="0"/>
              <w:contextualSpacing/>
            </w:pPr>
            <w:r w:rsidRPr="00C34CBA">
              <w:t>Rehabilitacyjny</w:t>
            </w:r>
          </w:p>
        </w:tc>
        <w:tc>
          <w:tcPr>
            <w:tcW w:w="1843" w:type="dxa"/>
            <w:vAlign w:val="center"/>
          </w:tcPr>
          <w:p w14:paraId="641A5CFE" w14:textId="3D0634F1" w:rsidR="006173E3" w:rsidRPr="00C34CBA" w:rsidRDefault="006173E3" w:rsidP="006173E3">
            <w:pPr>
              <w:ind w:left="0"/>
              <w:contextualSpacing/>
              <w:jc w:val="center"/>
            </w:pPr>
            <w:r w:rsidRPr="00C34CBA">
              <w:t>15</w:t>
            </w:r>
          </w:p>
        </w:tc>
        <w:tc>
          <w:tcPr>
            <w:tcW w:w="1134" w:type="dxa"/>
            <w:vAlign w:val="center"/>
          </w:tcPr>
          <w:p w14:paraId="626E79B4" w14:textId="3229E5F5" w:rsidR="006173E3" w:rsidRPr="00C34CBA" w:rsidRDefault="006173E3" w:rsidP="006173E3">
            <w:pPr>
              <w:ind w:left="0"/>
              <w:contextualSpacing/>
              <w:jc w:val="center"/>
            </w:pPr>
            <w:r w:rsidRPr="00C34CBA">
              <w:t>-</w:t>
            </w:r>
          </w:p>
        </w:tc>
        <w:tc>
          <w:tcPr>
            <w:tcW w:w="1247" w:type="dxa"/>
            <w:vAlign w:val="center"/>
          </w:tcPr>
          <w:p w14:paraId="433FCAC7" w14:textId="0C67AAC5" w:rsidR="006173E3" w:rsidRPr="00C34CBA" w:rsidRDefault="006173E3" w:rsidP="006173E3">
            <w:pPr>
              <w:ind w:left="0"/>
              <w:contextualSpacing/>
              <w:jc w:val="center"/>
            </w:pPr>
            <w:r w:rsidRPr="00C34CBA">
              <w:t>-</w:t>
            </w:r>
          </w:p>
        </w:tc>
        <w:tc>
          <w:tcPr>
            <w:tcW w:w="1581" w:type="dxa"/>
            <w:vAlign w:val="center"/>
          </w:tcPr>
          <w:p w14:paraId="01530CB6" w14:textId="000EF4FA" w:rsidR="006173E3" w:rsidRPr="00C34CBA" w:rsidRDefault="006173E3" w:rsidP="006173E3">
            <w:pPr>
              <w:ind w:left="0"/>
              <w:contextualSpacing/>
              <w:jc w:val="center"/>
            </w:pPr>
            <w:r w:rsidRPr="00C34CBA">
              <w:t>-</w:t>
            </w:r>
          </w:p>
        </w:tc>
      </w:tr>
      <w:tr w:rsidR="006173E3" w14:paraId="7E13B61C" w14:textId="77777777" w:rsidTr="006173E3">
        <w:tc>
          <w:tcPr>
            <w:tcW w:w="3402" w:type="dxa"/>
            <w:shd w:val="clear" w:color="auto" w:fill="BFBFBF" w:themeFill="background1" w:themeFillShade="BF"/>
            <w:vAlign w:val="center"/>
          </w:tcPr>
          <w:p w14:paraId="379DE3A6" w14:textId="58D8D124" w:rsidR="006173E3" w:rsidRPr="00C34CBA" w:rsidRDefault="006173E3" w:rsidP="006173E3">
            <w:pPr>
              <w:ind w:left="0"/>
              <w:contextualSpacing/>
            </w:pPr>
            <w:r w:rsidRPr="00C34CBA">
              <w:t>Reumatologiczny</w:t>
            </w:r>
          </w:p>
        </w:tc>
        <w:tc>
          <w:tcPr>
            <w:tcW w:w="1843" w:type="dxa"/>
            <w:vAlign w:val="center"/>
          </w:tcPr>
          <w:p w14:paraId="3F3329E0" w14:textId="10DC465F" w:rsidR="006173E3" w:rsidRPr="00C34CBA" w:rsidRDefault="006173E3" w:rsidP="006173E3">
            <w:pPr>
              <w:ind w:left="0"/>
              <w:contextualSpacing/>
              <w:jc w:val="center"/>
            </w:pPr>
            <w:r w:rsidRPr="00C34CBA">
              <w:t>10</w:t>
            </w:r>
          </w:p>
        </w:tc>
        <w:tc>
          <w:tcPr>
            <w:tcW w:w="1134" w:type="dxa"/>
            <w:vAlign w:val="center"/>
          </w:tcPr>
          <w:p w14:paraId="28DA56A9" w14:textId="6D846807" w:rsidR="006173E3" w:rsidRPr="00C34CBA" w:rsidRDefault="006173E3" w:rsidP="006173E3">
            <w:pPr>
              <w:ind w:left="0"/>
              <w:contextualSpacing/>
              <w:jc w:val="center"/>
            </w:pPr>
            <w:r w:rsidRPr="00C34CBA">
              <w:t>-</w:t>
            </w:r>
          </w:p>
        </w:tc>
        <w:tc>
          <w:tcPr>
            <w:tcW w:w="1247" w:type="dxa"/>
            <w:vAlign w:val="center"/>
          </w:tcPr>
          <w:p w14:paraId="5B3B5487" w14:textId="0B97B341" w:rsidR="006173E3" w:rsidRPr="00C34CBA" w:rsidRDefault="006173E3" w:rsidP="006173E3">
            <w:pPr>
              <w:ind w:left="0"/>
              <w:contextualSpacing/>
              <w:jc w:val="center"/>
            </w:pPr>
            <w:r w:rsidRPr="00C34CBA">
              <w:t>-</w:t>
            </w:r>
          </w:p>
        </w:tc>
        <w:tc>
          <w:tcPr>
            <w:tcW w:w="1581" w:type="dxa"/>
            <w:vAlign w:val="center"/>
          </w:tcPr>
          <w:p w14:paraId="0E26B5A8" w14:textId="55C48EDE" w:rsidR="006173E3" w:rsidRPr="00C34CBA" w:rsidRDefault="006173E3" w:rsidP="006173E3">
            <w:pPr>
              <w:ind w:left="0"/>
              <w:contextualSpacing/>
              <w:jc w:val="center"/>
            </w:pPr>
            <w:r w:rsidRPr="00C34CBA">
              <w:t>-</w:t>
            </w:r>
          </w:p>
        </w:tc>
      </w:tr>
      <w:tr w:rsidR="006173E3" w14:paraId="2105104A" w14:textId="77777777" w:rsidTr="006173E3">
        <w:tc>
          <w:tcPr>
            <w:tcW w:w="3402" w:type="dxa"/>
            <w:shd w:val="clear" w:color="auto" w:fill="BFBFBF" w:themeFill="background1" w:themeFillShade="BF"/>
            <w:vAlign w:val="center"/>
          </w:tcPr>
          <w:p w14:paraId="7F1A8D22" w14:textId="01D7BEB4" w:rsidR="006173E3" w:rsidRPr="00C34CBA" w:rsidRDefault="006173E3" w:rsidP="006173E3">
            <w:pPr>
              <w:ind w:left="0"/>
              <w:contextualSpacing/>
            </w:pPr>
            <w:r w:rsidRPr="00C34CBA">
              <w:t>Szpitalny oddział ratunkowy</w:t>
            </w:r>
          </w:p>
        </w:tc>
        <w:tc>
          <w:tcPr>
            <w:tcW w:w="1843" w:type="dxa"/>
            <w:vAlign w:val="center"/>
          </w:tcPr>
          <w:p w14:paraId="38A548B7" w14:textId="4CBBB304" w:rsidR="006173E3" w:rsidRPr="00C34CBA" w:rsidRDefault="006173E3" w:rsidP="006173E3">
            <w:pPr>
              <w:ind w:left="0"/>
              <w:contextualSpacing/>
              <w:jc w:val="center"/>
            </w:pPr>
            <w:r w:rsidRPr="00C34CBA">
              <w:t>-</w:t>
            </w:r>
          </w:p>
        </w:tc>
        <w:tc>
          <w:tcPr>
            <w:tcW w:w="1134" w:type="dxa"/>
            <w:vAlign w:val="center"/>
          </w:tcPr>
          <w:p w14:paraId="37E35598" w14:textId="57CF8010" w:rsidR="006173E3" w:rsidRPr="00C34CBA" w:rsidRDefault="006173E3" w:rsidP="006173E3">
            <w:pPr>
              <w:ind w:left="0"/>
              <w:contextualSpacing/>
              <w:jc w:val="center"/>
            </w:pPr>
            <w:r w:rsidRPr="00C34CBA">
              <w:t>-</w:t>
            </w:r>
          </w:p>
        </w:tc>
        <w:tc>
          <w:tcPr>
            <w:tcW w:w="1247" w:type="dxa"/>
            <w:vAlign w:val="center"/>
          </w:tcPr>
          <w:p w14:paraId="27577C24" w14:textId="4E70CDF6" w:rsidR="006173E3" w:rsidRPr="00C34CBA" w:rsidRDefault="006173E3" w:rsidP="006173E3">
            <w:pPr>
              <w:ind w:left="0"/>
              <w:contextualSpacing/>
              <w:jc w:val="center"/>
            </w:pPr>
            <w:r w:rsidRPr="00C34CBA">
              <w:t>5</w:t>
            </w:r>
          </w:p>
        </w:tc>
        <w:tc>
          <w:tcPr>
            <w:tcW w:w="1581" w:type="dxa"/>
            <w:vAlign w:val="center"/>
          </w:tcPr>
          <w:p w14:paraId="62423556" w14:textId="589A42A3" w:rsidR="006173E3" w:rsidRPr="00C34CBA" w:rsidRDefault="006173E3" w:rsidP="006173E3">
            <w:pPr>
              <w:ind w:left="0"/>
              <w:contextualSpacing/>
              <w:jc w:val="center"/>
            </w:pPr>
            <w:r w:rsidRPr="00C34CBA">
              <w:t>-</w:t>
            </w:r>
          </w:p>
        </w:tc>
      </w:tr>
      <w:tr w:rsidR="006173E3" w14:paraId="055C4DD5" w14:textId="77777777" w:rsidTr="006173E3">
        <w:tc>
          <w:tcPr>
            <w:tcW w:w="3402" w:type="dxa"/>
            <w:shd w:val="clear" w:color="auto" w:fill="BFBFBF" w:themeFill="background1" w:themeFillShade="BF"/>
            <w:vAlign w:val="center"/>
          </w:tcPr>
          <w:p w14:paraId="5A4EBDE0" w14:textId="30FB531D" w:rsidR="006173E3" w:rsidRPr="00C34CBA" w:rsidRDefault="006173E3" w:rsidP="006173E3">
            <w:pPr>
              <w:ind w:left="0"/>
              <w:contextualSpacing/>
            </w:pPr>
            <w:r w:rsidRPr="00C34CBA">
              <w:t>Udarowy</w:t>
            </w:r>
          </w:p>
        </w:tc>
        <w:tc>
          <w:tcPr>
            <w:tcW w:w="1843" w:type="dxa"/>
            <w:vAlign w:val="center"/>
          </w:tcPr>
          <w:p w14:paraId="19D70FCC" w14:textId="34B04897" w:rsidR="006173E3" w:rsidRPr="00C34CBA" w:rsidRDefault="006173E3" w:rsidP="006173E3">
            <w:pPr>
              <w:ind w:left="0"/>
              <w:contextualSpacing/>
              <w:jc w:val="center"/>
            </w:pPr>
            <w:r w:rsidRPr="00C34CBA">
              <w:t>16</w:t>
            </w:r>
          </w:p>
        </w:tc>
        <w:tc>
          <w:tcPr>
            <w:tcW w:w="1134" w:type="dxa"/>
            <w:vAlign w:val="center"/>
          </w:tcPr>
          <w:p w14:paraId="6A85BB48" w14:textId="69DDA683" w:rsidR="006173E3" w:rsidRPr="00C34CBA" w:rsidRDefault="006173E3" w:rsidP="006173E3">
            <w:pPr>
              <w:ind w:left="0"/>
              <w:contextualSpacing/>
              <w:jc w:val="center"/>
            </w:pPr>
            <w:r w:rsidRPr="00C34CBA">
              <w:t>-</w:t>
            </w:r>
          </w:p>
        </w:tc>
        <w:tc>
          <w:tcPr>
            <w:tcW w:w="1247" w:type="dxa"/>
            <w:vAlign w:val="center"/>
          </w:tcPr>
          <w:p w14:paraId="276E9F83" w14:textId="7749F1BD" w:rsidR="006173E3" w:rsidRPr="00C34CBA" w:rsidRDefault="006173E3" w:rsidP="006173E3">
            <w:pPr>
              <w:ind w:left="0"/>
              <w:contextualSpacing/>
              <w:jc w:val="center"/>
            </w:pPr>
            <w:r w:rsidRPr="00C34CBA">
              <w:t>-</w:t>
            </w:r>
          </w:p>
        </w:tc>
        <w:tc>
          <w:tcPr>
            <w:tcW w:w="1581" w:type="dxa"/>
            <w:vAlign w:val="center"/>
          </w:tcPr>
          <w:p w14:paraId="59EA1CB6" w14:textId="6ACBCD0E" w:rsidR="006173E3" w:rsidRPr="00C34CBA" w:rsidRDefault="006173E3" w:rsidP="006173E3">
            <w:pPr>
              <w:ind w:left="0"/>
              <w:contextualSpacing/>
              <w:jc w:val="center"/>
            </w:pPr>
            <w:r w:rsidRPr="00C34CBA">
              <w:t>-</w:t>
            </w:r>
          </w:p>
        </w:tc>
      </w:tr>
      <w:tr w:rsidR="006173E3" w14:paraId="66DD4708" w14:textId="77777777" w:rsidTr="006173E3">
        <w:tc>
          <w:tcPr>
            <w:tcW w:w="3402" w:type="dxa"/>
            <w:shd w:val="clear" w:color="auto" w:fill="BFBFBF" w:themeFill="background1" w:themeFillShade="BF"/>
            <w:vAlign w:val="center"/>
          </w:tcPr>
          <w:p w14:paraId="4122A471" w14:textId="2786736B" w:rsidR="006173E3" w:rsidRPr="00C34CBA" w:rsidRDefault="006173E3" w:rsidP="006173E3">
            <w:pPr>
              <w:ind w:left="0"/>
              <w:contextualSpacing/>
            </w:pPr>
            <w:r w:rsidRPr="00C34CBA">
              <w:t>Urologiczny</w:t>
            </w:r>
          </w:p>
        </w:tc>
        <w:tc>
          <w:tcPr>
            <w:tcW w:w="1843" w:type="dxa"/>
            <w:vAlign w:val="center"/>
          </w:tcPr>
          <w:p w14:paraId="690B6880" w14:textId="6C06A7E9" w:rsidR="006173E3" w:rsidRPr="00C34CBA" w:rsidRDefault="006173E3" w:rsidP="006173E3">
            <w:pPr>
              <w:ind w:left="0"/>
              <w:contextualSpacing/>
              <w:jc w:val="center"/>
            </w:pPr>
            <w:r w:rsidRPr="00C34CBA">
              <w:t>1</w:t>
            </w:r>
          </w:p>
        </w:tc>
        <w:tc>
          <w:tcPr>
            <w:tcW w:w="1134" w:type="dxa"/>
            <w:vAlign w:val="center"/>
          </w:tcPr>
          <w:p w14:paraId="75B4F474" w14:textId="56647FE4" w:rsidR="006173E3" w:rsidRPr="00C34CBA" w:rsidRDefault="006173E3" w:rsidP="006173E3">
            <w:pPr>
              <w:ind w:left="0"/>
              <w:contextualSpacing/>
              <w:jc w:val="center"/>
            </w:pPr>
            <w:r w:rsidRPr="00C34CBA">
              <w:t>-</w:t>
            </w:r>
          </w:p>
        </w:tc>
        <w:tc>
          <w:tcPr>
            <w:tcW w:w="1247" w:type="dxa"/>
            <w:vAlign w:val="center"/>
          </w:tcPr>
          <w:p w14:paraId="3A12ECF1" w14:textId="688B3D8B" w:rsidR="006173E3" w:rsidRPr="00C34CBA" w:rsidRDefault="006173E3" w:rsidP="006173E3">
            <w:pPr>
              <w:ind w:left="0"/>
              <w:contextualSpacing/>
              <w:jc w:val="center"/>
            </w:pPr>
            <w:r w:rsidRPr="00C34CBA">
              <w:t>-</w:t>
            </w:r>
          </w:p>
        </w:tc>
        <w:tc>
          <w:tcPr>
            <w:tcW w:w="1581" w:type="dxa"/>
            <w:vAlign w:val="center"/>
          </w:tcPr>
          <w:p w14:paraId="0318BB7C" w14:textId="40C4F708" w:rsidR="006173E3" w:rsidRPr="00C34CBA" w:rsidRDefault="006173E3" w:rsidP="006173E3">
            <w:pPr>
              <w:ind w:left="0"/>
              <w:contextualSpacing/>
              <w:jc w:val="center"/>
            </w:pPr>
            <w:r w:rsidRPr="00C34CBA">
              <w:t>-</w:t>
            </w:r>
          </w:p>
        </w:tc>
      </w:tr>
      <w:tr w:rsidR="006173E3" w14:paraId="0DD1FA97" w14:textId="77777777" w:rsidTr="006173E3">
        <w:tc>
          <w:tcPr>
            <w:tcW w:w="3402" w:type="dxa"/>
            <w:shd w:val="clear" w:color="auto" w:fill="BFBFBF" w:themeFill="background1" w:themeFillShade="BF"/>
            <w:vAlign w:val="center"/>
          </w:tcPr>
          <w:p w14:paraId="51FAE695" w14:textId="5F45B935" w:rsidR="006173E3" w:rsidRPr="00C34CBA" w:rsidRDefault="006173E3" w:rsidP="006173E3">
            <w:pPr>
              <w:ind w:left="0"/>
              <w:contextualSpacing/>
            </w:pPr>
            <w:r w:rsidRPr="00C34CBA">
              <w:t>Zakład opiekuńczo-leczniczy</w:t>
            </w:r>
          </w:p>
        </w:tc>
        <w:tc>
          <w:tcPr>
            <w:tcW w:w="1843" w:type="dxa"/>
            <w:vAlign w:val="center"/>
          </w:tcPr>
          <w:p w14:paraId="216CC975" w14:textId="10DF1527" w:rsidR="006173E3" w:rsidRPr="00C34CBA" w:rsidRDefault="006173E3" w:rsidP="006173E3">
            <w:pPr>
              <w:ind w:left="0"/>
              <w:contextualSpacing/>
              <w:jc w:val="center"/>
            </w:pPr>
            <w:r w:rsidRPr="00C34CBA">
              <w:t>-</w:t>
            </w:r>
          </w:p>
        </w:tc>
        <w:tc>
          <w:tcPr>
            <w:tcW w:w="1134" w:type="dxa"/>
            <w:vAlign w:val="center"/>
          </w:tcPr>
          <w:p w14:paraId="6579537C" w14:textId="593B260C" w:rsidR="006173E3" w:rsidRPr="00C34CBA" w:rsidRDefault="006173E3" w:rsidP="006173E3">
            <w:pPr>
              <w:ind w:left="0"/>
              <w:contextualSpacing/>
              <w:jc w:val="center"/>
            </w:pPr>
            <w:r w:rsidRPr="00C34CBA">
              <w:t>44</w:t>
            </w:r>
          </w:p>
        </w:tc>
        <w:tc>
          <w:tcPr>
            <w:tcW w:w="1247" w:type="dxa"/>
            <w:vAlign w:val="center"/>
          </w:tcPr>
          <w:p w14:paraId="7A84AEE9" w14:textId="4D2F92FE" w:rsidR="006173E3" w:rsidRPr="00C34CBA" w:rsidRDefault="006173E3" w:rsidP="006173E3">
            <w:pPr>
              <w:ind w:left="0"/>
              <w:contextualSpacing/>
              <w:jc w:val="center"/>
            </w:pPr>
            <w:r w:rsidRPr="00C34CBA">
              <w:t>-</w:t>
            </w:r>
          </w:p>
        </w:tc>
        <w:tc>
          <w:tcPr>
            <w:tcW w:w="1581" w:type="dxa"/>
            <w:vAlign w:val="center"/>
          </w:tcPr>
          <w:p w14:paraId="4F370BF1" w14:textId="3527050C" w:rsidR="006173E3" w:rsidRPr="00C34CBA" w:rsidRDefault="006173E3" w:rsidP="006173E3">
            <w:pPr>
              <w:ind w:left="0"/>
              <w:contextualSpacing/>
              <w:jc w:val="center"/>
            </w:pPr>
            <w:r w:rsidRPr="00C34CBA">
              <w:t>-</w:t>
            </w:r>
          </w:p>
        </w:tc>
      </w:tr>
    </w:tbl>
    <w:p w14:paraId="6F30528C" w14:textId="77777777" w:rsidR="003711E3" w:rsidRPr="00745CDB" w:rsidRDefault="003711E3" w:rsidP="00733091">
      <w:pPr>
        <w:pStyle w:val="podpiselementu"/>
        <w:spacing w:after="240"/>
        <w:rPr>
          <w:rFonts w:asciiTheme="minorHAnsi" w:hAnsiTheme="minorHAnsi" w:cstheme="minorHAnsi"/>
          <w:sz w:val="20"/>
          <w:szCs w:val="20"/>
          <w:lang w:val="pl-PL"/>
        </w:rPr>
      </w:pPr>
      <w:r w:rsidRPr="00745CDB">
        <w:rPr>
          <w:rFonts w:asciiTheme="minorHAnsi" w:hAnsiTheme="minorHAnsi" w:cstheme="minorHAnsi"/>
          <w:sz w:val="20"/>
          <w:szCs w:val="20"/>
          <w:lang w:val="pl-PL"/>
        </w:rPr>
        <w:t>* nazewnictwo oddziałów wg kodów resortowych charakteryzujących specjalność komórki organizacyjnej zgodnie z częścią VIII systemu resortowych kodów identyfikacyjnych</w:t>
      </w:r>
    </w:p>
    <w:p w14:paraId="253B7591" w14:textId="658D89C4" w:rsidR="003711E3" w:rsidRPr="00733091" w:rsidRDefault="003711E3" w:rsidP="004E378E">
      <w:pPr>
        <w:pStyle w:val="podpiselementu"/>
        <w:spacing w:after="240"/>
        <w:rPr>
          <w:lang w:val="pl-PL"/>
        </w:rPr>
      </w:pPr>
      <w:r w:rsidRPr="00733091">
        <w:rPr>
          <w:lang w:val="pl-PL"/>
        </w:rPr>
        <w:lastRenderedPageBreak/>
        <w:t xml:space="preserve">Źródło: opracowanie własne na podstawie </w:t>
      </w:r>
      <w:hyperlink r:id="rId81" w:history="1">
        <w:r w:rsidRPr="00733091">
          <w:rPr>
            <w:rStyle w:val="Hipercze"/>
            <w:color w:val="auto"/>
            <w:u w:val="none"/>
            <w:lang w:val="pl-PL"/>
          </w:rPr>
          <w:t>https://rpwdl.csioz.gov.pl/RPM</w:t>
        </w:r>
      </w:hyperlink>
      <w:r w:rsidRPr="00733091">
        <w:rPr>
          <w:lang w:val="pl-PL"/>
        </w:rPr>
        <w:t>.</w:t>
      </w:r>
    </w:p>
    <w:p w14:paraId="0225F83F" w14:textId="18000694" w:rsidR="003711E3" w:rsidRPr="004E378E" w:rsidRDefault="003711E3" w:rsidP="004E378E">
      <w:pPr>
        <w:rPr>
          <w:lang w:val="pl-PL"/>
        </w:rPr>
      </w:pPr>
      <w:r w:rsidRPr="00733091">
        <w:rPr>
          <w:lang w:val="pl-PL"/>
        </w:rPr>
        <w:t>Wszystkie szpitale realizują (na miarę swoich możliwości finansowych) różnego rodzaju inwestycje, mające na celu podniesienie jakości świadczonej opieki medycznej. Poza dwoma przypadkami (ZOZ w Nidzicy, ZOZ w Szczytnie) sprowadzają się one do doposażania poszczególnych jednostek organizacyjnych w nowoczesny sprzęt medyczny. Projekty skutkujące przyrostem powierzchni szpitalnej i tym samym umożliwiające zwiększenie liczby łóżek realizowane są obecnie w dwóch szpitalach, tj. w Nidzicy i w Szczytnie. ZOZ w Nidzicy, korzystając ze wsparcia RPO Warmia i Mazury 2014-2020 (Poddziałanie 9.1.1 Rozwój specjalistycznych usług medycznych), kończy przedsięwzięcie pn. „Rozbudowa i doposażenie budynku Zespołu Opieki Zdrowotnej w Nidzicy na potrzeby udzielania świadczeń zdrowotnych dla osób starszych i niepełnosprawnych - utworzenie Oddziału Geriatrycznego oraz pracowni TK”. W nowym budynku znajdzie się m.in. 28-łóżkowy oddział geriatryczny stanowiący odpowiedź na potrzeby zdrowotne starzejącego się społeczeństwa. W nowej części znajdzie się także miejsce na jeszcze jeden oddział (32-łóżkowy) oraz nowoczesny blok operacyjny. Z kolei powiat Szczycieński realizuje projekt pn. „Rozbudowa szpitala powiatowego ZOZ w Szczytnie”, w ramach którego zostanie wybudowane i oddane do użytku nowe skrzydło szpitala. Zlokalizowane zostaną w nim: oddział dziecięcy, oddział wewnętrzny, apteka szpitalna, laboratorium analityczne i pracownia endoskopowa, a zwolnione miejsce w starej części zajmie zakład opiekuńczo-leczniczy.</w:t>
      </w:r>
    </w:p>
    <w:p w14:paraId="05B12CA2" w14:textId="476F8E96" w:rsidR="003711E3" w:rsidRPr="00733091" w:rsidRDefault="003711E3" w:rsidP="00733091">
      <w:pPr>
        <w:rPr>
          <w:rFonts w:cstheme="majorHAnsi"/>
          <w:lang w:val="pl-PL"/>
        </w:rPr>
      </w:pPr>
      <w:r w:rsidRPr="00733091">
        <w:rPr>
          <w:rFonts w:cstheme="majorHAnsi"/>
          <w:lang w:val="pl-PL"/>
        </w:rPr>
        <w:t xml:space="preserve">Jakość usług medycznych wszystkich szczebli i sprawne działanie placówek ochrony zdrowia zależy w głównej mierze od zatrudnionej tam kadry medycznej. W 2019 r. na 10 tys. mieszkańców PM przypadało średnio 23 lekarzy oraz 43 pielęgniarki i położne, co plasowało Południowe Mazury </w:t>
      </w:r>
      <w:r w:rsidRPr="00C53E08">
        <w:rPr>
          <w:rFonts w:cstheme="majorHAnsi"/>
          <w:lang w:val="pl-PL"/>
        </w:rPr>
        <w:t xml:space="preserve">znacznie poniżej średniej krajowej </w:t>
      </w:r>
      <w:r w:rsidRPr="00733091">
        <w:rPr>
          <w:rFonts w:cstheme="majorHAnsi"/>
          <w:lang w:val="pl-PL"/>
        </w:rPr>
        <w:t xml:space="preserve">(58 lekarzy/10 tys. mieszkańców; 72 pielęgniarki i położne/10 tys. mieszkańców) i wojewódzkiej (37 lekarzy/10 tys. mieszkańców, 61 pielęgniarki i położne/10 tys. mieszkańców). Najkorzystniejsza sytuacja w zakresie opieki lekarskiej panowała </w:t>
      </w:r>
      <w:r w:rsidR="009B403E">
        <w:rPr>
          <w:rFonts w:cstheme="majorHAnsi"/>
          <w:lang w:val="pl-PL"/>
        </w:rPr>
        <w:br/>
      </w:r>
      <w:r w:rsidRPr="00733091">
        <w:rPr>
          <w:rFonts w:cstheme="majorHAnsi"/>
          <w:lang w:val="pl-PL"/>
        </w:rPr>
        <w:t xml:space="preserve">w powiecie nidzickim, w którym na 10 tys. mieszkańców przypadało 26 lekarzy, natomiast najmniej korzystna w piskim - 20 lekarzy/10 tys. mieszkańców. Z kolei największa liczba pielęgniarek i położnych w przeliczeniu na 10 tys. mieszkańców pracowała w powiecie działdowskim (57), natomiast najniższa w nidzickim (31). Liczba kadry medycznej (lekarzy, pielęgniarek i położnych) zmieniała się w czasie. Porównanie analizowanych wskaźników w dwóch momentach czasowych, tj. roku bazowym (2010) i końcowym (2019) wykazało wzrost liczby lekarzy o 4,5% i redukcję personelu pielęgniarskiego o 6,2%. Zmiany liczebności kadry medycznej </w:t>
      </w:r>
      <w:r w:rsidR="009B403E">
        <w:rPr>
          <w:rFonts w:cstheme="majorHAnsi"/>
          <w:lang w:val="pl-PL"/>
        </w:rPr>
        <w:br/>
      </w:r>
      <w:r w:rsidRPr="00733091">
        <w:rPr>
          <w:rFonts w:cstheme="majorHAnsi"/>
          <w:lang w:val="pl-PL"/>
        </w:rPr>
        <w:t xml:space="preserve">w poszczególnych powiatach przedstawione są na poniższych </w:t>
      </w:r>
      <w:r w:rsidR="00745CDB">
        <w:rPr>
          <w:rFonts w:cstheme="majorHAnsi"/>
          <w:lang w:val="pl-PL"/>
        </w:rPr>
        <w:t>wykresach</w:t>
      </w:r>
      <w:r w:rsidRPr="00733091">
        <w:rPr>
          <w:rFonts w:cstheme="majorHAnsi"/>
          <w:shd w:val="clear" w:color="auto" w:fill="FFFFFF" w:themeFill="background1"/>
          <w:lang w:val="pl-PL"/>
        </w:rPr>
        <w:t>.</w:t>
      </w:r>
    </w:p>
    <w:p w14:paraId="7909E89D" w14:textId="3657EE6E" w:rsidR="003711E3" w:rsidRPr="00733091" w:rsidRDefault="007D776B" w:rsidP="002E24A9">
      <w:pPr>
        <w:pStyle w:val="Legenda"/>
        <w:rPr>
          <w:lang w:val="pl-PL"/>
        </w:rPr>
      </w:pPr>
      <w:bookmarkStart w:id="78" w:name="_Toc69723183"/>
      <w:r w:rsidRPr="00733091">
        <w:rPr>
          <w:lang w:val="pl-PL"/>
        </w:rPr>
        <w:lastRenderedPageBreak/>
        <w:t xml:space="preserve">Wykres </w:t>
      </w:r>
      <w:r w:rsidR="00733091">
        <w:fldChar w:fldCharType="begin"/>
      </w:r>
      <w:r w:rsidR="00733091" w:rsidRPr="00733091">
        <w:rPr>
          <w:lang w:val="pl-PL"/>
        </w:rPr>
        <w:instrText xml:space="preserve"> SEQ Wykres \* ARABIC </w:instrText>
      </w:r>
      <w:r w:rsidR="00733091">
        <w:fldChar w:fldCharType="separate"/>
      </w:r>
      <w:r w:rsidR="00B14787">
        <w:rPr>
          <w:noProof/>
          <w:lang w:val="pl-PL"/>
        </w:rPr>
        <w:t>25</w:t>
      </w:r>
      <w:r w:rsidR="00733091">
        <w:rPr>
          <w:noProof/>
        </w:rPr>
        <w:fldChar w:fldCharType="end"/>
      </w:r>
      <w:r w:rsidRPr="00733091">
        <w:rPr>
          <w:lang w:val="pl-PL"/>
        </w:rPr>
        <w:t xml:space="preserve">: </w:t>
      </w:r>
      <w:r w:rsidR="003711E3" w:rsidRPr="00733091">
        <w:rPr>
          <w:lang w:val="pl-PL"/>
        </w:rPr>
        <w:t>Liczba lekarzy (personel pracujący ogółem) na 10 tys. mieszkańców w latach 2010-2018</w:t>
      </w:r>
      <w:bookmarkEnd w:id="78"/>
    </w:p>
    <w:p w14:paraId="482C311F" w14:textId="1C07F234" w:rsidR="003711E3" w:rsidRPr="004E378E" w:rsidRDefault="003711E3" w:rsidP="004E378E">
      <w:pPr>
        <w:pStyle w:val="podpiselementu"/>
        <w:spacing w:after="240"/>
        <w:rPr>
          <w:lang w:val="pl-PL"/>
        </w:rPr>
      </w:pPr>
      <w:r w:rsidRPr="005769A9">
        <w:rPr>
          <w:rFonts w:cstheme="majorHAnsi"/>
          <w:noProof/>
          <w:highlight w:val="yellow"/>
          <w:lang w:eastAsia="pl-PL"/>
        </w:rPr>
        <w:drawing>
          <wp:inline distT="0" distB="0" distL="0" distR="0" wp14:anchorId="401921E8" wp14:editId="35474531">
            <wp:extent cx="5759450" cy="2956560"/>
            <wp:effectExtent l="0" t="0" r="12700" b="15240"/>
            <wp:docPr id="56" name="Wykres 56" descr="wykres liniowy wskazujący liczbę lekarzy (personel pracujący ogółem) na 10 tys. mieszkańców w latach 2010-2018. Liczba lekarzy w powiecie piskim zaznaczona jest linią żóltą, w powiecie działdowskim – pomarańczową, w powiecie nidzickim – szarą, w powiecie szczycieńskim – niebieską, w województwie warmińsko-mazurskim - czarną">
              <a:extLst xmlns:a="http://schemas.openxmlformats.org/drawingml/2006/main">
                <a:ext uri="{FF2B5EF4-FFF2-40B4-BE49-F238E27FC236}">
                  <a16:creationId xmlns:a16="http://schemas.microsoft.com/office/drawing/2014/main" id="{72F70F4C-A039-4A5A-A63F-1E9BC4FE920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r w:rsidRPr="00733091">
        <w:rPr>
          <w:lang w:val="pl-PL"/>
        </w:rPr>
        <w:t>Źródło: opracowanie własne na podstawie danych BDL</w:t>
      </w:r>
    </w:p>
    <w:p w14:paraId="6265510B" w14:textId="7B45E5F5" w:rsidR="003711E3" w:rsidRPr="00733091" w:rsidRDefault="007D776B" w:rsidP="002E24A9">
      <w:pPr>
        <w:pStyle w:val="Legenda"/>
        <w:rPr>
          <w:lang w:val="pl-PL"/>
        </w:rPr>
      </w:pPr>
      <w:bookmarkStart w:id="79" w:name="_Toc69723184"/>
      <w:r w:rsidRPr="00733091">
        <w:rPr>
          <w:lang w:val="pl-PL"/>
        </w:rPr>
        <w:t xml:space="preserve">Wykres </w:t>
      </w:r>
      <w:r w:rsidR="00733091">
        <w:fldChar w:fldCharType="begin"/>
      </w:r>
      <w:r w:rsidR="00733091" w:rsidRPr="00733091">
        <w:rPr>
          <w:lang w:val="pl-PL"/>
        </w:rPr>
        <w:instrText xml:space="preserve"> SEQ Wykres \* ARABIC </w:instrText>
      </w:r>
      <w:r w:rsidR="00733091">
        <w:fldChar w:fldCharType="separate"/>
      </w:r>
      <w:r w:rsidR="00B14787">
        <w:rPr>
          <w:noProof/>
          <w:lang w:val="pl-PL"/>
        </w:rPr>
        <w:t>26</w:t>
      </w:r>
      <w:r w:rsidR="00733091">
        <w:rPr>
          <w:noProof/>
        </w:rPr>
        <w:fldChar w:fldCharType="end"/>
      </w:r>
      <w:r w:rsidRPr="00733091">
        <w:rPr>
          <w:lang w:val="pl-PL"/>
        </w:rPr>
        <w:t xml:space="preserve">: </w:t>
      </w:r>
      <w:r w:rsidR="003711E3" w:rsidRPr="00733091">
        <w:rPr>
          <w:lang w:val="pl-PL"/>
        </w:rPr>
        <w:t>Liczba pielęgniarek i położnych (personel pracujący ogółem) na 10 tys. mieszkańców w latach 2010-2018</w:t>
      </w:r>
      <w:bookmarkEnd w:id="79"/>
    </w:p>
    <w:p w14:paraId="212F64C2" w14:textId="3E90B869" w:rsidR="0064234B" w:rsidRPr="0064234B" w:rsidRDefault="003711E3" w:rsidP="00DD0997">
      <w:pPr>
        <w:pStyle w:val="podpiselementu"/>
        <w:spacing w:after="240"/>
        <w:rPr>
          <w:lang w:val="pl-PL"/>
        </w:rPr>
      </w:pPr>
      <w:r w:rsidRPr="005769A9">
        <w:rPr>
          <w:rFonts w:cstheme="majorHAnsi"/>
          <w:noProof/>
          <w:highlight w:val="yellow"/>
          <w:lang w:eastAsia="pl-PL"/>
        </w:rPr>
        <w:drawing>
          <wp:inline distT="0" distB="0" distL="0" distR="0" wp14:anchorId="0C73EB3D" wp14:editId="2D707FF5">
            <wp:extent cx="5759450" cy="2446020"/>
            <wp:effectExtent l="0" t="0" r="12700" b="11430"/>
            <wp:docPr id="57" name="Wykres 57" descr="wykres liniowy wskazujący liczbę pielęgniarek i położnych (personel pracujący ogółem) na 10 tys. mieszkańców w latach 2010-2018 Liczba lekarzy w powiecie piskim zaznaczona jest linią żóltą, w powiecie działdowskim – pomarańczową, w powiecie nidzickim – szarą, w powiecie szczycieńskim – niebieską, w województwie warmińsko-mazurskim - czarną">
              <a:extLst xmlns:a="http://schemas.openxmlformats.org/drawingml/2006/main">
                <a:ext uri="{FF2B5EF4-FFF2-40B4-BE49-F238E27FC236}">
                  <a16:creationId xmlns:a16="http://schemas.microsoft.com/office/drawing/2014/main" id="{DA282489-B62B-46C7-A719-D206FE011FF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r w:rsidRPr="00733091">
        <w:rPr>
          <w:lang w:val="pl-PL"/>
        </w:rPr>
        <w:t>Źródło: opracowanie własne na podstawie danych BDL</w:t>
      </w:r>
    </w:p>
    <w:p w14:paraId="4B17F7B5" w14:textId="4F48F702" w:rsidR="004E378E" w:rsidRPr="004E378E" w:rsidRDefault="004E378E" w:rsidP="004E378E">
      <w:pPr>
        <w:rPr>
          <w:lang w:val="pl-PL"/>
        </w:rPr>
      </w:pPr>
      <w:r>
        <w:rPr>
          <w:noProof/>
          <w:sz w:val="18"/>
          <w:szCs w:val="18"/>
        </w:rPr>
        <mc:AlternateContent>
          <mc:Choice Requires="wps">
            <w:drawing>
              <wp:anchor distT="0" distB="0" distL="114300" distR="114300" simplePos="0" relativeHeight="251658256" behindDoc="0" locked="0" layoutInCell="1" allowOverlap="1" wp14:anchorId="62C2A2E4" wp14:editId="0546093F">
                <wp:simplePos x="0" y="0"/>
                <wp:positionH relativeFrom="margin">
                  <wp:align>left</wp:align>
                </wp:positionH>
                <wp:positionV relativeFrom="paragraph">
                  <wp:posOffset>10795</wp:posOffset>
                </wp:positionV>
                <wp:extent cx="5760720" cy="1699260"/>
                <wp:effectExtent l="0" t="0" r="11430" b="15240"/>
                <wp:wrapNone/>
                <wp:docPr id="148" name="Pole tekstowe 148"/>
                <wp:cNvGraphicFramePr/>
                <a:graphic xmlns:a="http://schemas.openxmlformats.org/drawingml/2006/main">
                  <a:graphicData uri="http://schemas.microsoft.com/office/word/2010/wordprocessingShape">
                    <wps:wsp>
                      <wps:cNvSpPr txBox="1"/>
                      <wps:spPr>
                        <a:xfrm>
                          <a:off x="0" y="0"/>
                          <a:ext cx="5760720" cy="1699260"/>
                        </a:xfrm>
                        <a:prstGeom prst="rect">
                          <a:avLst/>
                        </a:prstGeom>
                        <a:solidFill>
                          <a:schemeClr val="accent1">
                            <a:lumMod val="20000"/>
                            <a:lumOff val="80000"/>
                          </a:schemeClr>
                        </a:solidFill>
                        <a:ln w="6350">
                          <a:solidFill>
                            <a:schemeClr val="accent1"/>
                          </a:solidFill>
                        </a:ln>
                      </wps:spPr>
                      <wps:txbx>
                        <w:txbxContent>
                          <w:tbl>
                            <w:tblPr>
                              <w:tblW w:w="4981" w:type="pct"/>
                              <w:tblCellSpacing w:w="15" w:type="dxa"/>
                              <w:tblLayout w:type="fixed"/>
                              <w:tblCellMar>
                                <w:left w:w="0" w:type="dxa"/>
                                <w:right w:w="0" w:type="dxa"/>
                              </w:tblCellMar>
                              <w:tblLook w:val="04A0" w:firstRow="1" w:lastRow="0" w:firstColumn="1" w:lastColumn="0" w:noHBand="0" w:noVBand="1"/>
                            </w:tblPr>
                            <w:tblGrid>
                              <w:gridCol w:w="65"/>
                              <w:gridCol w:w="8691"/>
                            </w:tblGrid>
                            <w:tr w:rsidR="00B14787" w:rsidRPr="00176303" w14:paraId="26C57EF4" w14:textId="77777777" w:rsidTr="004E378E">
                              <w:trPr>
                                <w:tblCellSpacing w:w="15" w:type="dxa"/>
                              </w:trPr>
                              <w:tc>
                                <w:tcPr>
                                  <w:tcW w:w="20" w:type="dxa"/>
                                  <w:vAlign w:val="center"/>
                                  <w:hideMark/>
                                </w:tcPr>
                                <w:p w14:paraId="4FF7C822" w14:textId="77777777" w:rsidR="00B14787" w:rsidRPr="004E378E" w:rsidRDefault="00B14787" w:rsidP="003711E3">
                                  <w:pPr>
                                    <w:spacing w:after="0" w:line="240" w:lineRule="auto"/>
                                    <w:rPr>
                                      <w:rFonts w:ascii="Times New Roman" w:eastAsia="Times New Roman" w:hAnsi="Times New Roman" w:cs="Times New Roman"/>
                                      <w:szCs w:val="24"/>
                                      <w:lang w:eastAsia="pl-PL"/>
                                    </w:rPr>
                                  </w:pPr>
                                  <w:r w:rsidRPr="004E378E">
                                    <w:rPr>
                                      <w:rFonts w:ascii="Times New Roman" w:eastAsia="Times New Roman" w:hAnsi="Times New Roman" w:cs="Times New Roman"/>
                                      <w:szCs w:val="24"/>
                                      <w:lang w:eastAsia="pl-PL"/>
                                    </w:rPr>
                                    <w:t> </w:t>
                                  </w:r>
                                </w:p>
                              </w:tc>
                              <w:tc>
                                <w:tcPr>
                                  <w:tcW w:w="8646" w:type="dxa"/>
                                  <w:tcMar>
                                    <w:top w:w="0" w:type="dxa"/>
                                    <w:left w:w="45" w:type="dxa"/>
                                    <w:bottom w:w="0" w:type="dxa"/>
                                    <w:right w:w="45" w:type="dxa"/>
                                  </w:tcMar>
                                  <w:vAlign w:val="center"/>
                                  <w:hideMark/>
                                </w:tcPr>
                                <w:p w14:paraId="6FC5A6DA" w14:textId="77777777" w:rsidR="00B14787" w:rsidRPr="004E378E" w:rsidRDefault="00B14787" w:rsidP="00095FC2">
                                  <w:pPr>
                                    <w:spacing w:after="0" w:line="240" w:lineRule="auto"/>
                                    <w:ind w:left="0"/>
                                    <w:jc w:val="both"/>
                                    <w:rPr>
                                      <w:rFonts w:eastAsia="Times New Roman" w:cstheme="minorHAnsi"/>
                                      <w:szCs w:val="24"/>
                                      <w:lang w:val="pl-PL" w:eastAsia="pl-PL"/>
                                    </w:rPr>
                                  </w:pPr>
                                  <w:r w:rsidRPr="004E378E">
                                    <w:rPr>
                                      <w:rFonts w:eastAsia="Times New Roman" w:cstheme="minorHAnsi"/>
                                      <w:szCs w:val="24"/>
                                      <w:lang w:val="pl-PL" w:eastAsia="pl-PL"/>
                                    </w:rPr>
                                    <w:t xml:space="preserve">Oferta usług społecznych, w tym zdrowotnych jest postrzegana przez </w:t>
                                  </w:r>
                                  <w:r w:rsidRPr="004E378E">
                                    <w:rPr>
                                      <w:rFonts w:eastAsia="Times New Roman" w:cstheme="minorHAnsi"/>
                                      <w:b/>
                                      <w:bCs/>
                                      <w:szCs w:val="24"/>
                                      <w:lang w:val="pl-PL" w:eastAsia="pl-PL"/>
                                    </w:rPr>
                                    <w:t>62,06%</w:t>
                                  </w:r>
                                  <w:r w:rsidRPr="004E378E">
                                    <w:rPr>
                                      <w:rFonts w:eastAsia="Times New Roman" w:cstheme="minorHAnsi"/>
                                      <w:szCs w:val="24"/>
                                      <w:lang w:val="pl-PL" w:eastAsia="pl-PL"/>
                                    </w:rPr>
                                    <w:t xml:space="preserve"> ankietowanych mieszkańców obszaru Partnerstwa i przez </w:t>
                                  </w:r>
                                  <w:r w:rsidRPr="004E378E">
                                    <w:rPr>
                                      <w:rFonts w:eastAsia="Times New Roman" w:cstheme="minorHAnsi"/>
                                      <w:b/>
                                      <w:bCs/>
                                      <w:szCs w:val="24"/>
                                      <w:lang w:val="pl-PL" w:eastAsia="pl-PL"/>
                                    </w:rPr>
                                    <w:t>60,6%</w:t>
                                  </w:r>
                                  <w:r w:rsidRPr="004E378E">
                                    <w:rPr>
                                      <w:rFonts w:eastAsia="Times New Roman" w:cstheme="minorHAnsi"/>
                                      <w:szCs w:val="24"/>
                                      <w:lang w:val="pl-PL" w:eastAsia="pl-PL"/>
                                    </w:rPr>
                                    <w:t xml:space="preserve"> uczniów ostatnich klas szkół ponadpodstawowych jako słaba strona Południowych Mazur. </w:t>
                                  </w:r>
                                </w:p>
                                <w:p w14:paraId="0C9EE59F" w14:textId="77777777" w:rsidR="00B14787" w:rsidRPr="004E378E" w:rsidRDefault="00B14787" w:rsidP="00095FC2">
                                  <w:pPr>
                                    <w:spacing w:after="0" w:line="240" w:lineRule="auto"/>
                                    <w:ind w:left="0"/>
                                    <w:jc w:val="both"/>
                                    <w:rPr>
                                      <w:rFonts w:eastAsia="Times New Roman" w:cstheme="minorHAnsi"/>
                                      <w:szCs w:val="24"/>
                                      <w:lang w:val="pl-PL" w:eastAsia="pl-PL"/>
                                    </w:rPr>
                                  </w:pPr>
                                  <w:r w:rsidRPr="004E378E">
                                    <w:rPr>
                                      <w:rFonts w:eastAsia="Times New Roman" w:cstheme="minorHAnsi"/>
                                      <w:szCs w:val="24"/>
                                      <w:lang w:val="pl-PL" w:eastAsia="pl-PL"/>
                                    </w:rPr>
                                    <w:t xml:space="preserve">Ponadto </w:t>
                                  </w:r>
                                  <w:r w:rsidRPr="004E378E">
                                    <w:rPr>
                                      <w:rFonts w:eastAsia="Times New Roman" w:cstheme="minorHAnsi"/>
                                      <w:b/>
                                      <w:bCs/>
                                      <w:szCs w:val="24"/>
                                      <w:lang w:val="pl-PL" w:eastAsia="pl-PL"/>
                                    </w:rPr>
                                    <w:t>56,58%</w:t>
                                  </w:r>
                                  <w:r w:rsidRPr="004E378E">
                                    <w:rPr>
                                      <w:rFonts w:eastAsia="Times New Roman" w:cstheme="minorHAnsi"/>
                                      <w:szCs w:val="24"/>
                                      <w:lang w:val="pl-PL" w:eastAsia="pl-PL"/>
                                    </w:rPr>
                                    <w:t xml:space="preserve"> mieszkańców i </w:t>
                                  </w:r>
                                  <w:r w:rsidRPr="004E378E">
                                    <w:rPr>
                                      <w:rFonts w:eastAsia="Times New Roman" w:cstheme="minorHAnsi"/>
                                      <w:b/>
                                      <w:bCs/>
                                      <w:szCs w:val="24"/>
                                      <w:lang w:val="pl-PL" w:eastAsia="pl-PL"/>
                                    </w:rPr>
                                    <w:t>53,59%</w:t>
                                  </w:r>
                                  <w:r w:rsidRPr="004E378E">
                                    <w:rPr>
                                      <w:rFonts w:eastAsia="Times New Roman" w:cstheme="minorHAnsi"/>
                                      <w:szCs w:val="24"/>
                                      <w:lang w:val="pl-PL" w:eastAsia="pl-PL"/>
                                    </w:rPr>
                                    <w:t xml:space="preserve"> młodych respondentów twierdzi, że w pierwszej kolejności na obszarze Partnerstwa powinny zostać zrealizowane działania mające na celu poprawienie jakości i zwiększenie dostępności do opieki zdrowotnej (podstawowej i specjalistycznej).</w:t>
                                  </w:r>
                                </w:p>
                                <w:p w14:paraId="46DBB1F2" w14:textId="77777777" w:rsidR="00B14787" w:rsidRPr="004E378E" w:rsidRDefault="00B14787" w:rsidP="003711E3">
                                  <w:pPr>
                                    <w:spacing w:after="0" w:line="240" w:lineRule="auto"/>
                                    <w:rPr>
                                      <w:rFonts w:ascii="Times New Roman" w:eastAsia="Times New Roman" w:hAnsi="Times New Roman" w:cs="Times New Roman"/>
                                      <w:b/>
                                      <w:bCs/>
                                      <w:szCs w:val="24"/>
                                      <w:lang w:val="pl-PL" w:eastAsia="pl-PL"/>
                                    </w:rPr>
                                  </w:pPr>
                                </w:p>
                                <w:p w14:paraId="754658B1" w14:textId="77777777" w:rsidR="00B14787" w:rsidRPr="004E378E" w:rsidRDefault="00B14787" w:rsidP="003711E3">
                                  <w:pPr>
                                    <w:spacing w:after="0" w:line="240" w:lineRule="auto"/>
                                    <w:rPr>
                                      <w:rFonts w:ascii="Times New Roman" w:eastAsia="Times New Roman" w:hAnsi="Times New Roman" w:cs="Times New Roman"/>
                                      <w:szCs w:val="24"/>
                                      <w:lang w:val="pl-PL" w:eastAsia="pl-PL"/>
                                    </w:rPr>
                                  </w:pPr>
                                </w:p>
                              </w:tc>
                            </w:tr>
                          </w:tbl>
                          <w:p w14:paraId="01A42BD7" w14:textId="77777777" w:rsidR="00B14787" w:rsidRPr="00733091" w:rsidRDefault="00B14787" w:rsidP="003711E3">
                            <w:pPr>
                              <w:rPr>
                                <w:lang w:val="pl-P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C2A2E4" id="Pole tekstowe 148" o:spid="_x0000_s1037" type="#_x0000_t202" style="position:absolute;left:0;text-align:left;margin-left:0;margin-top:.85pt;width:453.6pt;height:133.8pt;z-index:2516582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" fillcolor="#d9e2f3 [660]" strokecolor="#4472c4 [3204]" strokeweight=".5pt">
                <v:textbox>
                  <w:txbxContent>
                    <w:tbl>
                      <w:tblPr>
                        <w:tblW w:w="4981" w:type="pct"/>
                        <w:tblCellSpacing w:w="15" w:type="dxa"/>
                        <w:tblLayout w:type="fixed"/>
                        <w:tblCellMar>
                          <w:left w:w="0" w:type="dxa"/>
                          <w:right w:w="0" w:type="dxa"/>
                        </w:tblCellMar>
                        <w:tblLook w:val="04A0" w:firstRow="1" w:lastRow="0" w:firstColumn="1" w:lastColumn="0" w:noHBand="0" w:noVBand="1"/>
                      </w:tblPr>
                      <w:tblGrid>
                        <w:gridCol w:w="65"/>
                        <w:gridCol w:w="8691"/>
                      </w:tblGrid>
                      <w:tr w:rsidR="00B14787" w:rsidRPr="00176303" w14:paraId="26C57EF4" w14:textId="77777777" w:rsidTr="004E378E">
                        <w:trPr>
                          <w:tblCellSpacing w:w="15" w:type="dxa"/>
                        </w:trPr>
                        <w:tc>
                          <w:tcPr>
                            <w:tcW w:w="20" w:type="dxa"/>
                            <w:vAlign w:val="center"/>
                            <w:hideMark/>
                          </w:tcPr>
                          <w:p w14:paraId="4FF7C822" w14:textId="77777777" w:rsidR="00B14787" w:rsidRPr="004E378E" w:rsidRDefault="00B14787" w:rsidP="003711E3">
                            <w:pPr>
                              <w:spacing w:after="0" w:line="240" w:lineRule="auto"/>
                              <w:rPr>
                                <w:rFonts w:ascii="Times New Roman" w:eastAsia="Times New Roman" w:hAnsi="Times New Roman" w:cs="Times New Roman"/>
                                <w:szCs w:val="24"/>
                                <w:lang w:eastAsia="pl-PL"/>
                              </w:rPr>
                            </w:pPr>
                            <w:r w:rsidRPr="004E378E">
                              <w:rPr>
                                <w:rFonts w:ascii="Times New Roman" w:eastAsia="Times New Roman" w:hAnsi="Times New Roman" w:cs="Times New Roman"/>
                                <w:szCs w:val="24"/>
                                <w:lang w:eastAsia="pl-PL"/>
                              </w:rPr>
                              <w:t> </w:t>
                            </w:r>
                          </w:p>
                        </w:tc>
                        <w:tc>
                          <w:tcPr>
                            <w:tcW w:w="8646" w:type="dxa"/>
                            <w:tcMar>
                              <w:top w:w="0" w:type="dxa"/>
                              <w:left w:w="45" w:type="dxa"/>
                              <w:bottom w:w="0" w:type="dxa"/>
                              <w:right w:w="45" w:type="dxa"/>
                            </w:tcMar>
                            <w:vAlign w:val="center"/>
                            <w:hideMark/>
                          </w:tcPr>
                          <w:p w14:paraId="6FC5A6DA" w14:textId="77777777" w:rsidR="00B14787" w:rsidRPr="004E378E" w:rsidRDefault="00B14787" w:rsidP="00095FC2">
                            <w:pPr>
                              <w:spacing w:after="0" w:line="240" w:lineRule="auto"/>
                              <w:ind w:left="0"/>
                              <w:jc w:val="both"/>
                              <w:rPr>
                                <w:rFonts w:eastAsia="Times New Roman" w:cstheme="minorHAnsi"/>
                                <w:szCs w:val="24"/>
                                <w:lang w:val="pl-PL" w:eastAsia="pl-PL"/>
                              </w:rPr>
                            </w:pPr>
                            <w:r w:rsidRPr="004E378E">
                              <w:rPr>
                                <w:rFonts w:eastAsia="Times New Roman" w:cstheme="minorHAnsi"/>
                                <w:szCs w:val="24"/>
                                <w:lang w:val="pl-PL" w:eastAsia="pl-PL"/>
                              </w:rPr>
                              <w:t xml:space="preserve">Oferta usług społecznych, w tym zdrowotnych jest postrzegana przez </w:t>
                            </w:r>
                            <w:r w:rsidRPr="004E378E">
                              <w:rPr>
                                <w:rFonts w:eastAsia="Times New Roman" w:cstheme="minorHAnsi"/>
                                <w:b/>
                                <w:bCs/>
                                <w:szCs w:val="24"/>
                                <w:lang w:val="pl-PL" w:eastAsia="pl-PL"/>
                              </w:rPr>
                              <w:t>62,06%</w:t>
                            </w:r>
                            <w:r w:rsidRPr="004E378E">
                              <w:rPr>
                                <w:rFonts w:eastAsia="Times New Roman" w:cstheme="minorHAnsi"/>
                                <w:szCs w:val="24"/>
                                <w:lang w:val="pl-PL" w:eastAsia="pl-PL"/>
                              </w:rPr>
                              <w:t xml:space="preserve"> ankietowanych mieszkańców obszaru Partnerstwa i przez </w:t>
                            </w:r>
                            <w:r w:rsidRPr="004E378E">
                              <w:rPr>
                                <w:rFonts w:eastAsia="Times New Roman" w:cstheme="minorHAnsi"/>
                                <w:b/>
                                <w:bCs/>
                                <w:szCs w:val="24"/>
                                <w:lang w:val="pl-PL" w:eastAsia="pl-PL"/>
                              </w:rPr>
                              <w:t>60,6%</w:t>
                            </w:r>
                            <w:r w:rsidRPr="004E378E">
                              <w:rPr>
                                <w:rFonts w:eastAsia="Times New Roman" w:cstheme="minorHAnsi"/>
                                <w:szCs w:val="24"/>
                                <w:lang w:val="pl-PL" w:eastAsia="pl-PL"/>
                              </w:rPr>
                              <w:t xml:space="preserve"> uczniów ostatnich klas szkół ponadpodstawowych jako słaba strona Południowych Mazur. </w:t>
                            </w:r>
                          </w:p>
                          <w:p w14:paraId="0C9EE59F" w14:textId="77777777" w:rsidR="00B14787" w:rsidRPr="004E378E" w:rsidRDefault="00B14787" w:rsidP="00095FC2">
                            <w:pPr>
                              <w:spacing w:after="0" w:line="240" w:lineRule="auto"/>
                              <w:ind w:left="0"/>
                              <w:jc w:val="both"/>
                              <w:rPr>
                                <w:rFonts w:eastAsia="Times New Roman" w:cstheme="minorHAnsi"/>
                                <w:szCs w:val="24"/>
                                <w:lang w:val="pl-PL" w:eastAsia="pl-PL"/>
                              </w:rPr>
                            </w:pPr>
                            <w:r w:rsidRPr="004E378E">
                              <w:rPr>
                                <w:rFonts w:eastAsia="Times New Roman" w:cstheme="minorHAnsi"/>
                                <w:szCs w:val="24"/>
                                <w:lang w:val="pl-PL" w:eastAsia="pl-PL"/>
                              </w:rPr>
                              <w:t xml:space="preserve">Ponadto </w:t>
                            </w:r>
                            <w:r w:rsidRPr="004E378E">
                              <w:rPr>
                                <w:rFonts w:eastAsia="Times New Roman" w:cstheme="minorHAnsi"/>
                                <w:b/>
                                <w:bCs/>
                                <w:szCs w:val="24"/>
                                <w:lang w:val="pl-PL" w:eastAsia="pl-PL"/>
                              </w:rPr>
                              <w:t>56,58%</w:t>
                            </w:r>
                            <w:r w:rsidRPr="004E378E">
                              <w:rPr>
                                <w:rFonts w:eastAsia="Times New Roman" w:cstheme="minorHAnsi"/>
                                <w:szCs w:val="24"/>
                                <w:lang w:val="pl-PL" w:eastAsia="pl-PL"/>
                              </w:rPr>
                              <w:t xml:space="preserve"> mieszkańców i </w:t>
                            </w:r>
                            <w:r w:rsidRPr="004E378E">
                              <w:rPr>
                                <w:rFonts w:eastAsia="Times New Roman" w:cstheme="minorHAnsi"/>
                                <w:b/>
                                <w:bCs/>
                                <w:szCs w:val="24"/>
                                <w:lang w:val="pl-PL" w:eastAsia="pl-PL"/>
                              </w:rPr>
                              <w:t>53,59%</w:t>
                            </w:r>
                            <w:r w:rsidRPr="004E378E">
                              <w:rPr>
                                <w:rFonts w:eastAsia="Times New Roman" w:cstheme="minorHAnsi"/>
                                <w:szCs w:val="24"/>
                                <w:lang w:val="pl-PL" w:eastAsia="pl-PL"/>
                              </w:rPr>
                              <w:t xml:space="preserve"> młodych respondentów twierdzi, że w pierwszej kolejności na obszarze Partnerstwa powinny zostać zrealizowane działania mające na celu poprawienie jakości i zwiększenie dostępności do opieki zdrowotnej (podstawowej i specjalistycznej).</w:t>
                            </w:r>
                          </w:p>
                          <w:p w14:paraId="46DBB1F2" w14:textId="77777777" w:rsidR="00B14787" w:rsidRPr="004E378E" w:rsidRDefault="00B14787" w:rsidP="003711E3">
                            <w:pPr>
                              <w:spacing w:after="0" w:line="240" w:lineRule="auto"/>
                              <w:rPr>
                                <w:rFonts w:ascii="Times New Roman" w:eastAsia="Times New Roman" w:hAnsi="Times New Roman" w:cs="Times New Roman"/>
                                <w:b/>
                                <w:bCs/>
                                <w:szCs w:val="24"/>
                                <w:lang w:val="pl-PL" w:eastAsia="pl-PL"/>
                              </w:rPr>
                            </w:pPr>
                          </w:p>
                          <w:p w14:paraId="754658B1" w14:textId="77777777" w:rsidR="00B14787" w:rsidRPr="004E378E" w:rsidRDefault="00B14787" w:rsidP="003711E3">
                            <w:pPr>
                              <w:spacing w:after="0" w:line="240" w:lineRule="auto"/>
                              <w:rPr>
                                <w:rFonts w:ascii="Times New Roman" w:eastAsia="Times New Roman" w:hAnsi="Times New Roman" w:cs="Times New Roman"/>
                                <w:szCs w:val="24"/>
                                <w:lang w:val="pl-PL" w:eastAsia="pl-PL"/>
                              </w:rPr>
                            </w:pPr>
                          </w:p>
                        </w:tc>
                      </w:tr>
                    </w:tbl>
                    <w:p w14:paraId="01A42BD7" w14:textId="77777777" w:rsidR="00B14787" w:rsidRPr="00733091" w:rsidRDefault="00B14787" w:rsidP="003711E3">
                      <w:pPr>
                        <w:rPr>
                          <w:lang w:val="pl-PL"/>
                        </w:rPr>
                      </w:pPr>
                    </w:p>
                  </w:txbxContent>
                </v:textbox>
                <w10:wrap anchorx="margin"/>
              </v:shape>
            </w:pict>
          </mc:Fallback>
        </mc:AlternateContent>
      </w:r>
    </w:p>
    <w:p w14:paraId="6C5D6C47" w14:textId="1F5D09AD" w:rsidR="003711E3" w:rsidRPr="00733091" w:rsidRDefault="003711E3" w:rsidP="00733091">
      <w:pPr>
        <w:contextualSpacing/>
        <w:rPr>
          <w:sz w:val="18"/>
          <w:szCs w:val="18"/>
          <w:lang w:val="pl-PL"/>
        </w:rPr>
      </w:pPr>
    </w:p>
    <w:p w14:paraId="570FC0E6" w14:textId="77777777" w:rsidR="003711E3" w:rsidRPr="00733091" w:rsidRDefault="003711E3" w:rsidP="00733091">
      <w:pPr>
        <w:contextualSpacing/>
        <w:rPr>
          <w:sz w:val="18"/>
          <w:szCs w:val="18"/>
          <w:lang w:val="pl-PL"/>
        </w:rPr>
      </w:pPr>
    </w:p>
    <w:p w14:paraId="126820FB" w14:textId="77777777" w:rsidR="003711E3" w:rsidRPr="00733091" w:rsidRDefault="003711E3" w:rsidP="00733091">
      <w:pPr>
        <w:contextualSpacing/>
        <w:rPr>
          <w:sz w:val="18"/>
          <w:szCs w:val="18"/>
          <w:lang w:val="pl-PL"/>
        </w:rPr>
      </w:pPr>
    </w:p>
    <w:p w14:paraId="5B269FD2" w14:textId="77777777" w:rsidR="00651D92" w:rsidRPr="00733091" w:rsidRDefault="00651D92" w:rsidP="00733091">
      <w:pPr>
        <w:contextualSpacing/>
        <w:rPr>
          <w:sz w:val="18"/>
          <w:szCs w:val="18"/>
          <w:lang w:val="pl-PL"/>
        </w:rPr>
      </w:pPr>
    </w:p>
    <w:p w14:paraId="4427437F" w14:textId="77777777" w:rsidR="00651D92" w:rsidRPr="00733091" w:rsidRDefault="00651D92" w:rsidP="00733091">
      <w:pPr>
        <w:contextualSpacing/>
        <w:rPr>
          <w:sz w:val="18"/>
          <w:szCs w:val="18"/>
          <w:lang w:val="pl-PL"/>
        </w:rPr>
      </w:pPr>
    </w:p>
    <w:p w14:paraId="2D9A1EF1" w14:textId="77777777" w:rsidR="00651D92" w:rsidRPr="00733091" w:rsidRDefault="00651D92" w:rsidP="00733091">
      <w:pPr>
        <w:contextualSpacing/>
        <w:rPr>
          <w:sz w:val="18"/>
          <w:szCs w:val="18"/>
          <w:lang w:val="pl-PL"/>
        </w:rPr>
      </w:pPr>
    </w:p>
    <w:p w14:paraId="36FC6AEB" w14:textId="77777777" w:rsidR="00651D92" w:rsidRPr="00733091" w:rsidRDefault="00651D92" w:rsidP="00733091">
      <w:pPr>
        <w:contextualSpacing/>
        <w:rPr>
          <w:sz w:val="18"/>
          <w:szCs w:val="18"/>
          <w:lang w:val="pl-PL"/>
        </w:rPr>
      </w:pPr>
    </w:p>
    <w:p w14:paraId="37D06F54" w14:textId="77777777" w:rsidR="00651D92" w:rsidRPr="00733091" w:rsidRDefault="00651D92" w:rsidP="00733091">
      <w:pPr>
        <w:contextualSpacing/>
        <w:rPr>
          <w:sz w:val="18"/>
          <w:szCs w:val="18"/>
          <w:lang w:val="pl-PL"/>
        </w:rPr>
      </w:pPr>
    </w:p>
    <w:p w14:paraId="3E3F1AFE" w14:textId="77777777" w:rsidR="00651D92" w:rsidRPr="00733091" w:rsidRDefault="00651D92" w:rsidP="00733091">
      <w:pPr>
        <w:contextualSpacing/>
        <w:rPr>
          <w:sz w:val="18"/>
          <w:szCs w:val="18"/>
          <w:lang w:val="pl-PL"/>
        </w:rPr>
      </w:pPr>
    </w:p>
    <w:p w14:paraId="3FC60677" w14:textId="57460473" w:rsidR="003711E3" w:rsidRPr="005B63BD" w:rsidRDefault="003711E3" w:rsidP="00733091">
      <w:pPr>
        <w:contextualSpacing/>
        <w:rPr>
          <w:sz w:val="18"/>
          <w:szCs w:val="18"/>
          <w:lang w:val="pl-PL"/>
        </w:rPr>
      </w:pPr>
    </w:p>
    <w:p w14:paraId="080452FF" w14:textId="75D75275" w:rsidR="00284D34" w:rsidRPr="00690E7F" w:rsidRDefault="00232719" w:rsidP="00733091">
      <w:pPr>
        <w:pStyle w:val="Nagwek4"/>
        <w:spacing w:before="120" w:after="240"/>
      </w:pPr>
      <w:r>
        <w:t>B</w:t>
      </w:r>
      <w:r w:rsidRPr="00232719">
        <w:t>ezpieczeństwo publiczne i osobiste</w:t>
      </w:r>
    </w:p>
    <w:p w14:paraId="0B0A6B57" w14:textId="063F8E4C" w:rsidR="00651D92" w:rsidRPr="00733091" w:rsidRDefault="00651D92" w:rsidP="004E378E">
      <w:pPr>
        <w:rPr>
          <w:lang w:val="pl-PL"/>
        </w:rPr>
      </w:pPr>
      <w:r w:rsidRPr="00733091">
        <w:rPr>
          <w:lang w:val="pl-PL"/>
        </w:rPr>
        <w:t>Oprócz bezpieczeństwa zdrowotnego dla jakości życia mieszkańców ważne jest bezpieczeństwo publiczne oraz bezpieczeństwo osobiste mieszkańców dotyczące ich życia, zdrowia i majątku.</w:t>
      </w:r>
    </w:p>
    <w:p w14:paraId="0ED8A7D1" w14:textId="41A50442" w:rsidR="00651D92" w:rsidRPr="00AE4C8C" w:rsidRDefault="00651D92" w:rsidP="00745CDB">
      <w:pPr>
        <w:rPr>
          <w:shd w:val="clear" w:color="auto" w:fill="FFFFFF"/>
          <w:lang w:val="pl-PL"/>
        </w:rPr>
      </w:pPr>
      <w:r w:rsidRPr="00733091">
        <w:rPr>
          <w:shd w:val="clear" w:color="auto" w:fill="FFFFFF"/>
          <w:lang w:val="pl-PL"/>
        </w:rPr>
        <w:t>W 2019 r. na obszarze Południowych Mazur stwierdzono łącznie 4.197 przestępstw, co oznacza</w:t>
      </w:r>
      <w:r w:rsidR="004E378E">
        <w:rPr>
          <w:shd w:val="clear" w:color="auto" w:fill="FFFFFF"/>
          <w:lang w:val="pl-PL"/>
        </w:rPr>
        <w:t>,</w:t>
      </w:r>
      <w:r w:rsidRPr="00733091">
        <w:rPr>
          <w:shd w:val="clear" w:color="auto" w:fill="FFFFFF"/>
          <w:lang w:val="pl-PL"/>
        </w:rPr>
        <w:t xml:space="preserve"> że na 1000 </w:t>
      </w:r>
      <w:r w:rsidRPr="00C53E08">
        <w:rPr>
          <w:shd w:val="clear" w:color="auto" w:fill="FFFFFF"/>
          <w:lang w:val="pl-PL"/>
        </w:rPr>
        <w:t>mieszkańców Partnerstwa odnotowano 19,1 przestępstw. Jest to wartość wyższa od wartości dla województwa warmińsko-mazurskiego (18,12) oraz niższa od średniej dla Polski (20,75).</w:t>
      </w:r>
      <w:r w:rsidRPr="00733091">
        <w:rPr>
          <w:shd w:val="clear" w:color="auto" w:fill="FFFFFF"/>
          <w:lang w:val="pl-PL"/>
        </w:rPr>
        <w:t xml:space="preserve"> Wskaźnik wykrywalności sprawców przestępstw dla wszystkich przestępstw ogółem na obszarze Partnerstwa wyniósł 77,25% i był wyższy do wskaźnika wykrywalności dla województwa warmińsko-mazurskiego (76%) oraz dla kraju (73%).</w:t>
      </w:r>
      <w:r w:rsidR="00745CDB">
        <w:rPr>
          <w:shd w:val="clear" w:color="auto" w:fill="FFFFFF"/>
          <w:lang w:val="pl-PL"/>
        </w:rPr>
        <w:t xml:space="preserve"> </w:t>
      </w:r>
      <w:r w:rsidRPr="00733091">
        <w:rPr>
          <w:shd w:val="clear" w:color="auto" w:fill="FFFFFF"/>
          <w:lang w:val="pl-PL"/>
        </w:rPr>
        <w:t>W przeliczeniu na 1000 mieszkańców Południowych Mazur najwięcej stwierdzono przestępstw o charakterze kryminalnym – 12,70 (wykrywalność 71,25%) oraz przeciwko mieniu – 8,16 (wykrywalność 59,5%). W dalszej kolejności odnotowano przestępstwa o charakterze gospodarczym – 3,04 (79,75%), drogowe – 2,46 (97,75%) oraz przeciwko życiu i zdrowiu - 0,51 (94,75%).</w:t>
      </w:r>
    </w:p>
    <w:p w14:paraId="28AABDAA" w14:textId="64DED6F9" w:rsidR="00651D92" w:rsidRPr="00733091" w:rsidRDefault="00651D92" w:rsidP="00733091">
      <w:pPr>
        <w:rPr>
          <w:b/>
          <w:bCs/>
          <w:lang w:val="pl-PL"/>
        </w:rPr>
      </w:pPr>
      <w:r w:rsidRPr="00733091">
        <w:rPr>
          <w:lang w:val="pl-PL"/>
        </w:rPr>
        <w:t xml:space="preserve">Odnotowane w 2019 r. wskaźniki przestępczości są najniższe w badanym okresie (lata 2015-2019) i spadły w stosunku do roku bazowego o 46,68% w przypadku przestępstw drogowych, 33,98% w przypadku przestępstw przeciwko mieniu </w:t>
      </w:r>
      <w:r w:rsidR="004E378E">
        <w:rPr>
          <w:lang w:val="pl-PL"/>
        </w:rPr>
        <w:br/>
      </w:r>
      <w:r w:rsidRPr="00733091">
        <w:rPr>
          <w:lang w:val="pl-PL"/>
        </w:rPr>
        <w:t xml:space="preserve">i o 44,91% w przypadku przestępstw przeciwko życiu i zdrowiu.  Spadające od </w:t>
      </w:r>
      <w:r w:rsidR="009B403E">
        <w:rPr>
          <w:lang w:val="pl-PL"/>
        </w:rPr>
        <w:br/>
      </w:r>
      <w:r w:rsidRPr="00733091">
        <w:rPr>
          <w:lang w:val="pl-PL"/>
        </w:rPr>
        <w:t xml:space="preserve">2015 r. wskaźniki przestępczości </w:t>
      </w:r>
      <w:r w:rsidRPr="00733091">
        <w:rPr>
          <w:b/>
          <w:bCs/>
          <w:lang w:val="pl-PL"/>
        </w:rPr>
        <w:t>oznaczają poprawę poziomu bezpieczeństwa osobistego i publicznego na obszarze Partnerstwa.</w:t>
      </w:r>
    </w:p>
    <w:p w14:paraId="393AFA33" w14:textId="1F422B5A" w:rsidR="00651D92" w:rsidRPr="00733091" w:rsidRDefault="007D776B" w:rsidP="002E24A9">
      <w:pPr>
        <w:pStyle w:val="Legenda"/>
        <w:rPr>
          <w:rFonts w:cstheme="minorHAnsi"/>
          <w:color w:val="333333"/>
          <w:lang w:val="pl-PL"/>
        </w:rPr>
      </w:pPr>
      <w:bookmarkStart w:id="80" w:name="_Toc69723185"/>
      <w:r w:rsidRPr="00733091">
        <w:rPr>
          <w:lang w:val="pl-PL"/>
        </w:rPr>
        <w:t xml:space="preserve">Wykres </w:t>
      </w:r>
      <w:r w:rsidR="00733091">
        <w:fldChar w:fldCharType="begin"/>
      </w:r>
      <w:r w:rsidR="00733091" w:rsidRPr="00733091">
        <w:rPr>
          <w:lang w:val="pl-PL"/>
        </w:rPr>
        <w:instrText xml:space="preserve"> SEQ Wykres \* ARABIC </w:instrText>
      </w:r>
      <w:r w:rsidR="00733091">
        <w:fldChar w:fldCharType="separate"/>
      </w:r>
      <w:r w:rsidR="00B14787">
        <w:rPr>
          <w:noProof/>
          <w:lang w:val="pl-PL"/>
        </w:rPr>
        <w:t>27</w:t>
      </w:r>
      <w:r w:rsidR="00733091">
        <w:rPr>
          <w:noProof/>
        </w:rPr>
        <w:fldChar w:fldCharType="end"/>
      </w:r>
      <w:r w:rsidRPr="00733091">
        <w:rPr>
          <w:lang w:val="pl-PL"/>
        </w:rPr>
        <w:t xml:space="preserve">: </w:t>
      </w:r>
      <w:r w:rsidR="00651D92" w:rsidRPr="00733091">
        <w:rPr>
          <w:lang w:val="pl-PL"/>
        </w:rPr>
        <w:t>Poziom bezpieczeństwa na terenie Południowych Mazur w latach 2015-2019</w:t>
      </w:r>
      <w:bookmarkEnd w:id="80"/>
    </w:p>
    <w:p w14:paraId="7E3CAC19" w14:textId="194E6944" w:rsidR="00651D92" w:rsidRPr="00745CDB" w:rsidRDefault="00651D92" w:rsidP="004E378E">
      <w:pPr>
        <w:pStyle w:val="podpiselementu"/>
        <w:spacing w:after="240"/>
        <w:rPr>
          <w:rFonts w:cstheme="minorHAnsi"/>
          <w:color w:val="333333"/>
          <w:lang w:val="pl-PL"/>
        </w:rPr>
      </w:pPr>
      <w:r>
        <w:rPr>
          <w:noProof/>
        </w:rPr>
        <w:drawing>
          <wp:inline distT="0" distB="0" distL="0" distR="0" wp14:anchorId="198DC92E" wp14:editId="67295076">
            <wp:extent cx="5758180" cy="2528515"/>
            <wp:effectExtent l="0" t="0" r="13970" b="5715"/>
            <wp:docPr id="105" name="Wykres 105" descr="wykres liniowy wskazujący na liczbę przestępstw na terenie Południowych Mazur w latach 2015-2019. Kolorem niebieskim oznaczone są przestępstwa przeciwko bepieczeństwu powszechnemu i bezpieczeństwu w komunikacji – drogowe, pomarańczowym – przestępstwa stwierdzone przez policję w zakończonych postępowaniach przygotowawczych przeciwko mieniu, szarym - przestępstwa stwierdzone przez policję w zakończonych postępowaniach przygotowawczych przeciwko życiu i zdrowiu">
              <a:extLst xmlns:a="http://schemas.openxmlformats.org/drawingml/2006/main">
                <a:ext uri="{FF2B5EF4-FFF2-40B4-BE49-F238E27FC236}">
                  <a16:creationId xmlns:a16="http://schemas.microsoft.com/office/drawing/2014/main" id="{739182D0-9ADD-439C-A222-084031CE201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r w:rsidRPr="00733091">
        <w:rPr>
          <w:lang w:val="pl-PL"/>
        </w:rPr>
        <w:t xml:space="preserve">Źródło: opracowanie własne na podstawie </w:t>
      </w:r>
      <w:hyperlink r:id="rId85" w:history="1">
        <w:r w:rsidRPr="00733091">
          <w:rPr>
            <w:rStyle w:val="Hipercze"/>
            <w:color w:val="auto"/>
            <w:u w:val="none"/>
            <w:lang w:val="pl-PL"/>
          </w:rPr>
          <w:t>https://analizy.monitorrozwoju.pl</w:t>
        </w:r>
      </w:hyperlink>
    </w:p>
    <w:p w14:paraId="78A32ACC" w14:textId="77777777" w:rsidR="00651D92" w:rsidRPr="00733091" w:rsidRDefault="00651D92" w:rsidP="00733091">
      <w:pPr>
        <w:contextualSpacing/>
        <w:rPr>
          <w:rFonts w:cstheme="minorHAnsi"/>
          <w:color w:val="44546A" w:themeColor="text2"/>
          <w:sz w:val="18"/>
          <w:szCs w:val="18"/>
          <w:lang w:val="pl-PL"/>
        </w:rPr>
      </w:pPr>
      <w:r>
        <w:rPr>
          <w:rFonts w:cstheme="minorHAnsi"/>
          <w:noProof/>
          <w:color w:val="44546A" w:themeColor="text2"/>
          <w:sz w:val="18"/>
          <w:szCs w:val="18"/>
        </w:rPr>
        <w:lastRenderedPageBreak/>
        <mc:AlternateContent>
          <mc:Choice Requires="wps">
            <w:drawing>
              <wp:anchor distT="0" distB="0" distL="114300" distR="114300" simplePos="0" relativeHeight="251658257" behindDoc="0" locked="0" layoutInCell="1" allowOverlap="1" wp14:anchorId="12B2DB7C" wp14:editId="034F00E0">
                <wp:simplePos x="0" y="0"/>
                <wp:positionH relativeFrom="margin">
                  <wp:align>left</wp:align>
                </wp:positionH>
                <wp:positionV relativeFrom="paragraph">
                  <wp:posOffset>5715</wp:posOffset>
                </wp:positionV>
                <wp:extent cx="5798820" cy="718820"/>
                <wp:effectExtent l="0" t="0" r="11430" b="24130"/>
                <wp:wrapNone/>
                <wp:docPr id="122" name="Pole tekstowe 122"/>
                <wp:cNvGraphicFramePr/>
                <a:graphic xmlns:a="http://schemas.openxmlformats.org/drawingml/2006/main">
                  <a:graphicData uri="http://schemas.microsoft.com/office/word/2010/wordprocessingShape">
                    <wps:wsp>
                      <wps:cNvSpPr txBox="1"/>
                      <wps:spPr>
                        <a:xfrm>
                          <a:off x="0" y="0"/>
                          <a:ext cx="5798820" cy="718820"/>
                        </a:xfrm>
                        <a:prstGeom prst="rect">
                          <a:avLst/>
                        </a:prstGeom>
                        <a:solidFill>
                          <a:schemeClr val="accent1">
                            <a:lumMod val="20000"/>
                            <a:lumOff val="80000"/>
                          </a:schemeClr>
                        </a:solidFill>
                        <a:ln w="6350">
                          <a:solidFill>
                            <a:schemeClr val="accent1"/>
                          </a:solidFill>
                        </a:ln>
                      </wps:spPr>
                      <wps:txbx>
                        <w:txbxContent>
                          <w:p w14:paraId="608AE7C7" w14:textId="77777777" w:rsidR="00B14787" w:rsidRPr="004E378E" w:rsidRDefault="00B14787" w:rsidP="004E378E">
                            <w:pPr>
                              <w:ind w:left="142"/>
                              <w:jc w:val="both"/>
                              <w:rPr>
                                <w:szCs w:val="24"/>
                                <w:lang w:val="pl-PL"/>
                              </w:rPr>
                            </w:pPr>
                            <w:r w:rsidRPr="004E378E">
                              <w:rPr>
                                <w:szCs w:val="24"/>
                                <w:lang w:val="pl-PL"/>
                              </w:rPr>
                              <w:t xml:space="preserve">Bezpieczeństwo mieszkańców jest silną stroną Partnerstwa według </w:t>
                            </w:r>
                            <w:r w:rsidRPr="004E378E">
                              <w:rPr>
                                <w:b/>
                                <w:bCs/>
                                <w:szCs w:val="24"/>
                                <w:lang w:val="pl-PL"/>
                              </w:rPr>
                              <w:t>51,63%</w:t>
                            </w:r>
                            <w:r w:rsidRPr="004E378E">
                              <w:rPr>
                                <w:szCs w:val="24"/>
                                <w:lang w:val="pl-PL"/>
                              </w:rPr>
                              <w:t xml:space="preserve"> respondentów biorących udział w badaniu.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B2DB7C" id="Pole tekstowe 122" o:spid="_x0000_s1038" type="#_x0000_t202" style="position:absolute;left:0;text-align:left;margin-left:0;margin-top:.45pt;width:456.6pt;height:56.6pt;z-index:251658257;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" fillcolor="#d9e2f3 [660]" strokecolor="#4472c4 [3204]" strokeweight=".5pt">
                <v:textbox>
                  <w:txbxContent>
                    <w:p w14:paraId="608AE7C7" w14:textId="77777777" w:rsidR="00B14787" w:rsidRPr="004E378E" w:rsidRDefault="00B14787" w:rsidP="004E378E">
                      <w:pPr>
                        <w:ind w:left="142"/>
                        <w:jc w:val="both"/>
                        <w:rPr>
                          <w:szCs w:val="24"/>
                          <w:lang w:val="pl-PL"/>
                        </w:rPr>
                      </w:pPr>
                      <w:r w:rsidRPr="004E378E">
                        <w:rPr>
                          <w:szCs w:val="24"/>
                          <w:lang w:val="pl-PL"/>
                        </w:rPr>
                        <w:t xml:space="preserve">Bezpieczeństwo mieszkańców jest silną stroną Partnerstwa według </w:t>
                      </w:r>
                      <w:r w:rsidRPr="004E378E">
                        <w:rPr>
                          <w:b/>
                          <w:bCs/>
                          <w:szCs w:val="24"/>
                          <w:lang w:val="pl-PL"/>
                        </w:rPr>
                        <w:t>51,63%</w:t>
                      </w:r>
                      <w:r w:rsidRPr="004E378E">
                        <w:rPr>
                          <w:szCs w:val="24"/>
                          <w:lang w:val="pl-PL"/>
                        </w:rPr>
                        <w:t xml:space="preserve"> respondentów biorących udział w badaniu. </w:t>
                      </w:r>
                    </w:p>
                  </w:txbxContent>
                </v:textbox>
                <w10:wrap anchorx="margin"/>
              </v:shape>
            </w:pict>
          </mc:Fallback>
        </mc:AlternateContent>
      </w:r>
    </w:p>
    <w:p w14:paraId="26ADCDB8" w14:textId="77777777" w:rsidR="00651D92" w:rsidRDefault="00651D92" w:rsidP="00733091">
      <w:pPr>
        <w:contextualSpacing/>
        <w:rPr>
          <w:rFonts w:cstheme="minorHAnsi"/>
          <w:color w:val="44546A" w:themeColor="text2"/>
          <w:sz w:val="18"/>
          <w:szCs w:val="18"/>
        </w:rPr>
      </w:pPr>
      <w:r>
        <w:rPr>
          <w:rFonts w:cstheme="minorHAnsi"/>
          <w:noProof/>
          <w:color w:val="001133"/>
          <w:shd w:val="clear" w:color="auto" w:fill="FFFFFF"/>
        </w:rPr>
        <w:drawing>
          <wp:inline distT="0" distB="0" distL="0" distR="0" wp14:anchorId="3CC05985" wp14:editId="3A37198F">
            <wp:extent cx="365760" cy="365760"/>
            <wp:effectExtent l="0" t="0" r="0" b="0"/>
            <wp:docPr id="121" name="Grafika 121" descr="Lista kontrolna (od prawej do lew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a 14" descr="Lista kontrolna (od prawej do lewej)"/>
                    <pic:cNvPicPr/>
                  </pic:nvPicPr>
                  <pic:blipFill>
                    <a:blip r:embed="rId35" cstate="print">
                      <a:extLst>
                        <a:ext uri="{28A0092B-C50C-407E-A947-70E740481C1C}">
                          <a14:useLocalDpi xmlns:a14="http://schemas.microsoft.com/office/drawing/2010/main" val="0"/>
                        </a:ext>
                        <a:ext uri="{96DAC541-7B7A-43D3-8B79-37D633B846F1}">
                          <asvg:svgBlip xmlns:asvg="http://schemas.microsoft.com/office/drawing/2016/SVG/main" r:embed="rId36"/>
                        </a:ext>
                      </a:extLst>
                    </a:blip>
                    <a:stretch>
                      <a:fillRect/>
                    </a:stretch>
                  </pic:blipFill>
                  <pic:spPr>
                    <a:xfrm>
                      <a:off x="0" y="0"/>
                      <a:ext cx="365760" cy="365760"/>
                    </a:xfrm>
                    <a:prstGeom prst="rect">
                      <a:avLst/>
                    </a:prstGeom>
                  </pic:spPr>
                </pic:pic>
              </a:graphicData>
            </a:graphic>
          </wp:inline>
        </w:drawing>
      </w:r>
    </w:p>
    <w:p w14:paraId="74B9DE30" w14:textId="5622ECE2" w:rsidR="00651D92" w:rsidRDefault="00651D92" w:rsidP="00733091">
      <w:pPr>
        <w:contextualSpacing/>
        <w:rPr>
          <w:rFonts w:cstheme="minorHAnsi"/>
          <w:color w:val="44546A" w:themeColor="text2"/>
          <w:sz w:val="18"/>
          <w:szCs w:val="18"/>
        </w:rPr>
      </w:pPr>
    </w:p>
    <w:p w14:paraId="14E68314" w14:textId="77777777" w:rsidR="00AE4C8C" w:rsidRPr="000B11B6" w:rsidRDefault="00AE4C8C" w:rsidP="00733091">
      <w:pPr>
        <w:contextualSpacing/>
        <w:rPr>
          <w:rFonts w:cstheme="minorHAnsi"/>
          <w:color w:val="44546A" w:themeColor="text2"/>
          <w:sz w:val="18"/>
          <w:szCs w:val="18"/>
        </w:rPr>
      </w:pPr>
    </w:p>
    <w:p w14:paraId="47B9058F" w14:textId="5B28D1BD" w:rsidR="001E162D" w:rsidRPr="00733091" w:rsidRDefault="00B430D0" w:rsidP="00733091">
      <w:pPr>
        <w:pStyle w:val="Nagwek3"/>
        <w:spacing w:after="240"/>
        <w:rPr>
          <w:lang w:val="pl-PL"/>
        </w:rPr>
      </w:pPr>
      <w:bookmarkStart w:id="81" w:name="_Toc69725440"/>
      <w:r w:rsidRPr="00733091">
        <w:rPr>
          <w:lang w:val="pl-PL"/>
        </w:rPr>
        <w:t>Zasoby instytucjonalne, integracja i kapitał społeczny</w:t>
      </w:r>
      <w:r w:rsidR="00C71ABD">
        <w:rPr>
          <w:lang w:val="pl-PL"/>
        </w:rPr>
        <w:t xml:space="preserve"> (w tym współpraca z kluczowymi partnerami instytucjonalnymi)</w:t>
      </w:r>
      <w:bookmarkEnd w:id="81"/>
    </w:p>
    <w:p w14:paraId="55C2418A" w14:textId="67874B27" w:rsidR="00EE6958" w:rsidRPr="00733091" w:rsidRDefault="00C53E08" w:rsidP="004E378E">
      <w:pPr>
        <w:rPr>
          <w:lang w:val="pl-PL"/>
        </w:rPr>
      </w:pPr>
      <w:r>
        <w:rPr>
          <w:lang w:val="pl-PL"/>
        </w:rPr>
        <w:t xml:space="preserve">Jednym z czynników służących rozwojowi wspólnot lokalnych jest sprawna </w:t>
      </w:r>
      <w:r>
        <w:rPr>
          <w:lang w:val="pl-PL"/>
        </w:rPr>
        <w:br/>
        <w:t xml:space="preserve">i efektywna administracja </w:t>
      </w:r>
      <w:r w:rsidR="00EE6958" w:rsidRPr="00733091">
        <w:rPr>
          <w:lang w:val="pl-PL"/>
        </w:rPr>
        <w:t xml:space="preserve">samorządowa </w:t>
      </w:r>
      <w:r>
        <w:rPr>
          <w:lang w:val="pl-PL"/>
        </w:rPr>
        <w:t>–</w:t>
      </w:r>
      <w:r w:rsidR="00EE6958" w:rsidRPr="00733091">
        <w:rPr>
          <w:lang w:val="pl-PL"/>
        </w:rPr>
        <w:t xml:space="preserve"> inicjująca i wspierająca działania na rzecz poprawy świadczenia usług publicznych, jakości życia mieszkańców oraz rozwoju lokalnego. Same struktury samorządowe, z przyczyn praktycznych i kompetencyjnych, nie są w stanie stworzyć optymalnych warunków dla rozwoju lokalnego. Partnerami samorządu terytorialnego w kształtowaniu i realizacji polityk rozwojowych są przedsiębiorcy, organizacje pozarządowe oraz sami mieszkańcy (działający również poprzez różnego rodzaju nieformalne inicjatywy). Jedynie stała współpraca sektora publicznego i prywatnego pozwala na pełne wykorzystanie istniejących szans rozwojowych.</w:t>
      </w:r>
    </w:p>
    <w:p w14:paraId="680D84C0" w14:textId="28EBCFD3" w:rsidR="001E162D" w:rsidRPr="00690E7F" w:rsidRDefault="003B742F" w:rsidP="00733091">
      <w:pPr>
        <w:pStyle w:val="Nagwek4"/>
        <w:spacing w:before="120" w:after="240"/>
      </w:pPr>
      <w:r w:rsidRPr="003B742F">
        <w:t>Aktywność społeczna mieszkańców</w:t>
      </w:r>
    </w:p>
    <w:p w14:paraId="6D7DE4BE" w14:textId="1B79DC71" w:rsidR="00EE6958" w:rsidRPr="00733091" w:rsidRDefault="00EE6958" w:rsidP="0085473D">
      <w:pPr>
        <w:rPr>
          <w:lang w:val="pl-PL"/>
        </w:rPr>
      </w:pPr>
      <w:r w:rsidRPr="00733091">
        <w:rPr>
          <w:lang w:val="pl-PL"/>
        </w:rPr>
        <w:t>Poziom aktywności społecznej mieszkańców jest jednym z elementów kapitału społecznego Partnerstwa. Aktywność ta przejawia się zarówno udziałem mieszkańców w życiu społeczno-kulturalnym</w:t>
      </w:r>
      <w:r>
        <w:rPr>
          <w:rStyle w:val="Odwoanieprzypisudolnego"/>
          <w:rFonts w:cstheme="minorHAnsi"/>
        </w:rPr>
        <w:footnoteReference w:id="61"/>
      </w:r>
      <w:r w:rsidRPr="00733091">
        <w:rPr>
          <w:lang w:val="pl-PL"/>
        </w:rPr>
        <w:t>, jaki i działalnością w organizacjach społecznych czy grupach nieformalnych. Liczba funkcjonujących organizacji społecznych oraz ich aktywność jest więc jednym z wyznaczników poziomu aktywności społecznej mieszkańców.</w:t>
      </w:r>
    </w:p>
    <w:p w14:paraId="1BBD1003" w14:textId="32201595" w:rsidR="00AE4C8C" w:rsidRPr="00733091" w:rsidRDefault="00EE6958" w:rsidP="00AE4C8C">
      <w:pPr>
        <w:rPr>
          <w:rFonts w:cstheme="majorHAnsi"/>
          <w:b/>
          <w:bCs/>
          <w:lang w:val="pl-PL"/>
        </w:rPr>
      </w:pPr>
      <w:r w:rsidRPr="00733091">
        <w:rPr>
          <w:rFonts w:cstheme="majorHAnsi"/>
          <w:lang w:val="pl-PL"/>
        </w:rPr>
        <w:t xml:space="preserve">W 2019 r. na terenie Południowych Mazur zarejestrowanych było 772 organizacji pozarządowych (w tym 92,2% stanowiły stowarzyszenia i organizacje społeczne), co stanowiło 13,3% organizacji pozarządowych funkcjonujących w województwie warmińsko-mazurskim. W badanym okresie: 2009-2019 saldo organizacji społecznych (różnica między wyrejestrowaniem a zarejestrowaniem fundacji, stowarzyszeń i organizacji społecznych) działających na terenie Partnerstwa wzrosło (o 6,25%). </w:t>
      </w:r>
      <w:r w:rsidRPr="00733091">
        <w:rPr>
          <w:rFonts w:cstheme="majorHAnsi"/>
          <w:b/>
          <w:bCs/>
          <w:lang w:val="pl-PL"/>
        </w:rPr>
        <w:t>Oznacza to wzrastający, choć nadal niski poziom aktywności społecznej mieszkańców.</w:t>
      </w:r>
    </w:p>
    <w:p w14:paraId="25068A4E" w14:textId="42DC31FC" w:rsidR="00EE6958" w:rsidRPr="00733091" w:rsidRDefault="007D776B" w:rsidP="002E24A9">
      <w:pPr>
        <w:pStyle w:val="Legenda"/>
        <w:rPr>
          <w:rFonts w:cstheme="majorHAnsi"/>
          <w:highlight w:val="lightGray"/>
          <w:lang w:val="pl-PL"/>
        </w:rPr>
      </w:pPr>
      <w:bookmarkStart w:id="82" w:name="_Toc69723186"/>
      <w:r w:rsidRPr="00733091">
        <w:rPr>
          <w:lang w:val="pl-PL"/>
        </w:rPr>
        <w:lastRenderedPageBreak/>
        <w:t xml:space="preserve">Wykres </w:t>
      </w:r>
      <w:r w:rsidR="00733091">
        <w:fldChar w:fldCharType="begin"/>
      </w:r>
      <w:r w:rsidR="00733091" w:rsidRPr="00733091">
        <w:rPr>
          <w:lang w:val="pl-PL"/>
        </w:rPr>
        <w:instrText xml:space="preserve"> SEQ Wykres \* ARABIC </w:instrText>
      </w:r>
      <w:r w:rsidR="00733091">
        <w:fldChar w:fldCharType="separate"/>
      </w:r>
      <w:r w:rsidR="00B14787">
        <w:rPr>
          <w:noProof/>
          <w:lang w:val="pl-PL"/>
        </w:rPr>
        <w:t>28</w:t>
      </w:r>
      <w:r w:rsidR="00733091">
        <w:rPr>
          <w:noProof/>
        </w:rPr>
        <w:fldChar w:fldCharType="end"/>
      </w:r>
      <w:r w:rsidRPr="00733091">
        <w:rPr>
          <w:lang w:val="pl-PL"/>
        </w:rPr>
        <w:t xml:space="preserve">: </w:t>
      </w:r>
      <w:r w:rsidR="00EE6958" w:rsidRPr="00733091">
        <w:rPr>
          <w:lang w:val="pl-PL"/>
        </w:rPr>
        <w:t>Saldo bieżące zarejestrowanych fundacji, stowarzyszeń i organizacji społecznych.</w:t>
      </w:r>
      <w:bookmarkEnd w:id="82"/>
    </w:p>
    <w:p w14:paraId="06F48D88" w14:textId="76B72D47" w:rsidR="00EE6958" w:rsidRPr="00733091" w:rsidRDefault="00EE6958" w:rsidP="00733091">
      <w:pPr>
        <w:pStyle w:val="podpiselementu"/>
        <w:spacing w:after="240"/>
        <w:rPr>
          <w:rStyle w:val="Hipercze"/>
          <w:rFonts w:cstheme="majorHAnsi"/>
          <w:color w:val="44546A" w:themeColor="text2"/>
          <w:sz w:val="18"/>
          <w:szCs w:val="18"/>
          <w:lang w:val="pl-PL"/>
        </w:rPr>
      </w:pPr>
      <w:r>
        <w:rPr>
          <w:noProof/>
        </w:rPr>
        <w:drawing>
          <wp:inline distT="0" distB="0" distL="0" distR="0" wp14:anchorId="50D6698B" wp14:editId="79403D61">
            <wp:extent cx="5760316" cy="2622550"/>
            <wp:effectExtent l="19050" t="19050" r="12065" b="25400"/>
            <wp:docPr id="110" name="Obraz 110" descr="wykres liniowy wskazujący na saldo bieżące zarejestrowanych i wyrejestrowanych fundacji, stowarzyszeń i organizacji społecznych na obszarze Partnerstwa Południowe Mazury w latach 2009-2019 w podziale na gmi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Obraz 110" descr="wykres liniowy wskazujący na saldo bieżące zarejestrowanych i wyrejestrowanych fundacji, stowarzyszeń i organizacji społecznych na obszarze Partnerstwa Południowe Mazury w latach 2009-2019 w podziale na gminy]"/>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760316" cy="2622550"/>
                    </a:xfrm>
                    <a:prstGeom prst="rect">
                      <a:avLst/>
                    </a:prstGeom>
                    <a:noFill/>
                    <a:ln>
                      <a:solidFill>
                        <a:schemeClr val="tx2"/>
                      </a:solidFill>
                    </a:ln>
                  </pic:spPr>
                </pic:pic>
              </a:graphicData>
            </a:graphic>
          </wp:inline>
        </w:drawing>
      </w:r>
      <w:r w:rsidRPr="00733091">
        <w:rPr>
          <w:highlight w:val="lightGray"/>
          <w:lang w:val="pl-PL"/>
        </w:rPr>
        <w:br/>
      </w:r>
      <w:r w:rsidRPr="00733091">
        <w:rPr>
          <w:lang w:val="pl-PL"/>
        </w:rPr>
        <w:t xml:space="preserve">Źródło: opracowanie ZMP na podstawie </w:t>
      </w:r>
      <w:hyperlink r:id="rId87" w:history="1">
        <w:r w:rsidRPr="00733091">
          <w:rPr>
            <w:lang w:val="pl-PL"/>
          </w:rPr>
          <w:t>https://analizy.monitorrozwoju.pl</w:t>
        </w:r>
      </w:hyperlink>
    </w:p>
    <w:p w14:paraId="5FA29D8C" w14:textId="704A0DFF" w:rsidR="00EE6958" w:rsidRPr="00733091" w:rsidRDefault="00745CDB" w:rsidP="00733091">
      <w:pPr>
        <w:shd w:val="clear" w:color="auto" w:fill="FFFFFF" w:themeFill="background1"/>
        <w:contextualSpacing/>
        <w:rPr>
          <w:rFonts w:cstheme="majorHAnsi"/>
          <w:color w:val="44546A" w:themeColor="text2"/>
          <w:sz w:val="18"/>
          <w:szCs w:val="18"/>
          <w:lang w:val="pl-PL"/>
        </w:rPr>
      </w:pPr>
      <w:r>
        <w:rPr>
          <w:rFonts w:cstheme="majorHAnsi"/>
          <w:noProof/>
          <w:color w:val="44546A" w:themeColor="text2"/>
          <w:sz w:val="18"/>
          <w:szCs w:val="18"/>
        </w:rPr>
        <mc:AlternateContent>
          <mc:Choice Requires="wps">
            <w:drawing>
              <wp:anchor distT="0" distB="0" distL="114300" distR="114300" simplePos="0" relativeHeight="251658258" behindDoc="0" locked="0" layoutInCell="1" allowOverlap="1" wp14:anchorId="0FB14B4F" wp14:editId="6407DC81">
                <wp:simplePos x="0" y="0"/>
                <wp:positionH relativeFrom="margin">
                  <wp:align>right</wp:align>
                </wp:positionH>
                <wp:positionV relativeFrom="paragraph">
                  <wp:posOffset>8255</wp:posOffset>
                </wp:positionV>
                <wp:extent cx="5349240" cy="1074420"/>
                <wp:effectExtent l="0" t="0" r="22860" b="11430"/>
                <wp:wrapNone/>
                <wp:docPr id="112" name="Pole tekstowe 112"/>
                <wp:cNvGraphicFramePr/>
                <a:graphic xmlns:a="http://schemas.openxmlformats.org/drawingml/2006/main">
                  <a:graphicData uri="http://schemas.microsoft.com/office/word/2010/wordprocessingShape">
                    <wps:wsp>
                      <wps:cNvSpPr txBox="1"/>
                      <wps:spPr>
                        <a:xfrm>
                          <a:off x="0" y="0"/>
                          <a:ext cx="5349240" cy="1074420"/>
                        </a:xfrm>
                        <a:prstGeom prst="rect">
                          <a:avLst/>
                        </a:prstGeom>
                        <a:solidFill>
                          <a:schemeClr val="accent1">
                            <a:lumMod val="20000"/>
                            <a:lumOff val="80000"/>
                          </a:schemeClr>
                        </a:solidFill>
                        <a:ln w="6350">
                          <a:solidFill>
                            <a:schemeClr val="accent1"/>
                          </a:solidFill>
                        </a:ln>
                      </wps:spPr>
                      <wps:txbx>
                        <w:txbxContent>
                          <w:p w14:paraId="0E2E89D8" w14:textId="77777777" w:rsidR="00B14787" w:rsidRPr="004E378E" w:rsidRDefault="00B14787" w:rsidP="0085473D">
                            <w:pPr>
                              <w:ind w:left="284"/>
                              <w:jc w:val="both"/>
                              <w:rPr>
                                <w:rFonts w:cstheme="minorHAnsi"/>
                                <w:szCs w:val="24"/>
                                <w:lang w:val="pl-PL"/>
                              </w:rPr>
                            </w:pPr>
                            <w:r w:rsidRPr="004E378E">
                              <w:rPr>
                                <w:rFonts w:eastAsia="Times New Roman" w:cstheme="minorHAnsi"/>
                                <w:szCs w:val="24"/>
                                <w:lang w:val="pl-PL" w:eastAsia="pl-PL"/>
                              </w:rPr>
                              <w:t xml:space="preserve">Aktywność społeczna i współdziałanie mieszkańców jest mocną stroną Partnerstwa jedynie dla </w:t>
                            </w:r>
                            <w:r w:rsidRPr="004E378E">
                              <w:rPr>
                                <w:rFonts w:eastAsia="Times New Roman" w:cstheme="minorHAnsi"/>
                                <w:b/>
                                <w:bCs/>
                                <w:szCs w:val="24"/>
                                <w:lang w:val="pl-PL" w:eastAsia="pl-PL"/>
                              </w:rPr>
                              <w:t>32,20%</w:t>
                            </w:r>
                            <w:r w:rsidRPr="004E378E">
                              <w:rPr>
                                <w:rFonts w:eastAsia="Times New Roman" w:cstheme="minorHAnsi"/>
                                <w:szCs w:val="24"/>
                                <w:lang w:val="pl-PL" w:eastAsia="pl-PL"/>
                              </w:rPr>
                              <w:t xml:space="preserve"> mieszkańców obszaru biorących udział w badaniu. Przeciwnego zdania jest </w:t>
                            </w:r>
                            <w:r w:rsidRPr="004E378E">
                              <w:rPr>
                                <w:rFonts w:eastAsia="Times New Roman" w:cstheme="minorHAnsi"/>
                                <w:b/>
                                <w:bCs/>
                                <w:szCs w:val="24"/>
                                <w:lang w:val="pl-PL" w:eastAsia="pl-PL"/>
                              </w:rPr>
                              <w:t>44,46%</w:t>
                            </w:r>
                            <w:r w:rsidRPr="004E378E">
                              <w:rPr>
                                <w:rFonts w:eastAsia="Times New Roman" w:cstheme="minorHAnsi"/>
                                <w:szCs w:val="24"/>
                                <w:lang w:val="pl-PL" w:eastAsia="pl-PL"/>
                              </w:rPr>
                              <w:t xml:space="preserve"> respondentów, zdania na ten temat nie ma aż </w:t>
                            </w:r>
                            <w:r w:rsidRPr="004E378E">
                              <w:rPr>
                                <w:rFonts w:eastAsia="Times New Roman" w:cstheme="minorHAnsi"/>
                                <w:b/>
                                <w:bCs/>
                                <w:szCs w:val="24"/>
                                <w:lang w:val="pl-PL" w:eastAsia="pl-PL"/>
                              </w:rPr>
                              <w:t>23,73%</w:t>
                            </w:r>
                            <w:r w:rsidRPr="004E378E">
                              <w:rPr>
                                <w:rFonts w:eastAsia="Times New Roman" w:cstheme="minorHAnsi"/>
                                <w:szCs w:val="24"/>
                                <w:lang w:val="pl-PL" w:eastAsia="pl-PL"/>
                              </w:rPr>
                              <w:t xml:space="preserve"> mieszkańców.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B14B4F" id="Pole tekstowe 112" o:spid="_x0000_s1039" type="#_x0000_t202" style="position:absolute;left:0;text-align:left;margin-left:370pt;margin-top:.65pt;width:421.2pt;height:84.6pt;z-index:25165825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" fillcolor="#d9e2f3 [660]" strokecolor="#4472c4 [3204]" strokeweight=".5pt">
                <v:textbox>
                  <w:txbxContent>
                    <w:p w14:paraId="0E2E89D8" w14:textId="77777777" w:rsidR="00B14787" w:rsidRPr="004E378E" w:rsidRDefault="00B14787" w:rsidP="0085473D">
                      <w:pPr>
                        <w:ind w:left="284"/>
                        <w:jc w:val="both"/>
                        <w:rPr>
                          <w:rFonts w:cstheme="minorHAnsi"/>
                          <w:szCs w:val="24"/>
                          <w:lang w:val="pl-PL"/>
                        </w:rPr>
                      </w:pPr>
                      <w:r w:rsidRPr="004E378E">
                        <w:rPr>
                          <w:rFonts w:eastAsia="Times New Roman" w:cstheme="minorHAnsi"/>
                          <w:szCs w:val="24"/>
                          <w:lang w:val="pl-PL" w:eastAsia="pl-PL"/>
                        </w:rPr>
                        <w:t xml:space="preserve">Aktywność społeczna i współdziałanie mieszkańców jest mocną stroną Partnerstwa jedynie dla </w:t>
                      </w:r>
                      <w:r w:rsidRPr="004E378E">
                        <w:rPr>
                          <w:rFonts w:eastAsia="Times New Roman" w:cstheme="minorHAnsi"/>
                          <w:b/>
                          <w:bCs/>
                          <w:szCs w:val="24"/>
                          <w:lang w:val="pl-PL" w:eastAsia="pl-PL"/>
                        </w:rPr>
                        <w:t>32,20%</w:t>
                      </w:r>
                      <w:r w:rsidRPr="004E378E">
                        <w:rPr>
                          <w:rFonts w:eastAsia="Times New Roman" w:cstheme="minorHAnsi"/>
                          <w:szCs w:val="24"/>
                          <w:lang w:val="pl-PL" w:eastAsia="pl-PL"/>
                        </w:rPr>
                        <w:t xml:space="preserve"> mieszkańców obszaru biorących udział w badaniu. Przeciwnego zdania jest </w:t>
                      </w:r>
                      <w:r w:rsidRPr="004E378E">
                        <w:rPr>
                          <w:rFonts w:eastAsia="Times New Roman" w:cstheme="minorHAnsi"/>
                          <w:b/>
                          <w:bCs/>
                          <w:szCs w:val="24"/>
                          <w:lang w:val="pl-PL" w:eastAsia="pl-PL"/>
                        </w:rPr>
                        <w:t>44,46%</w:t>
                      </w:r>
                      <w:r w:rsidRPr="004E378E">
                        <w:rPr>
                          <w:rFonts w:eastAsia="Times New Roman" w:cstheme="minorHAnsi"/>
                          <w:szCs w:val="24"/>
                          <w:lang w:val="pl-PL" w:eastAsia="pl-PL"/>
                        </w:rPr>
                        <w:t xml:space="preserve"> respondentów, zdania na ten temat nie ma aż </w:t>
                      </w:r>
                      <w:r w:rsidRPr="004E378E">
                        <w:rPr>
                          <w:rFonts w:eastAsia="Times New Roman" w:cstheme="minorHAnsi"/>
                          <w:b/>
                          <w:bCs/>
                          <w:szCs w:val="24"/>
                          <w:lang w:val="pl-PL" w:eastAsia="pl-PL"/>
                        </w:rPr>
                        <w:t>23,73%</w:t>
                      </w:r>
                      <w:r w:rsidRPr="004E378E">
                        <w:rPr>
                          <w:rFonts w:eastAsia="Times New Roman" w:cstheme="minorHAnsi"/>
                          <w:szCs w:val="24"/>
                          <w:lang w:val="pl-PL" w:eastAsia="pl-PL"/>
                        </w:rPr>
                        <w:t xml:space="preserve"> mieszkańców.</w:t>
                      </w:r>
                    </w:p>
                  </w:txbxContent>
                </v:textbox>
                <w10:wrap anchorx="margin"/>
              </v:shape>
            </w:pict>
          </mc:Fallback>
        </mc:AlternateContent>
      </w:r>
      <w:r w:rsidR="00EE6958" w:rsidRPr="00733091">
        <w:rPr>
          <w:rFonts w:cstheme="majorHAnsi"/>
          <w:color w:val="44546A" w:themeColor="text2"/>
          <w:sz w:val="18"/>
          <w:szCs w:val="18"/>
          <w:lang w:val="pl-PL"/>
        </w:rPr>
        <w:br/>
      </w:r>
    </w:p>
    <w:p w14:paraId="48A6AEFD" w14:textId="77777777" w:rsidR="00745CDB" w:rsidRDefault="00745CDB" w:rsidP="00DD0997">
      <w:pPr>
        <w:shd w:val="clear" w:color="auto" w:fill="FFFFFF" w:themeFill="background1"/>
        <w:ind w:left="0"/>
        <w:contextualSpacing/>
        <w:rPr>
          <w:rFonts w:cstheme="majorHAnsi"/>
          <w:color w:val="44546A" w:themeColor="text2"/>
          <w:sz w:val="18"/>
          <w:szCs w:val="18"/>
          <w:lang w:val="pl-PL"/>
        </w:rPr>
      </w:pPr>
    </w:p>
    <w:p w14:paraId="7006963F" w14:textId="38CBCD5E" w:rsidR="00745CDB" w:rsidRDefault="00745CDB" w:rsidP="00DD0997">
      <w:pPr>
        <w:shd w:val="clear" w:color="auto" w:fill="FFFFFF" w:themeFill="background1"/>
        <w:ind w:left="0"/>
        <w:contextualSpacing/>
        <w:rPr>
          <w:rFonts w:cstheme="majorHAnsi"/>
          <w:color w:val="44546A" w:themeColor="text2"/>
          <w:sz w:val="18"/>
          <w:szCs w:val="18"/>
          <w:lang w:val="pl-PL"/>
        </w:rPr>
      </w:pPr>
    </w:p>
    <w:p w14:paraId="03C74D05" w14:textId="77777777" w:rsidR="00745CDB" w:rsidRDefault="00745CDB" w:rsidP="00DD0997">
      <w:pPr>
        <w:shd w:val="clear" w:color="auto" w:fill="FFFFFF" w:themeFill="background1"/>
        <w:ind w:left="0"/>
        <w:contextualSpacing/>
        <w:rPr>
          <w:rFonts w:cstheme="majorHAnsi"/>
          <w:color w:val="44546A" w:themeColor="text2"/>
          <w:sz w:val="18"/>
          <w:szCs w:val="18"/>
          <w:lang w:val="pl-PL"/>
        </w:rPr>
      </w:pPr>
    </w:p>
    <w:p w14:paraId="7B2DB8C1" w14:textId="77777777" w:rsidR="00745CDB" w:rsidRDefault="00745CDB" w:rsidP="00DD0997">
      <w:pPr>
        <w:shd w:val="clear" w:color="auto" w:fill="FFFFFF" w:themeFill="background1"/>
        <w:ind w:left="0"/>
        <w:contextualSpacing/>
        <w:rPr>
          <w:rFonts w:cstheme="majorHAnsi"/>
          <w:color w:val="44546A" w:themeColor="text2"/>
          <w:sz w:val="18"/>
          <w:szCs w:val="18"/>
          <w:lang w:val="pl-PL"/>
        </w:rPr>
      </w:pPr>
    </w:p>
    <w:p w14:paraId="6F1F6B84" w14:textId="4C401E96" w:rsidR="00745CDB" w:rsidRDefault="00745CDB" w:rsidP="00DD0997">
      <w:pPr>
        <w:shd w:val="clear" w:color="auto" w:fill="FFFFFF" w:themeFill="background1"/>
        <w:ind w:left="0"/>
        <w:contextualSpacing/>
        <w:rPr>
          <w:rFonts w:cstheme="majorHAnsi"/>
          <w:color w:val="44546A" w:themeColor="text2"/>
          <w:sz w:val="18"/>
          <w:szCs w:val="18"/>
          <w:lang w:val="pl-PL"/>
        </w:rPr>
      </w:pPr>
    </w:p>
    <w:p w14:paraId="0DECABFE" w14:textId="72102436" w:rsidR="00427A68" w:rsidRPr="00A70EA5" w:rsidRDefault="00427A68" w:rsidP="00DD0997">
      <w:pPr>
        <w:shd w:val="clear" w:color="auto" w:fill="FFFFFF" w:themeFill="background1"/>
        <w:ind w:left="0"/>
        <w:contextualSpacing/>
        <w:rPr>
          <w:rFonts w:cstheme="majorHAnsi"/>
          <w:color w:val="44546A" w:themeColor="text2"/>
          <w:sz w:val="18"/>
          <w:szCs w:val="18"/>
          <w:lang w:val="pl-PL"/>
        </w:rPr>
      </w:pPr>
    </w:p>
    <w:p w14:paraId="72B0B0C1" w14:textId="2AFE97A7" w:rsidR="001E162D" w:rsidRPr="00690E7F" w:rsidRDefault="003B742F" w:rsidP="00733091">
      <w:pPr>
        <w:pStyle w:val="Nagwek4"/>
        <w:spacing w:before="120" w:after="240"/>
      </w:pPr>
      <w:r w:rsidRPr="003B742F">
        <w:t>Integracja mieszkańców</w:t>
      </w:r>
    </w:p>
    <w:p w14:paraId="29BB8FDA" w14:textId="706720CB" w:rsidR="00A0313D" w:rsidRDefault="00B14787" w:rsidP="004E378E">
      <w:pPr>
        <w:rPr>
          <w:rFonts w:cstheme="minorHAnsi"/>
          <w:shd w:val="clear" w:color="auto" w:fill="FFFFFF"/>
          <w:lang w:val="pl-PL"/>
        </w:rPr>
      </w:pPr>
      <w:hyperlink r:id="rId88" w:tooltip="Integracja społeczna" w:history="1">
        <w:r w:rsidR="00EE6958" w:rsidRPr="00A0313D">
          <w:rPr>
            <w:rStyle w:val="Hipercze"/>
            <w:color w:val="auto"/>
            <w:u w:val="none"/>
            <w:lang w:val="pl-PL"/>
          </w:rPr>
          <w:t>Integracja społeczna</w:t>
        </w:r>
      </w:hyperlink>
      <w:r w:rsidR="00EE6958" w:rsidRPr="00A0313D">
        <w:rPr>
          <w:lang w:val="pl-PL"/>
        </w:rPr>
        <w:t> to zespolenie i zharmonizowanie elementów </w:t>
      </w:r>
      <w:hyperlink r:id="rId89" w:tooltip="Społeczeństwo" w:history="1">
        <w:r w:rsidR="00EE6958" w:rsidRPr="00A0313D">
          <w:rPr>
            <w:rStyle w:val="Hipercze"/>
            <w:color w:val="auto"/>
            <w:u w:val="none"/>
            <w:lang w:val="pl-PL"/>
          </w:rPr>
          <w:t>zbiorowości społecznej</w:t>
        </w:r>
      </w:hyperlink>
      <w:r w:rsidR="00EE6958" w:rsidRPr="00A0313D">
        <w:rPr>
          <w:lang w:val="pl-PL"/>
        </w:rPr>
        <w:t>,</w:t>
      </w:r>
      <w:r w:rsidR="00EE6958" w:rsidRPr="00733091">
        <w:rPr>
          <w:lang w:val="pl-PL"/>
        </w:rPr>
        <w:t xml:space="preserve"> rozumiane jako intensywność i częstotliwość kontaktów między </w:t>
      </w:r>
      <w:r w:rsidR="00EE6958" w:rsidRPr="00733091">
        <w:rPr>
          <w:rFonts w:cstheme="minorHAnsi"/>
          <w:shd w:val="clear" w:color="auto" w:fill="FFFFFF"/>
          <w:lang w:val="pl-PL"/>
        </w:rPr>
        <w:t>członkami danej zbiorowości. Integracja wspomagana jest przez organizację aktywności kulturalno-oświatowych i rekreacyjno-sportowych</w:t>
      </w:r>
      <w:r w:rsidR="009B624B">
        <w:rPr>
          <w:rFonts w:cstheme="minorHAnsi"/>
          <w:shd w:val="clear" w:color="auto" w:fill="FFFFFF"/>
          <w:lang w:val="pl-PL"/>
        </w:rPr>
        <w:t xml:space="preserve"> (scharakteryzowanych w rozdziale 2.2.2.2. niniejszego opracowania)</w:t>
      </w:r>
      <w:r w:rsidR="00EE6958" w:rsidRPr="00733091">
        <w:rPr>
          <w:rFonts w:cstheme="minorHAnsi"/>
          <w:shd w:val="clear" w:color="auto" w:fill="FFFFFF"/>
          <w:lang w:val="pl-PL"/>
        </w:rPr>
        <w:t xml:space="preserve">. </w:t>
      </w:r>
    </w:p>
    <w:p w14:paraId="0D5FC200" w14:textId="4F13128D" w:rsidR="00EE6958" w:rsidRPr="004E378E" w:rsidRDefault="00EE6958" w:rsidP="004E378E">
      <w:pPr>
        <w:rPr>
          <w:rFonts w:cstheme="minorHAnsi"/>
          <w:shd w:val="clear" w:color="auto" w:fill="FFFFFF"/>
          <w:lang w:val="pl-PL"/>
        </w:rPr>
      </w:pPr>
      <w:r w:rsidRPr="00733091">
        <w:rPr>
          <w:rFonts w:cstheme="minorHAnsi"/>
          <w:shd w:val="clear" w:color="auto" w:fill="FFFFFF"/>
          <w:lang w:val="pl-PL"/>
        </w:rPr>
        <w:t xml:space="preserve">Szczególnie ważnym aspektem wzmacniania integracji mieszkańców jest wspieranie osób zagrożonych wykluczeniem społecznym. </w:t>
      </w:r>
      <w:r w:rsidRPr="00733091">
        <w:rPr>
          <w:rFonts w:cstheme="majorHAnsi"/>
          <w:lang w:val="pl-PL"/>
        </w:rPr>
        <w:t>Zadania w tym zakresie realizowane są na terenie Południowych Mazur przez jednostki organizacyjne szczebla gminnego (miejskie i gminne ośrodki pomocy społecznej), jak i powiatowego (powiatowe centra pomocy rodzinie).</w:t>
      </w:r>
    </w:p>
    <w:p w14:paraId="7F148F12" w14:textId="29D866B2" w:rsidR="00EE6958" w:rsidRPr="00733091" w:rsidRDefault="00EE6958" w:rsidP="00733091">
      <w:pPr>
        <w:rPr>
          <w:rFonts w:cstheme="majorHAnsi"/>
          <w:lang w:val="pl-PL"/>
        </w:rPr>
      </w:pPr>
      <w:r w:rsidRPr="00733091">
        <w:rPr>
          <w:rFonts w:cstheme="majorHAnsi"/>
          <w:lang w:val="pl-PL"/>
        </w:rPr>
        <w:t xml:space="preserve">W 2019 r. na 1 tys. mieszkańców przypadało 99,2 beneficjentów środowiskowej pomocy społecznej. Ich liczba od 2009 r. spadła </w:t>
      </w:r>
      <w:r w:rsidR="00A0313D">
        <w:rPr>
          <w:rFonts w:cstheme="majorHAnsi"/>
          <w:lang w:val="pl-PL"/>
        </w:rPr>
        <w:t xml:space="preserve">o </w:t>
      </w:r>
      <w:r w:rsidRPr="00733091">
        <w:rPr>
          <w:rFonts w:cstheme="majorHAnsi"/>
          <w:lang w:val="pl-PL"/>
        </w:rPr>
        <w:t xml:space="preserve">50,62%. Wprawdzie na przestrzeni lat wskaźnik ten wahał się (wzrost liczby beneficjentów pomocy społecznej w latach 2012-2013 wynikał głównie z podwyższenia kryterium dochodowego w 2012 r.), niemniej jednak od 2013 r. utrzymuje się wyraźna tendencja spadkowa, na którą </w:t>
      </w:r>
      <w:r w:rsidRPr="00733091">
        <w:rPr>
          <w:rFonts w:cstheme="majorHAnsi"/>
          <w:lang w:val="pl-PL"/>
        </w:rPr>
        <w:lastRenderedPageBreak/>
        <w:t>wpływu nie miały kolejne podwyżki kwoty kryterium dochodowego: w 2015 r. i 2018 r. Ponadto w okresie 2013-2019 zmniejszył się (o 13,71%) odsetek dzieci do lat 17, na które opiekunowie otrzymywali zasiłki rodzinne. Wskaźnik ten wykazywał jednak mniejszą dynamikę zmian niż wskaźnik dotyczący liczby korzystających ze środowiskowej pomocy społecznej (który wyniósł 42,84%).</w:t>
      </w:r>
    </w:p>
    <w:p w14:paraId="52C1A092" w14:textId="4F318317" w:rsidR="00EE6958" w:rsidRPr="00733091" w:rsidRDefault="007D776B" w:rsidP="002E24A9">
      <w:pPr>
        <w:pStyle w:val="Legenda"/>
        <w:rPr>
          <w:lang w:val="pl-PL"/>
        </w:rPr>
      </w:pPr>
      <w:bookmarkStart w:id="83" w:name="_Toc69723187"/>
      <w:r w:rsidRPr="00733091">
        <w:rPr>
          <w:lang w:val="pl-PL"/>
        </w:rPr>
        <w:t xml:space="preserve">Wykres </w:t>
      </w:r>
      <w:r w:rsidR="00733091">
        <w:fldChar w:fldCharType="begin"/>
      </w:r>
      <w:r w:rsidR="00733091" w:rsidRPr="00733091">
        <w:rPr>
          <w:lang w:val="pl-PL"/>
        </w:rPr>
        <w:instrText xml:space="preserve"> SEQ Wykres \* ARABIC </w:instrText>
      </w:r>
      <w:r w:rsidR="00733091">
        <w:fldChar w:fldCharType="separate"/>
      </w:r>
      <w:r w:rsidR="00B14787">
        <w:rPr>
          <w:noProof/>
          <w:lang w:val="pl-PL"/>
        </w:rPr>
        <w:t>29</w:t>
      </w:r>
      <w:r w:rsidR="00733091">
        <w:rPr>
          <w:noProof/>
        </w:rPr>
        <w:fldChar w:fldCharType="end"/>
      </w:r>
      <w:r w:rsidRPr="00733091">
        <w:rPr>
          <w:lang w:val="pl-PL"/>
        </w:rPr>
        <w:t xml:space="preserve">: </w:t>
      </w:r>
      <w:r w:rsidR="00EE6958" w:rsidRPr="00733091">
        <w:rPr>
          <w:lang w:val="pl-PL"/>
        </w:rPr>
        <w:t>Beneficjenci środowiskowej pomocy społecznej w latach 2009-2019</w:t>
      </w:r>
      <w:bookmarkEnd w:id="83"/>
    </w:p>
    <w:p w14:paraId="6D0A2A56" w14:textId="1F1C6BAE" w:rsidR="00EE6958" w:rsidRPr="00AE4C8C" w:rsidRDefault="00EE6958" w:rsidP="00733091">
      <w:pPr>
        <w:pStyle w:val="podpiselementu"/>
        <w:spacing w:after="240"/>
        <w:rPr>
          <w:rFonts w:cstheme="majorHAnsi"/>
          <w:highlight w:val="lightGray"/>
          <w:lang w:val="pl-PL"/>
        </w:rPr>
      </w:pPr>
      <w:r>
        <w:rPr>
          <w:noProof/>
        </w:rPr>
        <w:drawing>
          <wp:inline distT="0" distB="0" distL="0" distR="0" wp14:anchorId="67B8AF19" wp14:editId="1C46213C">
            <wp:extent cx="5760720" cy="2388870"/>
            <wp:effectExtent l="19050" t="19050" r="11430" b="11430"/>
            <wp:docPr id="124" name="Obraz 124" descr="wykres liniowy wskazujący odsetek dzieci do lat 17 na które rodzice/opiekunowie otrzymują zasiłek rodzinny (kolor szary) i liczbę osób korzystających ze środowiskowej pomocy społecznej na 1000 mieszkańców obszaru Partnerstwa Południowe Mazury w latach 2009-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Obraz 124" descr="wykres liniowy wskazujący odsetek dzieci do lat 17 na które rodzice/opiekunowie otrzymują zasiłek rodzinny (kolor szary) i liczbę osób korzystających ze środowiskowej pomocy społecznej na 1000 mieszkańców obszaru Partnerstwa Południowe Mazury w latach 2009-201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760720" cy="2388870"/>
                    </a:xfrm>
                    <a:prstGeom prst="rect">
                      <a:avLst/>
                    </a:prstGeom>
                    <a:noFill/>
                    <a:ln>
                      <a:solidFill>
                        <a:schemeClr val="tx2"/>
                      </a:solidFill>
                    </a:ln>
                  </pic:spPr>
                </pic:pic>
              </a:graphicData>
            </a:graphic>
          </wp:inline>
        </w:drawing>
      </w:r>
      <w:r w:rsidRPr="00733091">
        <w:rPr>
          <w:lang w:val="pl-PL"/>
        </w:rPr>
        <w:t xml:space="preserve">Źródło: opracowanie ZMP na podstawie </w:t>
      </w:r>
      <w:hyperlink r:id="rId91" w:history="1">
        <w:r w:rsidRPr="00733091">
          <w:rPr>
            <w:rStyle w:val="Hipercze"/>
            <w:color w:val="auto"/>
            <w:u w:val="none"/>
            <w:lang w:val="pl-PL"/>
          </w:rPr>
          <w:t>https://analizy.monitorrozwoju.pl</w:t>
        </w:r>
      </w:hyperlink>
    </w:p>
    <w:p w14:paraId="1F3273F8" w14:textId="77777777" w:rsidR="00EE6958" w:rsidRPr="00733091" w:rsidRDefault="00EE6958" w:rsidP="00733091">
      <w:pPr>
        <w:rPr>
          <w:rFonts w:eastAsia="Times New Roman"/>
          <w:lang w:val="pl-PL" w:eastAsia="pl-PL"/>
        </w:rPr>
      </w:pPr>
      <w:r w:rsidRPr="00733091">
        <w:rPr>
          <w:lang w:val="pl-PL"/>
        </w:rPr>
        <w:t xml:space="preserve">Powody, dla których korzystano z na terenie Południowych Mazur z pomocy społecznej to: niskie zarobki uniemożliwiające zapewnienie rodzinom godnej egzystencji (26,5% przyczyn, z powodu których w 2019 r. przyznano świadczenie z pomocy społecznej), bezrobocie (19,1%), </w:t>
      </w:r>
      <w:r w:rsidRPr="00733091">
        <w:rPr>
          <w:rFonts w:eastAsia="Times New Roman"/>
          <w:lang w:val="pl-PL" w:eastAsia="pl-PL"/>
        </w:rPr>
        <w:t>długotrwała lub ciężka choroba (18,5%), niepełnosprawność (16,0%), a także bezradność w sprawach opiekuńczo-wychowawczych i prowadzenia gospodarstwa domowego (9,0%).</w:t>
      </w:r>
    </w:p>
    <w:p w14:paraId="6D97BCD8" w14:textId="77777777" w:rsidR="00EE6958" w:rsidRPr="00733091" w:rsidRDefault="00EE6958" w:rsidP="00733091">
      <w:pPr>
        <w:rPr>
          <w:rFonts w:eastAsia="Times New Roman"/>
          <w:lang w:val="pl-PL" w:eastAsia="pl-PL"/>
        </w:rPr>
      </w:pPr>
      <w:r w:rsidRPr="00733091">
        <w:rPr>
          <w:rFonts w:eastAsia="Times New Roman"/>
          <w:lang w:val="pl-PL" w:eastAsia="pl-PL"/>
        </w:rPr>
        <w:t>Liczba rodzin, które uzyskały wsparcie z tytułu bezrobocia była w 2019 r. o ponad połowę (57,2%) niższa od zarejestrowanej w 2014 r.</w:t>
      </w:r>
    </w:p>
    <w:p w14:paraId="6E5E8AFE" w14:textId="77777777" w:rsidR="004E378E" w:rsidRDefault="00EE6958" w:rsidP="004E378E">
      <w:pPr>
        <w:rPr>
          <w:rFonts w:eastAsia="Times New Roman"/>
          <w:lang w:val="pl-PL" w:eastAsia="pl-PL"/>
        </w:rPr>
      </w:pPr>
      <w:r w:rsidRPr="00733091">
        <w:rPr>
          <w:rFonts w:eastAsia="Times New Roman"/>
          <w:lang w:val="pl-PL" w:eastAsia="pl-PL"/>
        </w:rPr>
        <w:t>Znacznemu zmniejszeniu uległa również liczba decyzji o udzielenie pomocy w związku z ubóstwem (-37,6%), bezradnością (-37,1%), a także potrzebą ochrony macierzyństwa (-30,2%).</w:t>
      </w:r>
    </w:p>
    <w:p w14:paraId="502835C8" w14:textId="77777777" w:rsidR="00C53E08" w:rsidRDefault="00EE6958" w:rsidP="002F3E4B">
      <w:pPr>
        <w:rPr>
          <w:lang w:val="pl-PL"/>
        </w:rPr>
      </w:pPr>
      <w:r w:rsidRPr="00733091">
        <w:rPr>
          <w:lang w:val="pl-PL"/>
        </w:rPr>
        <w:t xml:space="preserve">Drugim wymiarem systemu pomocy społecznej jest pomoc stacjonarna polegająca na zapewnianiu miejsca, utrzymania oraz całodobowej pomocy i opieki lub pomocy i opieki w zorganizowanych formach w ciągu dnia (np. w placówkach wsparcia dziennego), dla pojedynczych osób. </w:t>
      </w:r>
    </w:p>
    <w:p w14:paraId="06C15D7C" w14:textId="53E9ECA4" w:rsidR="002F3E4B" w:rsidRDefault="00EE6958" w:rsidP="002F3E4B">
      <w:pPr>
        <w:rPr>
          <w:lang w:val="pl-PL"/>
        </w:rPr>
      </w:pPr>
      <w:r w:rsidRPr="00733091">
        <w:rPr>
          <w:lang w:val="pl-PL"/>
        </w:rPr>
        <w:br/>
        <w:t xml:space="preserve">W 2019 r. na terenie Południowych Mazur funkcjonowało 7 palcówek stacjonarnej </w:t>
      </w:r>
      <w:r w:rsidRPr="00733091">
        <w:rPr>
          <w:lang w:val="pl-PL"/>
        </w:rPr>
        <w:lastRenderedPageBreak/>
        <w:t xml:space="preserve">pomocy społecznej, w tym cztery domy pomocy społecznej (po jednym w każdym powiecie; dwa nadzorowane przez powiat). </w:t>
      </w:r>
      <w:r w:rsidRPr="002F3E4B">
        <w:rPr>
          <w:lang w:val="pl-PL"/>
        </w:rPr>
        <w:t>Dysponowały one 402 miejscami, które zajmowało 391 osób.</w:t>
      </w:r>
    </w:p>
    <w:p w14:paraId="308DA9F1" w14:textId="6AC1041C" w:rsidR="00427A68" w:rsidRDefault="002F3E4B" w:rsidP="009B403E">
      <w:pPr>
        <w:rPr>
          <w:rFonts w:cstheme="majorHAnsi"/>
          <w:lang w:val="pl-PL"/>
        </w:rPr>
      </w:pPr>
      <w:r w:rsidRPr="002F3E4B">
        <w:rPr>
          <w:rFonts w:cstheme="majorHAnsi"/>
          <w:lang w:val="pl-PL"/>
        </w:rPr>
        <w:t>Istotnym czynnikiem, który może wzmocnić poziom integracji społecznej są istniejące więzy społeczne oraz poczucie tożsamości lokalnej mieszkańców Południowych Mazur.</w:t>
      </w:r>
    </w:p>
    <w:p w14:paraId="09C79EF6" w14:textId="41B44103" w:rsidR="009B403E" w:rsidRDefault="00745CDB" w:rsidP="009B403E">
      <w:pPr>
        <w:rPr>
          <w:rFonts w:cstheme="majorHAnsi"/>
          <w:lang w:val="pl-PL"/>
        </w:rPr>
      </w:pPr>
      <w:r w:rsidRPr="00CA1C03">
        <w:rPr>
          <w:rFonts w:cstheme="majorHAnsi"/>
          <w:noProof/>
          <w:color w:val="FF0000"/>
        </w:rPr>
        <mc:AlternateContent>
          <mc:Choice Requires="wps">
            <w:drawing>
              <wp:anchor distT="0" distB="0" distL="114300" distR="114300" simplePos="0" relativeHeight="251658266" behindDoc="0" locked="0" layoutInCell="1" allowOverlap="1" wp14:anchorId="41C1BBA6" wp14:editId="2737852F">
                <wp:simplePos x="0" y="0"/>
                <wp:positionH relativeFrom="column">
                  <wp:posOffset>247539</wp:posOffset>
                </wp:positionH>
                <wp:positionV relativeFrom="paragraph">
                  <wp:posOffset>137188</wp:posOffset>
                </wp:positionV>
                <wp:extent cx="5535295" cy="2461260"/>
                <wp:effectExtent l="0" t="0" r="27305" b="15240"/>
                <wp:wrapNone/>
                <wp:docPr id="139" name="Pole tekstowe 139"/>
                <wp:cNvGraphicFramePr/>
                <a:graphic xmlns:a="http://schemas.openxmlformats.org/drawingml/2006/main">
                  <a:graphicData uri="http://schemas.microsoft.com/office/word/2010/wordprocessingShape">
                    <wps:wsp>
                      <wps:cNvSpPr txBox="1"/>
                      <wps:spPr>
                        <a:xfrm>
                          <a:off x="0" y="0"/>
                          <a:ext cx="5535295" cy="2461260"/>
                        </a:xfrm>
                        <a:prstGeom prst="rect">
                          <a:avLst/>
                        </a:prstGeom>
                        <a:solidFill>
                          <a:schemeClr val="accent1">
                            <a:lumMod val="20000"/>
                            <a:lumOff val="80000"/>
                          </a:schemeClr>
                        </a:solidFill>
                        <a:ln w="6350">
                          <a:solidFill>
                            <a:schemeClr val="tx2"/>
                          </a:solidFill>
                        </a:ln>
                      </wps:spPr>
                      <wps:txbx>
                        <w:txbxContent>
                          <w:p w14:paraId="7CAD47F3" w14:textId="5AC812DA" w:rsidR="00B14787" w:rsidRPr="002F3E4B" w:rsidRDefault="00B14787" w:rsidP="002F3E4B">
                            <w:pPr>
                              <w:ind w:left="142"/>
                              <w:jc w:val="both"/>
                              <w:rPr>
                                <w:szCs w:val="24"/>
                                <w:lang w:val="pl-PL"/>
                              </w:rPr>
                            </w:pPr>
                            <w:r w:rsidRPr="002F3E4B">
                              <w:rPr>
                                <w:b/>
                                <w:bCs/>
                                <w:szCs w:val="24"/>
                                <w:lang w:val="pl-PL"/>
                              </w:rPr>
                              <w:t>Lokalny patriotyzm, dziedzictwo i historia</w:t>
                            </w:r>
                            <w:r w:rsidRPr="002F3E4B">
                              <w:rPr>
                                <w:szCs w:val="24"/>
                                <w:lang w:val="pl-PL"/>
                              </w:rPr>
                              <w:t xml:space="preserve"> dla </w:t>
                            </w:r>
                            <w:r w:rsidRPr="002F3E4B">
                              <w:rPr>
                                <w:b/>
                                <w:bCs/>
                                <w:szCs w:val="24"/>
                                <w:lang w:val="pl-PL"/>
                              </w:rPr>
                              <w:t>47,72% mieszkańców oraz 53,91%</w:t>
                            </w:r>
                            <w:r w:rsidRPr="002F3E4B">
                              <w:rPr>
                                <w:szCs w:val="24"/>
                                <w:lang w:val="pl-PL"/>
                              </w:rPr>
                              <w:t xml:space="preserve"> uczniów ostatnich klas szkół ponadpodstawowych biorących udział w badaniach jest czynnikiem zachęcającym do pozostania w Południowych Mazurach, mimo świadomości, że </w:t>
                            </w:r>
                            <w:r w:rsidRPr="002F3E4B">
                              <w:rPr>
                                <w:b/>
                                <w:bCs/>
                                <w:szCs w:val="24"/>
                                <w:lang w:val="pl-PL"/>
                              </w:rPr>
                              <w:t>opinie o obszarze i jego mieszkańcach są raczej negatywne</w:t>
                            </w:r>
                            <w:r w:rsidRPr="002F3E4B">
                              <w:rPr>
                                <w:szCs w:val="24"/>
                                <w:lang w:val="pl-PL"/>
                              </w:rPr>
                              <w:t xml:space="preserve"> (jak twierdzi </w:t>
                            </w:r>
                            <w:r w:rsidRPr="002F3E4B">
                              <w:rPr>
                                <w:b/>
                                <w:bCs/>
                                <w:szCs w:val="24"/>
                                <w:lang w:val="pl-PL"/>
                              </w:rPr>
                              <w:t>41,07% mieszkańców</w:t>
                            </w:r>
                            <w:r w:rsidRPr="002F3E4B">
                              <w:rPr>
                                <w:szCs w:val="24"/>
                                <w:lang w:val="pl-PL"/>
                              </w:rPr>
                              <w:t xml:space="preserve"> i </w:t>
                            </w:r>
                            <w:r w:rsidRPr="002F3E4B">
                              <w:rPr>
                                <w:b/>
                                <w:bCs/>
                                <w:szCs w:val="24"/>
                                <w:lang w:val="pl-PL"/>
                              </w:rPr>
                              <w:t>33,07 % młodych ludzi</w:t>
                            </w:r>
                            <w:r w:rsidRPr="002F3E4B">
                              <w:rPr>
                                <w:szCs w:val="24"/>
                                <w:lang w:val="pl-PL"/>
                              </w:rPr>
                              <w:t>).</w:t>
                            </w:r>
                          </w:p>
                          <w:p w14:paraId="1EAE2705" w14:textId="31A40A35" w:rsidR="00B14787" w:rsidRPr="002F3E4B" w:rsidRDefault="00B14787" w:rsidP="002F3E4B">
                            <w:pPr>
                              <w:ind w:left="142"/>
                              <w:jc w:val="both"/>
                              <w:rPr>
                                <w:szCs w:val="24"/>
                                <w:lang w:val="pl-PL"/>
                              </w:rPr>
                            </w:pPr>
                            <w:r w:rsidRPr="002F3E4B">
                              <w:rPr>
                                <w:szCs w:val="24"/>
                                <w:lang w:val="pl-PL"/>
                              </w:rPr>
                              <w:t xml:space="preserve">Istotnym elementem zachęcającym do koncentrowania aktywności życiowej na terenie Południowych Mazur są </w:t>
                            </w:r>
                            <w:r w:rsidRPr="002F3E4B">
                              <w:rPr>
                                <w:b/>
                                <w:bCs/>
                                <w:szCs w:val="24"/>
                                <w:lang w:val="pl-PL"/>
                              </w:rPr>
                              <w:t>więzi i tradycje rodzinne</w:t>
                            </w:r>
                            <w:r w:rsidRPr="002F3E4B">
                              <w:rPr>
                                <w:szCs w:val="24"/>
                                <w:lang w:val="pl-PL"/>
                              </w:rPr>
                              <w:t xml:space="preserve"> (twierdzi tak </w:t>
                            </w:r>
                            <w:r w:rsidRPr="002F3E4B">
                              <w:rPr>
                                <w:b/>
                                <w:bCs/>
                                <w:szCs w:val="24"/>
                                <w:lang w:val="pl-PL"/>
                              </w:rPr>
                              <w:t>61,54% mieszkańców i 78,37% młodych ludzi</w:t>
                            </w:r>
                            <w:r w:rsidRPr="002F3E4B">
                              <w:rPr>
                                <w:szCs w:val="24"/>
                                <w:lang w:val="pl-PL"/>
                              </w:rPr>
                              <w:t xml:space="preserve">) oraz </w:t>
                            </w:r>
                            <w:r w:rsidRPr="002F3E4B">
                              <w:rPr>
                                <w:b/>
                                <w:bCs/>
                                <w:szCs w:val="24"/>
                                <w:lang w:val="pl-PL"/>
                              </w:rPr>
                              <w:t xml:space="preserve">relacje z przyjaciółmi i znajomymi </w:t>
                            </w:r>
                            <w:r w:rsidRPr="002F3E4B">
                              <w:rPr>
                                <w:szCs w:val="24"/>
                                <w:lang w:val="pl-PL"/>
                              </w:rPr>
                              <w:t xml:space="preserve">(opinię taką wyraziło – odpowiednio – </w:t>
                            </w:r>
                            <w:r w:rsidRPr="002F3E4B">
                              <w:rPr>
                                <w:b/>
                                <w:bCs/>
                                <w:szCs w:val="24"/>
                                <w:lang w:val="pl-PL"/>
                              </w:rPr>
                              <w:t>58,02% i 74,43%</w:t>
                            </w:r>
                            <w:r w:rsidRPr="002F3E4B">
                              <w:rPr>
                                <w:szCs w:val="24"/>
                                <w:lang w:val="pl-PL"/>
                              </w:rPr>
                              <w:t xml:space="preserve"> biorących udział w badaniu mieszkańców i uczniów)</w:t>
                            </w:r>
                            <w:r>
                              <w:rPr>
                                <w:szCs w:val="24"/>
                                <w:lang w:val="pl-PL"/>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C1BBA6" id="Pole tekstowe 139" o:spid="_x0000_s1040" type="#_x0000_t202" style="position:absolute;left:0;text-align:left;margin-left:19.5pt;margin-top:10.8pt;width:435.85pt;height:193.8pt;z-index:2516582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" fillcolor="#d9e2f3 [660]" strokecolor="#44546a [3215]" strokeweight=".5pt">
                <v:textbox>
                  <w:txbxContent>
                    <w:p w14:paraId="7CAD47F3" w14:textId="5AC812DA" w:rsidR="00B14787" w:rsidRPr="002F3E4B" w:rsidRDefault="00B14787" w:rsidP="002F3E4B">
                      <w:pPr>
                        <w:ind w:left="142"/>
                        <w:jc w:val="both"/>
                        <w:rPr>
                          <w:szCs w:val="24"/>
                          <w:lang w:val="pl-PL"/>
                        </w:rPr>
                      </w:pPr>
                      <w:r w:rsidRPr="002F3E4B">
                        <w:rPr>
                          <w:b/>
                          <w:bCs/>
                          <w:szCs w:val="24"/>
                          <w:lang w:val="pl-PL"/>
                        </w:rPr>
                        <w:t>Lokalny patriotyzm, dziedzictwo i historia</w:t>
                      </w:r>
                      <w:r w:rsidRPr="002F3E4B">
                        <w:rPr>
                          <w:szCs w:val="24"/>
                          <w:lang w:val="pl-PL"/>
                        </w:rPr>
                        <w:t xml:space="preserve"> dla </w:t>
                      </w:r>
                      <w:r w:rsidRPr="002F3E4B">
                        <w:rPr>
                          <w:b/>
                          <w:bCs/>
                          <w:szCs w:val="24"/>
                          <w:lang w:val="pl-PL"/>
                        </w:rPr>
                        <w:t>47,72% mieszkańców oraz 53,91%</w:t>
                      </w:r>
                      <w:r w:rsidRPr="002F3E4B">
                        <w:rPr>
                          <w:szCs w:val="24"/>
                          <w:lang w:val="pl-PL"/>
                        </w:rPr>
                        <w:t xml:space="preserve"> uczniów ostatnich klas szkół ponadpodstawowych biorących udział w badaniach jest czynnikiem zachęcającym do pozostania w Południowych Mazurach, mimo świadomości, że </w:t>
                      </w:r>
                      <w:r w:rsidRPr="002F3E4B">
                        <w:rPr>
                          <w:b/>
                          <w:bCs/>
                          <w:szCs w:val="24"/>
                          <w:lang w:val="pl-PL"/>
                        </w:rPr>
                        <w:t>opinie o obszarze i jego mieszkańcach są raczej negatywne</w:t>
                      </w:r>
                      <w:r w:rsidRPr="002F3E4B">
                        <w:rPr>
                          <w:szCs w:val="24"/>
                          <w:lang w:val="pl-PL"/>
                        </w:rPr>
                        <w:t xml:space="preserve"> (jak twierdzi </w:t>
                      </w:r>
                      <w:r w:rsidRPr="002F3E4B">
                        <w:rPr>
                          <w:b/>
                          <w:bCs/>
                          <w:szCs w:val="24"/>
                          <w:lang w:val="pl-PL"/>
                        </w:rPr>
                        <w:t>41,07% mieszkańców</w:t>
                      </w:r>
                      <w:r w:rsidRPr="002F3E4B">
                        <w:rPr>
                          <w:szCs w:val="24"/>
                          <w:lang w:val="pl-PL"/>
                        </w:rPr>
                        <w:t xml:space="preserve"> i </w:t>
                      </w:r>
                      <w:r w:rsidRPr="002F3E4B">
                        <w:rPr>
                          <w:b/>
                          <w:bCs/>
                          <w:szCs w:val="24"/>
                          <w:lang w:val="pl-PL"/>
                        </w:rPr>
                        <w:t>33,07 % młodych ludzi</w:t>
                      </w:r>
                      <w:r w:rsidRPr="002F3E4B">
                        <w:rPr>
                          <w:szCs w:val="24"/>
                          <w:lang w:val="pl-PL"/>
                        </w:rPr>
                        <w:t>).</w:t>
                      </w:r>
                    </w:p>
                    <w:p w14:paraId="1EAE2705" w14:textId="31A40A35" w:rsidR="00B14787" w:rsidRPr="002F3E4B" w:rsidRDefault="00B14787" w:rsidP="002F3E4B">
                      <w:pPr>
                        <w:ind w:left="142"/>
                        <w:jc w:val="both"/>
                        <w:rPr>
                          <w:szCs w:val="24"/>
                          <w:lang w:val="pl-PL"/>
                        </w:rPr>
                      </w:pPr>
                      <w:r w:rsidRPr="002F3E4B">
                        <w:rPr>
                          <w:szCs w:val="24"/>
                          <w:lang w:val="pl-PL"/>
                        </w:rPr>
                        <w:t xml:space="preserve">Istotnym elementem zachęcającym do koncentrowania aktywności życiowej na terenie Południowych Mazur są </w:t>
                      </w:r>
                      <w:r w:rsidRPr="002F3E4B">
                        <w:rPr>
                          <w:b/>
                          <w:bCs/>
                          <w:szCs w:val="24"/>
                          <w:lang w:val="pl-PL"/>
                        </w:rPr>
                        <w:t>więzi i tradycje rodzinne</w:t>
                      </w:r>
                      <w:r w:rsidRPr="002F3E4B">
                        <w:rPr>
                          <w:szCs w:val="24"/>
                          <w:lang w:val="pl-PL"/>
                        </w:rPr>
                        <w:t xml:space="preserve"> (twierdzi tak </w:t>
                      </w:r>
                      <w:r w:rsidRPr="002F3E4B">
                        <w:rPr>
                          <w:b/>
                          <w:bCs/>
                          <w:szCs w:val="24"/>
                          <w:lang w:val="pl-PL"/>
                        </w:rPr>
                        <w:t>61,54% mieszkańców i 78,37% młodych ludzi</w:t>
                      </w:r>
                      <w:r w:rsidRPr="002F3E4B">
                        <w:rPr>
                          <w:szCs w:val="24"/>
                          <w:lang w:val="pl-PL"/>
                        </w:rPr>
                        <w:t xml:space="preserve">) oraz </w:t>
                      </w:r>
                      <w:r w:rsidRPr="002F3E4B">
                        <w:rPr>
                          <w:b/>
                          <w:bCs/>
                          <w:szCs w:val="24"/>
                          <w:lang w:val="pl-PL"/>
                        </w:rPr>
                        <w:t xml:space="preserve">relacje z przyjaciółmi i znajomymi </w:t>
                      </w:r>
                      <w:r w:rsidRPr="002F3E4B">
                        <w:rPr>
                          <w:szCs w:val="24"/>
                          <w:lang w:val="pl-PL"/>
                        </w:rPr>
                        <w:t xml:space="preserve">(opinię taką wyraziło – odpowiednio – </w:t>
                      </w:r>
                      <w:r w:rsidRPr="002F3E4B">
                        <w:rPr>
                          <w:b/>
                          <w:bCs/>
                          <w:szCs w:val="24"/>
                          <w:lang w:val="pl-PL"/>
                        </w:rPr>
                        <w:t>58,02% i 74,43%</w:t>
                      </w:r>
                      <w:r w:rsidRPr="002F3E4B">
                        <w:rPr>
                          <w:szCs w:val="24"/>
                          <w:lang w:val="pl-PL"/>
                        </w:rPr>
                        <w:t xml:space="preserve"> biorących udział w badaniu mieszkańców i uczniów)</w:t>
                      </w:r>
                      <w:r>
                        <w:rPr>
                          <w:szCs w:val="24"/>
                          <w:lang w:val="pl-PL"/>
                        </w:rPr>
                        <w:t>.</w:t>
                      </w:r>
                    </w:p>
                  </w:txbxContent>
                </v:textbox>
              </v:shape>
            </w:pict>
          </mc:Fallback>
        </mc:AlternateContent>
      </w:r>
    </w:p>
    <w:p w14:paraId="0B83376B" w14:textId="6C554405" w:rsidR="002F3E4B" w:rsidRDefault="002F3E4B" w:rsidP="002F3E4B">
      <w:pPr>
        <w:rPr>
          <w:rFonts w:cstheme="majorHAnsi"/>
          <w:lang w:val="pl-PL"/>
        </w:rPr>
      </w:pPr>
    </w:p>
    <w:p w14:paraId="29253940" w14:textId="4F6DC891" w:rsidR="002F3E4B" w:rsidRDefault="002F3E4B" w:rsidP="002F3E4B">
      <w:pPr>
        <w:rPr>
          <w:rFonts w:cstheme="majorHAnsi"/>
          <w:lang w:val="pl-PL"/>
        </w:rPr>
      </w:pPr>
    </w:p>
    <w:p w14:paraId="14387577" w14:textId="19F8DEAF" w:rsidR="002F3E4B" w:rsidRDefault="002F3E4B" w:rsidP="002F3E4B">
      <w:pPr>
        <w:rPr>
          <w:rFonts w:cstheme="majorHAnsi"/>
          <w:lang w:val="pl-PL"/>
        </w:rPr>
      </w:pPr>
    </w:p>
    <w:p w14:paraId="59911A7D" w14:textId="574DD4E7" w:rsidR="002F3E4B" w:rsidRDefault="002F3E4B" w:rsidP="002F3E4B">
      <w:pPr>
        <w:rPr>
          <w:rFonts w:cstheme="majorHAnsi"/>
          <w:lang w:val="pl-PL"/>
        </w:rPr>
      </w:pPr>
    </w:p>
    <w:p w14:paraId="03507FF0" w14:textId="606ED856" w:rsidR="002F3E4B" w:rsidRDefault="002F3E4B" w:rsidP="002F3E4B">
      <w:pPr>
        <w:rPr>
          <w:rFonts w:cstheme="majorHAnsi"/>
          <w:lang w:val="pl-PL"/>
        </w:rPr>
      </w:pPr>
    </w:p>
    <w:p w14:paraId="12525C58" w14:textId="4F5A1DA7" w:rsidR="002F3E4B" w:rsidRPr="002F3E4B" w:rsidRDefault="002F3E4B" w:rsidP="002F3E4B">
      <w:pPr>
        <w:rPr>
          <w:lang w:val="pl-PL"/>
        </w:rPr>
      </w:pPr>
    </w:p>
    <w:p w14:paraId="4A66EBA4" w14:textId="77777777" w:rsidR="002F3E4B" w:rsidRPr="004E378E" w:rsidRDefault="002F3E4B" w:rsidP="004E378E">
      <w:pPr>
        <w:rPr>
          <w:rFonts w:eastAsia="Times New Roman"/>
          <w:lang w:val="pl-PL" w:eastAsia="pl-PL"/>
        </w:rPr>
      </w:pPr>
    </w:p>
    <w:p w14:paraId="3E664C0E" w14:textId="24F4C543" w:rsidR="001E162D" w:rsidRPr="001E162D" w:rsidRDefault="005D7E83" w:rsidP="00733091">
      <w:pPr>
        <w:pStyle w:val="Nagwek4"/>
        <w:spacing w:before="120" w:after="240"/>
        <w:rPr>
          <w:lang w:val="en-US"/>
        </w:rPr>
      </w:pPr>
      <w:r w:rsidRPr="005D7E83">
        <w:rPr>
          <w:rStyle w:val="Nagwek4Znak"/>
          <w:b/>
          <w:bCs/>
        </w:rPr>
        <w:t>Zasoby instytucjonalne</w:t>
      </w:r>
    </w:p>
    <w:p w14:paraId="5F0B6534" w14:textId="77777777" w:rsidR="00EE6958" w:rsidRPr="00733091" w:rsidRDefault="00EE6958" w:rsidP="00733091">
      <w:pPr>
        <w:rPr>
          <w:lang w:val="pl-PL"/>
        </w:rPr>
      </w:pPr>
      <w:r w:rsidRPr="00733091">
        <w:rPr>
          <w:lang w:val="pl-PL"/>
        </w:rPr>
        <w:t>Istotnym potencjałem, mającym wpływ na rozwój Partnerstwa jest potencjał instytucjonalny, oparty na odpowiednich strukturach organizacyjnych, kompetentnych i sprawnych urzędnikach, a także mechanizmach zapewniających właściwe wykorzystanie zasobów. Najistotniejszym zasobem są ludzie i ich kompetencje.</w:t>
      </w:r>
    </w:p>
    <w:p w14:paraId="393DCF00" w14:textId="77777777" w:rsidR="009B624B" w:rsidRDefault="00EE6958" w:rsidP="009B624B">
      <w:pPr>
        <w:rPr>
          <w:lang w:val="pl-PL"/>
        </w:rPr>
      </w:pPr>
      <w:r w:rsidRPr="00733091">
        <w:rPr>
          <w:lang w:val="pl-PL"/>
        </w:rPr>
        <w:t>Partnerstwo Południowe Mazury zatrudniało pracowników samorządowych w 22 urzędach gmin, 4 starostwach i kilkuset jednostkach organizacyjnych.</w:t>
      </w:r>
    </w:p>
    <w:p w14:paraId="3EAFA008" w14:textId="38769BA5" w:rsidR="00EE6958" w:rsidRPr="00961017" w:rsidRDefault="00EE6958" w:rsidP="009B624B">
      <w:pPr>
        <w:rPr>
          <w:lang w:val="pl-PL"/>
        </w:rPr>
      </w:pPr>
      <w:r w:rsidRPr="00733091">
        <w:rPr>
          <w:lang w:val="pl-PL"/>
        </w:rPr>
        <w:br/>
      </w:r>
      <w:r w:rsidRPr="00733091">
        <w:rPr>
          <w:b/>
          <w:bCs/>
          <w:lang w:val="pl-PL"/>
        </w:rPr>
        <w:t>Fluktuacja kadr</w:t>
      </w:r>
      <w:r w:rsidRPr="00733091">
        <w:rPr>
          <w:lang w:val="pl-PL"/>
        </w:rPr>
        <w:t xml:space="preserve"> w podstawowych strukturach organizacyjnych Południowych Mazur (urzędy gminy, starostwa) </w:t>
      </w:r>
      <w:r w:rsidRPr="00733091">
        <w:rPr>
          <w:b/>
          <w:bCs/>
          <w:lang w:val="pl-PL"/>
        </w:rPr>
        <w:t>nie jest wysoka</w:t>
      </w:r>
      <w:r w:rsidRPr="00733091">
        <w:rPr>
          <w:lang w:val="pl-PL"/>
        </w:rPr>
        <w:t xml:space="preserve"> - w 60% instytucji jest mniejsza niż 5% rocznie, 20% jednostek deklaruje fluktuację na poziomie 6-10% rocznie, 8% od 11-15% rocznie, a tylko 12% powyżej 15% rocznie. Stosunkowo niska (w większości przypadków) rotacja kadr gwarantuje </w:t>
      </w:r>
      <w:r w:rsidRPr="00733091">
        <w:rPr>
          <w:b/>
          <w:bCs/>
          <w:lang w:val="pl-PL"/>
        </w:rPr>
        <w:t xml:space="preserve">pamięć instytucjonalną jednostek Południowych Mazur, co jest istotne z punktu widzenia ciągłości działań </w:t>
      </w:r>
      <w:r w:rsidRPr="00733091">
        <w:rPr>
          <w:b/>
          <w:bCs/>
          <w:lang w:val="pl-PL"/>
        </w:rPr>
        <w:br/>
        <w:t>i umiejętności współpracy.</w:t>
      </w:r>
    </w:p>
    <w:p w14:paraId="729B2998" w14:textId="25ABF417" w:rsidR="00EE6958" w:rsidRPr="00733091" w:rsidRDefault="00EE6958" w:rsidP="00733091">
      <w:pPr>
        <w:rPr>
          <w:lang w:val="pl-PL"/>
        </w:rPr>
      </w:pPr>
      <w:r w:rsidRPr="00733091">
        <w:rPr>
          <w:lang w:val="pl-PL"/>
        </w:rPr>
        <w:lastRenderedPageBreak/>
        <w:t xml:space="preserve">Kluczowy wpływ na jakość działań pracowników administracji mają ich </w:t>
      </w:r>
      <w:r w:rsidRPr="00733091">
        <w:rPr>
          <w:b/>
          <w:bCs/>
          <w:lang w:val="pl-PL"/>
        </w:rPr>
        <w:t>kompetencje</w:t>
      </w:r>
      <w:r w:rsidRPr="00733091">
        <w:rPr>
          <w:lang w:val="pl-PL"/>
        </w:rPr>
        <w:t xml:space="preserve">. W Południowych Mazurach pracownicy podnoszą kompetencje podczas szkoleń innych niż obowiązkowe co najmniej raz w roku; przy czym 44% pracowników korzysta ze szkoleń co najmniej 3 razy do roku, 40% - 2 razy w roku, </w:t>
      </w:r>
      <w:r w:rsidR="004E378E">
        <w:rPr>
          <w:lang w:val="pl-PL"/>
        </w:rPr>
        <w:br/>
      </w:r>
      <w:r w:rsidRPr="00733091">
        <w:rPr>
          <w:lang w:val="pl-PL"/>
        </w:rPr>
        <w:t xml:space="preserve">a raz w roku jedynie 16%. Jednakże aż 60% instytucji wysyła swoich pracowników na szkolenia bez dostosowania tematyki szkolenia do istniejącego zapotrzebowania </w:t>
      </w:r>
      <w:r w:rsidR="00FF6FD9">
        <w:rPr>
          <w:lang w:val="pl-PL"/>
        </w:rPr>
        <w:br/>
      </w:r>
      <w:r w:rsidRPr="00733091">
        <w:rPr>
          <w:lang w:val="pl-PL"/>
        </w:rPr>
        <w:t>w tym zakresie (tylko w 40% instytucji istnieje plan szkoleniowy, który jest wynikiem badania kompetencji pracowników).</w:t>
      </w:r>
    </w:p>
    <w:p w14:paraId="15A2ABCD" w14:textId="2DB27356" w:rsidR="001E162D" w:rsidRPr="00690E7F" w:rsidRDefault="003405DB" w:rsidP="00733091">
      <w:pPr>
        <w:pStyle w:val="Nagwek4"/>
        <w:spacing w:before="120" w:after="240"/>
      </w:pPr>
      <w:r w:rsidRPr="003405DB">
        <w:t xml:space="preserve">Współpraca </w:t>
      </w:r>
      <w:r w:rsidR="00961017">
        <w:t xml:space="preserve">z kluczowymi partnerami instutucjonalnymi </w:t>
      </w:r>
    </w:p>
    <w:p w14:paraId="3FF24009" w14:textId="77777777" w:rsidR="002F3E4B" w:rsidRDefault="00EE6958" w:rsidP="002F3E4B">
      <w:pPr>
        <w:rPr>
          <w:color w:val="4472C4" w:themeColor="accent1"/>
          <w:lang w:val="pl-PL"/>
        </w:rPr>
      </w:pPr>
      <w:r w:rsidRPr="00733091">
        <w:rPr>
          <w:lang w:val="pl-PL"/>
        </w:rPr>
        <w:t>Kluczowa dla realizacji wspólnych projektów, w tym projektów rozwojowych Partnerstwa jest umiejętność współpracy między instytucjami oraz między pracownikami tworzącymi te instytucje.</w:t>
      </w:r>
      <w:r w:rsidR="002F3E4B">
        <w:rPr>
          <w:color w:val="4472C4" w:themeColor="accent1"/>
          <w:lang w:val="pl-PL"/>
        </w:rPr>
        <w:t xml:space="preserve"> </w:t>
      </w:r>
    </w:p>
    <w:p w14:paraId="34789E7E" w14:textId="77777777" w:rsidR="00FF6FD9" w:rsidRDefault="00EE6958" w:rsidP="00C71ABD">
      <w:pPr>
        <w:rPr>
          <w:lang w:val="pl-PL"/>
        </w:rPr>
      </w:pPr>
      <w:r w:rsidRPr="00733091">
        <w:rPr>
          <w:lang w:val="pl-PL"/>
        </w:rPr>
        <w:t xml:space="preserve">Współpraca między JST (gminami, powiatami) wchodzącymi w skład Partnerstwa odbywała się w oparciu o </w:t>
      </w:r>
      <w:r w:rsidRPr="00733091">
        <w:rPr>
          <w:b/>
          <w:bCs/>
          <w:lang w:val="pl-PL"/>
        </w:rPr>
        <w:t>formy zinstytucjonalizowane</w:t>
      </w:r>
      <w:r w:rsidRPr="00733091">
        <w:rPr>
          <w:lang w:val="pl-PL"/>
        </w:rPr>
        <w:t xml:space="preserve">, tj. wspólną działalność </w:t>
      </w:r>
      <w:r w:rsidR="009B624B">
        <w:rPr>
          <w:lang w:val="pl-PL"/>
        </w:rPr>
        <w:br/>
      </w:r>
      <w:r w:rsidRPr="00733091">
        <w:rPr>
          <w:lang w:val="pl-PL"/>
        </w:rPr>
        <w:t xml:space="preserve">w ramach organizacji, w skład których wchodzą wszystkie lub niektóre z JST tworzące Partnerstwo (wykaz poniżej) oraz </w:t>
      </w:r>
      <w:r w:rsidRPr="00733091">
        <w:rPr>
          <w:b/>
          <w:bCs/>
          <w:lang w:val="pl-PL"/>
        </w:rPr>
        <w:t>formy niezinstytucjonalizowane</w:t>
      </w:r>
      <w:r w:rsidRPr="00733091">
        <w:rPr>
          <w:lang w:val="pl-PL"/>
        </w:rPr>
        <w:t xml:space="preserve"> (współpraca na podstawie porozumień/umów zawieranych celem wspólnej realizacji pojedynczych projektów/przedsięwzięć lub wspólne finansowanie przedsięwzięć).</w:t>
      </w:r>
      <w:r w:rsidR="00961017">
        <w:rPr>
          <w:lang w:val="pl-PL"/>
        </w:rPr>
        <w:t xml:space="preserve"> Podobną formę przybierała również współpraca Partnerów z podmiotami nie wchodzącymi w skład Partnerstwa (zrzeszonymi w stowarzyszeniach, lokalnych grupach działania czy związkach międzygminnych)</w:t>
      </w:r>
      <w:r w:rsidR="00FF6FD9">
        <w:rPr>
          <w:lang w:val="pl-PL"/>
        </w:rPr>
        <w:t>.</w:t>
      </w:r>
      <w:r w:rsidR="00C71ABD">
        <w:rPr>
          <w:lang w:val="pl-PL"/>
        </w:rPr>
        <w:br/>
      </w:r>
    </w:p>
    <w:p w14:paraId="0D71BF54" w14:textId="408B20DD" w:rsidR="00961017" w:rsidRPr="002F3E4B" w:rsidRDefault="00961017" w:rsidP="00C71ABD">
      <w:pPr>
        <w:rPr>
          <w:lang w:val="pl-PL"/>
        </w:rPr>
      </w:pPr>
      <w:r>
        <w:rPr>
          <w:lang w:val="pl-PL"/>
        </w:rPr>
        <w:t>Zestawienie instytucjonalnych form współpracy gmin wchodzących w skład Partnerstwa zawiera tabela nr 11</w:t>
      </w:r>
    </w:p>
    <w:p w14:paraId="5F094189" w14:textId="5578F525" w:rsidR="00666811" w:rsidRDefault="00EE6958" w:rsidP="002E24A9">
      <w:pPr>
        <w:pStyle w:val="Legenda"/>
        <w:rPr>
          <w:lang w:val="pl-PL"/>
        </w:rPr>
      </w:pPr>
      <w:bookmarkStart w:id="84" w:name="_Toc69723260"/>
      <w:r w:rsidRPr="00733091">
        <w:rPr>
          <w:lang w:val="pl-PL"/>
        </w:rPr>
        <w:t xml:space="preserve">Tabela </w:t>
      </w:r>
      <w:r w:rsidR="00733091">
        <w:fldChar w:fldCharType="begin"/>
      </w:r>
      <w:r w:rsidR="00733091" w:rsidRPr="00733091">
        <w:rPr>
          <w:lang w:val="pl-PL"/>
        </w:rPr>
        <w:instrText xml:space="preserve"> SEQ Tabela \* ARABIC </w:instrText>
      </w:r>
      <w:r w:rsidR="00733091">
        <w:fldChar w:fldCharType="separate"/>
      </w:r>
      <w:r w:rsidR="00B14787">
        <w:rPr>
          <w:noProof/>
          <w:lang w:val="pl-PL"/>
        </w:rPr>
        <w:t>11</w:t>
      </w:r>
      <w:r w:rsidR="00733091">
        <w:rPr>
          <w:noProof/>
        </w:rPr>
        <w:fldChar w:fldCharType="end"/>
      </w:r>
      <w:r w:rsidRPr="00733091">
        <w:rPr>
          <w:lang w:val="pl-PL"/>
        </w:rPr>
        <w:t>: Instytucjonalne formy współpracy JST wchodzących w skład Partnerstwa</w:t>
      </w:r>
      <w:bookmarkEnd w:id="84"/>
    </w:p>
    <w:tbl>
      <w:tblPr>
        <w:tblStyle w:val="Tabela-Siatka"/>
        <w:tblW w:w="0" w:type="auto"/>
        <w:tblInd w:w="-5" w:type="dxa"/>
        <w:tblLook w:val="04A0" w:firstRow="1" w:lastRow="0" w:firstColumn="1" w:lastColumn="0" w:noHBand="0" w:noVBand="1"/>
      </w:tblPr>
      <w:tblGrid>
        <w:gridCol w:w="4982"/>
        <w:gridCol w:w="4083"/>
      </w:tblGrid>
      <w:tr w:rsidR="00661021" w14:paraId="44E48EAE" w14:textId="77777777" w:rsidTr="00661021">
        <w:trPr>
          <w:tblHeader/>
        </w:trPr>
        <w:tc>
          <w:tcPr>
            <w:tcW w:w="4982" w:type="dxa"/>
            <w:shd w:val="clear" w:color="auto" w:fill="FFC000"/>
            <w:vAlign w:val="center"/>
          </w:tcPr>
          <w:p w14:paraId="31C2679C" w14:textId="226D5361" w:rsidR="00661021" w:rsidRPr="00661021" w:rsidRDefault="00661021" w:rsidP="004E50FF">
            <w:pPr>
              <w:spacing w:before="0" w:after="0"/>
              <w:ind w:left="0"/>
              <w:rPr>
                <w:b/>
                <w:bCs/>
                <w:lang w:val="pl-PL"/>
              </w:rPr>
            </w:pPr>
            <w:r w:rsidRPr="00661021">
              <w:rPr>
                <w:b/>
                <w:bCs/>
              </w:rPr>
              <w:t>Rodzaj i nazwa organizacji</w:t>
            </w:r>
          </w:p>
        </w:tc>
        <w:tc>
          <w:tcPr>
            <w:tcW w:w="4083" w:type="dxa"/>
            <w:shd w:val="clear" w:color="auto" w:fill="FFC000"/>
            <w:vAlign w:val="center"/>
          </w:tcPr>
          <w:p w14:paraId="0A0D8CF0" w14:textId="5724759F" w:rsidR="00661021" w:rsidRPr="00661021" w:rsidRDefault="00661021" w:rsidP="004E50FF">
            <w:pPr>
              <w:spacing w:before="0" w:after="0"/>
              <w:ind w:left="0"/>
              <w:rPr>
                <w:b/>
                <w:bCs/>
                <w:lang w:val="pl-PL"/>
              </w:rPr>
            </w:pPr>
            <w:r w:rsidRPr="00661021">
              <w:rPr>
                <w:b/>
                <w:bCs/>
              </w:rPr>
              <w:t>Nazwa JST – członka organizacji</w:t>
            </w:r>
          </w:p>
        </w:tc>
      </w:tr>
      <w:tr w:rsidR="00661021" w14:paraId="0EDC329F" w14:textId="77777777" w:rsidTr="00661021">
        <w:tc>
          <w:tcPr>
            <w:tcW w:w="9065" w:type="dxa"/>
            <w:gridSpan w:val="2"/>
            <w:shd w:val="clear" w:color="auto" w:fill="BFBFBF" w:themeFill="background1" w:themeFillShade="BF"/>
          </w:tcPr>
          <w:p w14:paraId="100255F5" w14:textId="77777777" w:rsidR="00661021" w:rsidRDefault="00661021" w:rsidP="004E50FF">
            <w:pPr>
              <w:spacing w:before="0" w:after="0"/>
              <w:ind w:left="0"/>
              <w:rPr>
                <w:b/>
                <w:bCs/>
              </w:rPr>
            </w:pPr>
            <w:r w:rsidRPr="00661021">
              <w:rPr>
                <w:b/>
                <w:bCs/>
              </w:rPr>
              <w:t>Lokalne organizacje turystyczne</w:t>
            </w:r>
          </w:p>
          <w:p w14:paraId="06F20CA8" w14:textId="3B2EDDDE" w:rsidR="00745CDB" w:rsidRPr="00661021" w:rsidRDefault="00745CDB" w:rsidP="004E50FF">
            <w:pPr>
              <w:spacing w:before="0" w:after="0"/>
              <w:ind w:left="0"/>
              <w:rPr>
                <w:b/>
                <w:bCs/>
                <w:lang w:val="pl-PL"/>
              </w:rPr>
            </w:pPr>
          </w:p>
        </w:tc>
      </w:tr>
      <w:tr w:rsidR="00661021" w14:paraId="738C9F5F" w14:textId="77777777" w:rsidTr="00661021">
        <w:tc>
          <w:tcPr>
            <w:tcW w:w="4982" w:type="dxa"/>
            <w:vAlign w:val="center"/>
          </w:tcPr>
          <w:p w14:paraId="308EA9F8" w14:textId="0BCC0DB8" w:rsidR="00661021" w:rsidRDefault="00661021" w:rsidP="004E50FF">
            <w:pPr>
              <w:spacing w:before="0" w:after="0"/>
              <w:ind w:left="0"/>
              <w:rPr>
                <w:lang w:val="pl-PL"/>
              </w:rPr>
            </w:pPr>
            <w:r w:rsidRPr="00661021">
              <w:rPr>
                <w:lang w:val="pl-PL"/>
              </w:rPr>
              <w:t>Lokalna Organizacja Turystyczna Powiatu Nidzickiego</w:t>
            </w:r>
          </w:p>
        </w:tc>
        <w:tc>
          <w:tcPr>
            <w:tcW w:w="4083" w:type="dxa"/>
            <w:vAlign w:val="center"/>
          </w:tcPr>
          <w:p w14:paraId="6C1B6F60" w14:textId="2E371101" w:rsidR="00661021" w:rsidRDefault="00661021" w:rsidP="004E50FF">
            <w:pPr>
              <w:spacing w:before="0" w:after="0"/>
              <w:ind w:left="0"/>
              <w:rPr>
                <w:lang w:val="pl-PL"/>
              </w:rPr>
            </w:pPr>
            <w:r w:rsidRPr="00BD3D54">
              <w:t>Powiat Nidzicki, Nidzica</w:t>
            </w:r>
          </w:p>
        </w:tc>
      </w:tr>
      <w:tr w:rsidR="00661021" w14:paraId="21585C80" w14:textId="77777777" w:rsidTr="00661021">
        <w:tc>
          <w:tcPr>
            <w:tcW w:w="4982" w:type="dxa"/>
            <w:vAlign w:val="center"/>
          </w:tcPr>
          <w:p w14:paraId="74CAF61F" w14:textId="6290F27C" w:rsidR="00661021" w:rsidRPr="00661021" w:rsidRDefault="00661021" w:rsidP="004E50FF">
            <w:pPr>
              <w:pStyle w:val="elementgraficznytabela"/>
              <w:spacing w:before="0" w:after="0"/>
              <w:contextualSpacing/>
              <w:rPr>
                <w:b/>
              </w:rPr>
            </w:pPr>
            <w:r w:rsidRPr="00BD3D54">
              <w:t>Lokalna Organizacja Turystyczna Powiatu Szczycieńskiego</w:t>
            </w:r>
          </w:p>
        </w:tc>
        <w:tc>
          <w:tcPr>
            <w:tcW w:w="4083" w:type="dxa"/>
            <w:vAlign w:val="center"/>
          </w:tcPr>
          <w:p w14:paraId="2950F1C8" w14:textId="7A9A2C73" w:rsidR="00661021" w:rsidRDefault="00661021" w:rsidP="004E50FF">
            <w:pPr>
              <w:spacing w:before="0" w:after="0"/>
              <w:ind w:left="0"/>
              <w:rPr>
                <w:lang w:val="pl-PL"/>
              </w:rPr>
            </w:pPr>
            <w:r w:rsidRPr="00BD3D54">
              <w:t>Powiat Szczycieński, miasto Szczytno</w:t>
            </w:r>
          </w:p>
        </w:tc>
      </w:tr>
      <w:tr w:rsidR="00661021" w14:paraId="2D42C8F9" w14:textId="77777777" w:rsidTr="00661021">
        <w:tc>
          <w:tcPr>
            <w:tcW w:w="9065" w:type="dxa"/>
            <w:gridSpan w:val="2"/>
            <w:shd w:val="clear" w:color="auto" w:fill="BFBFBF" w:themeFill="background1" w:themeFillShade="BF"/>
          </w:tcPr>
          <w:p w14:paraId="5A12679E" w14:textId="77777777" w:rsidR="00661021" w:rsidRPr="00745CDB" w:rsidRDefault="00661021" w:rsidP="004E50FF">
            <w:pPr>
              <w:spacing w:before="0" w:after="0"/>
              <w:ind w:left="0"/>
              <w:rPr>
                <w:b/>
                <w:bCs/>
              </w:rPr>
            </w:pPr>
            <w:r w:rsidRPr="00745CDB">
              <w:rPr>
                <w:b/>
                <w:bCs/>
              </w:rPr>
              <w:t>Lokalne grupy działania</w:t>
            </w:r>
          </w:p>
          <w:p w14:paraId="4278BEF6" w14:textId="01093A68" w:rsidR="00745CDB" w:rsidRDefault="00745CDB" w:rsidP="004E50FF">
            <w:pPr>
              <w:spacing w:before="0" w:after="0"/>
              <w:ind w:left="0"/>
              <w:rPr>
                <w:lang w:val="pl-PL"/>
              </w:rPr>
            </w:pPr>
          </w:p>
        </w:tc>
      </w:tr>
      <w:tr w:rsidR="00661021" w:rsidRPr="00176303" w14:paraId="50C8859E" w14:textId="77777777" w:rsidTr="00661021">
        <w:tc>
          <w:tcPr>
            <w:tcW w:w="4982" w:type="dxa"/>
            <w:vAlign w:val="center"/>
          </w:tcPr>
          <w:p w14:paraId="7624B79E" w14:textId="1059A457" w:rsidR="00661021" w:rsidRDefault="00B14787" w:rsidP="004E50FF">
            <w:pPr>
              <w:spacing w:before="0" w:after="0"/>
              <w:ind w:left="0"/>
              <w:rPr>
                <w:lang w:val="pl-PL"/>
              </w:rPr>
            </w:pPr>
            <w:hyperlink r:id="rId92" w:history="1">
              <w:r w:rsidR="00661021" w:rsidRPr="00661021">
                <w:rPr>
                  <w:rStyle w:val="Hipercze"/>
                  <w:color w:val="auto"/>
                  <w:u w:val="none"/>
                  <w:lang w:val="pl-PL"/>
                </w:rPr>
                <w:t>Lokalna Grupa Działania "Mazurskie Morze"</w:t>
              </w:r>
            </w:hyperlink>
          </w:p>
        </w:tc>
        <w:tc>
          <w:tcPr>
            <w:tcW w:w="4083" w:type="dxa"/>
            <w:vAlign w:val="center"/>
          </w:tcPr>
          <w:p w14:paraId="79A52D51" w14:textId="5A024923" w:rsidR="00661021" w:rsidRDefault="00661021" w:rsidP="004E50FF">
            <w:pPr>
              <w:spacing w:before="0" w:after="0"/>
              <w:ind w:left="0"/>
              <w:rPr>
                <w:lang w:val="pl-PL"/>
              </w:rPr>
            </w:pPr>
            <w:r w:rsidRPr="00661021">
              <w:rPr>
                <w:rStyle w:val="Hipercze"/>
                <w:color w:val="auto"/>
                <w:u w:val="none"/>
                <w:lang w:val="pl-PL"/>
              </w:rPr>
              <w:t>Biała Piska, Orzysz, Pisz, Ruciane- Nida</w:t>
            </w:r>
          </w:p>
        </w:tc>
      </w:tr>
      <w:tr w:rsidR="00661021" w:rsidRPr="00176303" w14:paraId="4A3474F8" w14:textId="77777777" w:rsidTr="00661021">
        <w:tc>
          <w:tcPr>
            <w:tcW w:w="4982" w:type="dxa"/>
            <w:vAlign w:val="center"/>
          </w:tcPr>
          <w:p w14:paraId="37BAEEB7" w14:textId="24BCB203" w:rsidR="00661021" w:rsidRDefault="00B14787" w:rsidP="004E50FF">
            <w:pPr>
              <w:spacing w:before="0" w:after="0"/>
              <w:ind w:left="0"/>
              <w:rPr>
                <w:lang w:val="pl-PL"/>
              </w:rPr>
            </w:pPr>
            <w:hyperlink r:id="rId93" w:history="1">
              <w:r w:rsidR="00661021" w:rsidRPr="00661021">
                <w:rPr>
                  <w:rStyle w:val="Hipercze"/>
                  <w:color w:val="auto"/>
                  <w:u w:val="none"/>
                  <w:lang w:val="pl-PL"/>
                </w:rPr>
                <w:t>Stowarzyszenie Lokalna Grupa Działania "Brama Mazurskiej Krainy"</w:t>
              </w:r>
            </w:hyperlink>
          </w:p>
        </w:tc>
        <w:tc>
          <w:tcPr>
            <w:tcW w:w="4083" w:type="dxa"/>
            <w:vAlign w:val="center"/>
          </w:tcPr>
          <w:p w14:paraId="1964C709" w14:textId="7605DEF3" w:rsidR="00661021" w:rsidRDefault="00661021" w:rsidP="004E50FF">
            <w:pPr>
              <w:spacing w:before="0" w:after="0"/>
              <w:ind w:left="0"/>
              <w:rPr>
                <w:lang w:val="pl-PL"/>
              </w:rPr>
            </w:pPr>
            <w:r w:rsidRPr="00661021">
              <w:rPr>
                <w:lang w:val="pl-PL"/>
              </w:rPr>
              <w:t>Gmina Nidzica, Powiat Nidzicki, Gmina Kozłowo, Gmina Janowiec Kościelny, Gmina Janowo, Gmina Wielbark, Gmina Szczytno, Powiat Szczycieński, Gmina Jedwabno, Gmina Rozogi, Gmina Dźwierzuty, Gmina Świętajno, Gmina Iłowo-Osada, Gmina Działdowo, Powiat Działdowski, Gmina Płośnica</w:t>
            </w:r>
          </w:p>
        </w:tc>
      </w:tr>
      <w:tr w:rsidR="00661021" w:rsidRPr="00176303" w14:paraId="7A6F5968" w14:textId="77777777" w:rsidTr="00661021">
        <w:tc>
          <w:tcPr>
            <w:tcW w:w="4982" w:type="dxa"/>
            <w:vAlign w:val="center"/>
          </w:tcPr>
          <w:p w14:paraId="5978199F" w14:textId="5A470384" w:rsidR="00661021" w:rsidRDefault="00B14787" w:rsidP="004E50FF">
            <w:pPr>
              <w:spacing w:before="0" w:after="0"/>
              <w:ind w:left="0"/>
              <w:rPr>
                <w:lang w:val="pl-PL"/>
              </w:rPr>
            </w:pPr>
            <w:hyperlink r:id="rId94" w:history="1">
              <w:r w:rsidR="00661021" w:rsidRPr="00661021">
                <w:rPr>
                  <w:rStyle w:val="Hipercze"/>
                  <w:color w:val="auto"/>
                  <w:u w:val="none"/>
                  <w:lang w:val="pl-PL"/>
                </w:rPr>
                <w:t>Lokalna Grupa Działania "Mazurskie Morze"</w:t>
              </w:r>
            </w:hyperlink>
          </w:p>
        </w:tc>
        <w:tc>
          <w:tcPr>
            <w:tcW w:w="4083" w:type="dxa"/>
            <w:vAlign w:val="center"/>
          </w:tcPr>
          <w:p w14:paraId="6F7BC632" w14:textId="715EC6E0" w:rsidR="00661021" w:rsidRDefault="00661021" w:rsidP="004E50FF">
            <w:pPr>
              <w:spacing w:before="0" w:after="0"/>
              <w:ind w:left="0"/>
              <w:rPr>
                <w:lang w:val="pl-PL"/>
              </w:rPr>
            </w:pPr>
            <w:r w:rsidRPr="00661021">
              <w:rPr>
                <w:rStyle w:val="Hipercze"/>
                <w:color w:val="auto"/>
                <w:u w:val="none"/>
                <w:lang w:val="pl-PL"/>
              </w:rPr>
              <w:t>Biała Piska, Orzysz, Pisz, Ruciane- Nida</w:t>
            </w:r>
          </w:p>
        </w:tc>
      </w:tr>
      <w:tr w:rsidR="00661021" w14:paraId="1AA239CA" w14:textId="77777777" w:rsidTr="00661021">
        <w:tc>
          <w:tcPr>
            <w:tcW w:w="9065" w:type="dxa"/>
            <w:gridSpan w:val="2"/>
            <w:shd w:val="clear" w:color="auto" w:fill="BFBFBF" w:themeFill="background1" w:themeFillShade="BF"/>
          </w:tcPr>
          <w:p w14:paraId="0F3E391F" w14:textId="77777777" w:rsidR="00661021" w:rsidRDefault="00661021" w:rsidP="004E50FF">
            <w:pPr>
              <w:spacing w:before="0" w:after="0"/>
              <w:ind w:left="0"/>
              <w:rPr>
                <w:b/>
                <w:bCs/>
                <w:lang w:val="pl-PL"/>
              </w:rPr>
            </w:pPr>
            <w:r w:rsidRPr="00661021">
              <w:rPr>
                <w:b/>
                <w:bCs/>
                <w:lang w:val="pl-PL"/>
              </w:rPr>
              <w:t xml:space="preserve">Stowarzyszenia </w:t>
            </w:r>
          </w:p>
          <w:p w14:paraId="6EE32228" w14:textId="0F1E0F50" w:rsidR="00745CDB" w:rsidRPr="00661021" w:rsidRDefault="00745CDB" w:rsidP="004E50FF">
            <w:pPr>
              <w:spacing w:before="0" w:after="0"/>
              <w:ind w:left="0"/>
              <w:rPr>
                <w:b/>
                <w:bCs/>
                <w:lang w:val="pl-PL"/>
              </w:rPr>
            </w:pPr>
          </w:p>
        </w:tc>
      </w:tr>
      <w:tr w:rsidR="00661021" w:rsidRPr="00176303" w14:paraId="2E0F4750" w14:textId="77777777" w:rsidTr="00661021">
        <w:tc>
          <w:tcPr>
            <w:tcW w:w="4982" w:type="dxa"/>
            <w:vAlign w:val="center"/>
          </w:tcPr>
          <w:p w14:paraId="5C8FCB87" w14:textId="42460CDC" w:rsidR="00661021" w:rsidRDefault="00661021" w:rsidP="004E50FF">
            <w:pPr>
              <w:spacing w:before="0" w:after="0"/>
              <w:ind w:left="0"/>
              <w:rPr>
                <w:lang w:val="pl-PL"/>
              </w:rPr>
            </w:pPr>
            <w:r w:rsidRPr="00BD3D54">
              <w:t>Stowarzyszenie Wielkie Jeziora Mazurskie</w:t>
            </w:r>
          </w:p>
        </w:tc>
        <w:tc>
          <w:tcPr>
            <w:tcW w:w="4083" w:type="dxa"/>
            <w:vAlign w:val="center"/>
          </w:tcPr>
          <w:p w14:paraId="137FEF62" w14:textId="2B595C13" w:rsidR="00661021" w:rsidRDefault="00661021" w:rsidP="004E50FF">
            <w:pPr>
              <w:spacing w:before="0" w:after="0"/>
              <w:ind w:left="0"/>
              <w:rPr>
                <w:lang w:val="pl-PL"/>
              </w:rPr>
            </w:pPr>
            <w:r w:rsidRPr="00661021">
              <w:rPr>
                <w:lang w:val="pl-PL"/>
              </w:rPr>
              <w:t>Orzysz, Pisz, Ruciane-Nida, Biała Piska, Powiat Piski</w:t>
            </w:r>
            <w:r w:rsidR="009B624B">
              <w:rPr>
                <w:lang w:val="pl-PL"/>
              </w:rPr>
              <w:t>, Gmina Świętajno</w:t>
            </w:r>
          </w:p>
        </w:tc>
      </w:tr>
      <w:tr w:rsidR="00661021" w:rsidRPr="00176303" w14:paraId="17C4F8A1" w14:textId="77777777" w:rsidTr="00661021">
        <w:tc>
          <w:tcPr>
            <w:tcW w:w="4982" w:type="dxa"/>
            <w:vAlign w:val="center"/>
          </w:tcPr>
          <w:p w14:paraId="1B2F9132" w14:textId="79B67A45" w:rsidR="00661021" w:rsidRDefault="00661021" w:rsidP="004E50FF">
            <w:pPr>
              <w:spacing w:before="0" w:after="0"/>
              <w:ind w:left="0"/>
              <w:rPr>
                <w:lang w:val="pl-PL"/>
              </w:rPr>
            </w:pPr>
            <w:r w:rsidRPr="00BD3D54">
              <w:t>Stowarzyszenie Polskie Miasta Cittaslow</w:t>
            </w:r>
          </w:p>
        </w:tc>
        <w:tc>
          <w:tcPr>
            <w:tcW w:w="4083" w:type="dxa"/>
            <w:vAlign w:val="center"/>
          </w:tcPr>
          <w:p w14:paraId="0AE1E96F" w14:textId="687DA538" w:rsidR="00661021" w:rsidRDefault="00661021" w:rsidP="004E50FF">
            <w:pPr>
              <w:spacing w:before="0" w:after="0"/>
              <w:ind w:left="0"/>
              <w:rPr>
                <w:lang w:val="pl-PL"/>
              </w:rPr>
            </w:pPr>
            <w:r w:rsidRPr="00661021">
              <w:rPr>
                <w:lang w:val="pl-PL"/>
              </w:rPr>
              <w:t>Nidzica, Pasym, Działdowo, Lidzbark, Szczytno</w:t>
            </w:r>
          </w:p>
        </w:tc>
      </w:tr>
      <w:tr w:rsidR="00661021" w14:paraId="244833BA" w14:textId="77777777" w:rsidTr="00661021">
        <w:tc>
          <w:tcPr>
            <w:tcW w:w="9065" w:type="dxa"/>
            <w:gridSpan w:val="2"/>
            <w:shd w:val="clear" w:color="auto" w:fill="BFBFBF" w:themeFill="background1" w:themeFillShade="BF"/>
          </w:tcPr>
          <w:p w14:paraId="730876BC" w14:textId="77777777" w:rsidR="00661021" w:rsidRDefault="00661021" w:rsidP="004E50FF">
            <w:pPr>
              <w:spacing w:before="0" w:after="0"/>
              <w:ind w:left="0"/>
              <w:rPr>
                <w:b/>
                <w:bCs/>
                <w:lang w:val="pl-PL"/>
              </w:rPr>
            </w:pPr>
            <w:r w:rsidRPr="00661021">
              <w:rPr>
                <w:b/>
                <w:bCs/>
                <w:lang w:val="pl-PL"/>
              </w:rPr>
              <w:t>Związki międzygminne</w:t>
            </w:r>
          </w:p>
          <w:p w14:paraId="0E9FD201" w14:textId="6122118F" w:rsidR="00745CDB" w:rsidRPr="00661021" w:rsidRDefault="00745CDB" w:rsidP="004E50FF">
            <w:pPr>
              <w:spacing w:before="0" w:after="0"/>
              <w:ind w:left="0"/>
              <w:rPr>
                <w:b/>
                <w:bCs/>
                <w:lang w:val="pl-PL"/>
              </w:rPr>
            </w:pPr>
          </w:p>
        </w:tc>
      </w:tr>
      <w:tr w:rsidR="00661021" w:rsidRPr="00176303" w14:paraId="40FD51CA" w14:textId="77777777" w:rsidTr="00661021">
        <w:tc>
          <w:tcPr>
            <w:tcW w:w="4982" w:type="dxa"/>
            <w:vAlign w:val="center"/>
          </w:tcPr>
          <w:p w14:paraId="00F5255D" w14:textId="2D36311B" w:rsidR="00661021" w:rsidRDefault="00661021" w:rsidP="004E50FF">
            <w:pPr>
              <w:spacing w:before="0" w:after="0"/>
              <w:ind w:left="0"/>
              <w:rPr>
                <w:lang w:val="pl-PL"/>
              </w:rPr>
            </w:pPr>
            <w:r w:rsidRPr="00BD3D54">
              <w:t>Ekologiczny Związek Gmin Działdowszczyzna</w:t>
            </w:r>
          </w:p>
        </w:tc>
        <w:tc>
          <w:tcPr>
            <w:tcW w:w="4083" w:type="dxa"/>
            <w:vAlign w:val="center"/>
          </w:tcPr>
          <w:p w14:paraId="57A71C80" w14:textId="1306A025" w:rsidR="00661021" w:rsidRDefault="00661021" w:rsidP="004E50FF">
            <w:pPr>
              <w:spacing w:before="0" w:after="0"/>
              <w:ind w:left="0"/>
              <w:rPr>
                <w:lang w:val="pl-PL"/>
              </w:rPr>
            </w:pPr>
            <w:r w:rsidRPr="00661021">
              <w:rPr>
                <w:lang w:val="pl-PL"/>
              </w:rPr>
              <w:t>miasto Działdowo, Lidzbark, gmina Działdowo, Iłowo – Osada, Płośnica, Rybno, Kozłowo, Janowiec Kościelny</w:t>
            </w:r>
          </w:p>
        </w:tc>
      </w:tr>
      <w:tr w:rsidR="00661021" w:rsidRPr="00176303" w14:paraId="1BF4A243" w14:textId="77777777" w:rsidTr="00661021">
        <w:tc>
          <w:tcPr>
            <w:tcW w:w="4982" w:type="dxa"/>
            <w:vAlign w:val="center"/>
          </w:tcPr>
          <w:p w14:paraId="513777EA" w14:textId="417387C5" w:rsidR="00661021" w:rsidRDefault="00661021" w:rsidP="004E50FF">
            <w:pPr>
              <w:pStyle w:val="elementgraficznytabela"/>
              <w:spacing w:before="0" w:after="0"/>
              <w:contextualSpacing/>
            </w:pPr>
            <w:r w:rsidRPr="00BD3D54">
              <w:t>Związek Gmin Warmińsko-Mazurskich</w:t>
            </w:r>
          </w:p>
        </w:tc>
        <w:tc>
          <w:tcPr>
            <w:tcW w:w="4083" w:type="dxa"/>
            <w:vAlign w:val="center"/>
          </w:tcPr>
          <w:p w14:paraId="58003B6D" w14:textId="59E53437" w:rsidR="00661021" w:rsidRDefault="00661021" w:rsidP="004E50FF">
            <w:pPr>
              <w:spacing w:before="0" w:after="0"/>
              <w:ind w:left="0"/>
              <w:rPr>
                <w:lang w:val="pl-PL"/>
              </w:rPr>
            </w:pPr>
            <w:r w:rsidRPr="00661021">
              <w:rPr>
                <w:lang w:val="pl-PL"/>
              </w:rPr>
              <w:t>miasto Działdowo, Dźwierzuty, Iłowo-Osada, Janowiec Kościelny, Janowo, Jedwabno, Nidzica, Pasym, Płośnica, Rozogi, Świętajno, Wielbark, miasto Szczytno, gmina Działdowo</w:t>
            </w:r>
          </w:p>
        </w:tc>
      </w:tr>
      <w:tr w:rsidR="00661021" w14:paraId="7C3FCE20" w14:textId="77777777" w:rsidTr="00661021">
        <w:tc>
          <w:tcPr>
            <w:tcW w:w="4982" w:type="dxa"/>
            <w:vAlign w:val="center"/>
          </w:tcPr>
          <w:p w14:paraId="130199C4" w14:textId="491106C3" w:rsidR="00661021" w:rsidRDefault="00661021" w:rsidP="004E50FF">
            <w:pPr>
              <w:spacing w:before="0" w:after="0"/>
              <w:ind w:left="0"/>
              <w:rPr>
                <w:lang w:val="pl-PL"/>
              </w:rPr>
            </w:pPr>
            <w:r w:rsidRPr="00661021">
              <w:rPr>
                <w:lang w:val="pl-PL"/>
              </w:rPr>
              <w:t>Mazurski Związek Międzygminny Gospodarka Odpadami</w:t>
            </w:r>
          </w:p>
        </w:tc>
        <w:tc>
          <w:tcPr>
            <w:tcW w:w="4083" w:type="dxa"/>
            <w:vAlign w:val="center"/>
          </w:tcPr>
          <w:p w14:paraId="3F74BB3C" w14:textId="2D3D3478" w:rsidR="00661021" w:rsidRDefault="00661021" w:rsidP="004E50FF">
            <w:pPr>
              <w:spacing w:before="0" w:after="0"/>
              <w:ind w:left="0"/>
              <w:rPr>
                <w:lang w:val="pl-PL"/>
              </w:rPr>
            </w:pPr>
            <w:r w:rsidRPr="00BD3D54">
              <w:t>Orzysz</w:t>
            </w:r>
          </w:p>
        </w:tc>
      </w:tr>
      <w:tr w:rsidR="00661021" w14:paraId="3CC988CD" w14:textId="77777777" w:rsidTr="00661021">
        <w:tc>
          <w:tcPr>
            <w:tcW w:w="4982" w:type="dxa"/>
            <w:vAlign w:val="center"/>
          </w:tcPr>
          <w:p w14:paraId="36D39FF4" w14:textId="201299F7" w:rsidR="00661021" w:rsidRDefault="00661021" w:rsidP="004E50FF">
            <w:pPr>
              <w:spacing w:before="0" w:after="0"/>
              <w:ind w:left="0"/>
              <w:rPr>
                <w:lang w:val="pl-PL"/>
              </w:rPr>
            </w:pPr>
            <w:r w:rsidRPr="00661021">
              <w:rPr>
                <w:lang w:val="pl-PL"/>
              </w:rPr>
              <w:t>Związek Międzygminny „Gospodarka Komunalna” w Ełku</w:t>
            </w:r>
          </w:p>
        </w:tc>
        <w:tc>
          <w:tcPr>
            <w:tcW w:w="4083" w:type="dxa"/>
            <w:vAlign w:val="center"/>
          </w:tcPr>
          <w:p w14:paraId="6FAC3711" w14:textId="04A95F51" w:rsidR="00661021" w:rsidRDefault="00661021" w:rsidP="004E50FF">
            <w:pPr>
              <w:spacing w:before="0" w:after="0"/>
              <w:ind w:left="0"/>
              <w:rPr>
                <w:lang w:val="pl-PL"/>
              </w:rPr>
            </w:pPr>
            <w:r w:rsidRPr="00BD3D54">
              <w:t>Biała Piska</w:t>
            </w:r>
          </w:p>
        </w:tc>
      </w:tr>
      <w:tr w:rsidR="00661021" w14:paraId="340A7021" w14:textId="77777777" w:rsidTr="00661021">
        <w:tc>
          <w:tcPr>
            <w:tcW w:w="9065" w:type="dxa"/>
            <w:gridSpan w:val="2"/>
            <w:shd w:val="clear" w:color="auto" w:fill="BFBFBF" w:themeFill="background1" w:themeFillShade="BF"/>
          </w:tcPr>
          <w:p w14:paraId="2D8E22A2" w14:textId="77777777" w:rsidR="00661021" w:rsidRDefault="00661021" w:rsidP="004E50FF">
            <w:pPr>
              <w:spacing w:before="0" w:after="0"/>
              <w:ind w:left="0"/>
              <w:rPr>
                <w:b/>
                <w:bCs/>
              </w:rPr>
            </w:pPr>
            <w:r w:rsidRPr="00661021">
              <w:rPr>
                <w:b/>
                <w:bCs/>
              </w:rPr>
              <w:t>Porozumienia międzygminne</w:t>
            </w:r>
          </w:p>
          <w:p w14:paraId="6EA110B2" w14:textId="26BFF7B2" w:rsidR="00745CDB" w:rsidRPr="00661021" w:rsidRDefault="00745CDB" w:rsidP="004E50FF">
            <w:pPr>
              <w:spacing w:before="0" w:after="0"/>
              <w:ind w:left="0"/>
              <w:rPr>
                <w:b/>
                <w:bCs/>
                <w:lang w:val="pl-PL"/>
              </w:rPr>
            </w:pPr>
          </w:p>
        </w:tc>
      </w:tr>
      <w:tr w:rsidR="00661021" w14:paraId="1C82435C" w14:textId="77777777" w:rsidTr="00661021">
        <w:tc>
          <w:tcPr>
            <w:tcW w:w="4982" w:type="dxa"/>
            <w:vAlign w:val="center"/>
          </w:tcPr>
          <w:p w14:paraId="0F7C7862" w14:textId="75DB688D" w:rsidR="00661021" w:rsidRDefault="00661021" w:rsidP="004E50FF">
            <w:pPr>
              <w:spacing w:before="0" w:after="0"/>
              <w:ind w:left="0"/>
              <w:rPr>
                <w:lang w:val="pl-PL"/>
              </w:rPr>
            </w:pPr>
            <w:r w:rsidRPr="00BD3D54">
              <w:t>-</w:t>
            </w:r>
          </w:p>
        </w:tc>
        <w:tc>
          <w:tcPr>
            <w:tcW w:w="4083" w:type="dxa"/>
            <w:vAlign w:val="center"/>
          </w:tcPr>
          <w:p w14:paraId="35230BA3" w14:textId="7D46D2F1" w:rsidR="00661021" w:rsidRDefault="00661021" w:rsidP="004E50FF">
            <w:pPr>
              <w:spacing w:before="0" w:after="0"/>
              <w:ind w:left="0"/>
              <w:rPr>
                <w:lang w:val="pl-PL"/>
              </w:rPr>
            </w:pPr>
            <w:r w:rsidRPr="00BD3D54">
              <w:t>Pasym i Dźwierzuty</w:t>
            </w:r>
          </w:p>
        </w:tc>
      </w:tr>
      <w:tr w:rsidR="00661021" w:rsidRPr="00176303" w14:paraId="1A424294" w14:textId="77777777" w:rsidTr="00661021">
        <w:tc>
          <w:tcPr>
            <w:tcW w:w="4982" w:type="dxa"/>
            <w:vAlign w:val="center"/>
          </w:tcPr>
          <w:p w14:paraId="4C5EDD6A" w14:textId="21177325" w:rsidR="00661021" w:rsidRDefault="00661021" w:rsidP="004E50FF">
            <w:pPr>
              <w:spacing w:before="0" w:after="0"/>
              <w:ind w:left="0"/>
              <w:rPr>
                <w:lang w:val="pl-PL"/>
              </w:rPr>
            </w:pPr>
            <w:r w:rsidRPr="00BD3D54">
              <w:t>-</w:t>
            </w:r>
          </w:p>
        </w:tc>
        <w:tc>
          <w:tcPr>
            <w:tcW w:w="4083" w:type="dxa"/>
            <w:vAlign w:val="center"/>
          </w:tcPr>
          <w:p w14:paraId="6E60FFCD" w14:textId="1BA91534" w:rsidR="00661021" w:rsidRDefault="00661021" w:rsidP="004E50FF">
            <w:pPr>
              <w:spacing w:before="0" w:after="0"/>
              <w:ind w:left="0"/>
              <w:rPr>
                <w:lang w:val="pl-PL"/>
              </w:rPr>
            </w:pPr>
            <w:r w:rsidRPr="00661021">
              <w:rPr>
                <w:lang w:val="pl-PL"/>
              </w:rPr>
              <w:t>Gmina miejska Szczytno i gmina wiejska Szczytno</w:t>
            </w:r>
          </w:p>
        </w:tc>
      </w:tr>
      <w:tr w:rsidR="00661021" w:rsidRPr="00176303" w14:paraId="0BD23A35" w14:textId="77777777" w:rsidTr="00661021">
        <w:tc>
          <w:tcPr>
            <w:tcW w:w="4982" w:type="dxa"/>
            <w:vAlign w:val="center"/>
          </w:tcPr>
          <w:p w14:paraId="7B00D8D7" w14:textId="409F3FA9" w:rsidR="00661021" w:rsidRDefault="00661021" w:rsidP="004E50FF">
            <w:pPr>
              <w:spacing w:before="0" w:after="0"/>
              <w:ind w:left="0"/>
              <w:rPr>
                <w:lang w:val="pl-PL"/>
              </w:rPr>
            </w:pPr>
            <w:r w:rsidRPr="00BD3D54">
              <w:t>-</w:t>
            </w:r>
          </w:p>
        </w:tc>
        <w:tc>
          <w:tcPr>
            <w:tcW w:w="4083" w:type="dxa"/>
            <w:vAlign w:val="center"/>
          </w:tcPr>
          <w:p w14:paraId="6A8BAF55" w14:textId="385A1315" w:rsidR="00661021" w:rsidRDefault="00661021" w:rsidP="004E50FF">
            <w:pPr>
              <w:spacing w:before="0" w:after="0"/>
              <w:ind w:left="0"/>
              <w:rPr>
                <w:lang w:val="pl-PL"/>
              </w:rPr>
            </w:pPr>
            <w:r w:rsidRPr="00661021">
              <w:rPr>
                <w:lang w:val="pl-PL"/>
              </w:rPr>
              <w:t>Gmina miejska Działdowo i gmina wiejska Działdowo</w:t>
            </w:r>
          </w:p>
        </w:tc>
      </w:tr>
      <w:tr w:rsidR="00661021" w:rsidRPr="00176303" w14:paraId="1A1CB8CE" w14:textId="77777777" w:rsidTr="00661021">
        <w:tc>
          <w:tcPr>
            <w:tcW w:w="4982" w:type="dxa"/>
            <w:vAlign w:val="center"/>
          </w:tcPr>
          <w:p w14:paraId="1B0FAD11" w14:textId="729ADA8D" w:rsidR="00661021" w:rsidRDefault="00661021" w:rsidP="004E50FF">
            <w:pPr>
              <w:spacing w:before="0" w:after="0"/>
              <w:ind w:left="0"/>
              <w:rPr>
                <w:lang w:val="pl-PL"/>
              </w:rPr>
            </w:pPr>
            <w:r w:rsidRPr="00BD3D54">
              <w:t>-</w:t>
            </w:r>
          </w:p>
        </w:tc>
        <w:tc>
          <w:tcPr>
            <w:tcW w:w="4083" w:type="dxa"/>
            <w:vAlign w:val="center"/>
          </w:tcPr>
          <w:p w14:paraId="436F264A" w14:textId="39BF4FD4" w:rsidR="00661021" w:rsidRDefault="00661021" w:rsidP="004E50FF">
            <w:pPr>
              <w:spacing w:before="0" w:after="0"/>
              <w:ind w:left="0"/>
              <w:rPr>
                <w:lang w:val="pl-PL"/>
              </w:rPr>
            </w:pPr>
            <w:r w:rsidRPr="00661021">
              <w:rPr>
                <w:lang w:val="pl-PL"/>
              </w:rPr>
              <w:t>Powiat Szczycieński, gmina miejska Szczytno</w:t>
            </w:r>
          </w:p>
        </w:tc>
      </w:tr>
      <w:tr w:rsidR="00661021" w14:paraId="27ABBD32" w14:textId="77777777" w:rsidTr="00661021">
        <w:tc>
          <w:tcPr>
            <w:tcW w:w="4982" w:type="dxa"/>
            <w:vAlign w:val="center"/>
          </w:tcPr>
          <w:p w14:paraId="5AEA7B18" w14:textId="7B66548C" w:rsidR="00661021" w:rsidRDefault="00661021" w:rsidP="004E50FF">
            <w:pPr>
              <w:spacing w:before="0" w:after="0"/>
              <w:ind w:left="0"/>
              <w:rPr>
                <w:lang w:val="pl-PL"/>
              </w:rPr>
            </w:pPr>
            <w:r w:rsidRPr="00BD3D54">
              <w:t>-</w:t>
            </w:r>
          </w:p>
        </w:tc>
        <w:tc>
          <w:tcPr>
            <w:tcW w:w="4083" w:type="dxa"/>
            <w:vAlign w:val="center"/>
          </w:tcPr>
          <w:p w14:paraId="708133C3" w14:textId="1FC68B94" w:rsidR="00661021" w:rsidRDefault="00661021" w:rsidP="004E50FF">
            <w:pPr>
              <w:spacing w:before="0" w:after="0"/>
              <w:ind w:left="0"/>
              <w:rPr>
                <w:lang w:val="pl-PL"/>
              </w:rPr>
            </w:pPr>
            <w:r w:rsidRPr="00BD3D54">
              <w:t>Pasym i Dźwierzuty</w:t>
            </w:r>
          </w:p>
        </w:tc>
      </w:tr>
      <w:tr w:rsidR="00661021" w:rsidRPr="00176303" w14:paraId="08941602" w14:textId="77777777" w:rsidTr="00661021">
        <w:tc>
          <w:tcPr>
            <w:tcW w:w="4982" w:type="dxa"/>
            <w:vAlign w:val="center"/>
          </w:tcPr>
          <w:p w14:paraId="0285FCA9" w14:textId="1EE5650A" w:rsidR="00661021" w:rsidRDefault="00661021" w:rsidP="004E50FF">
            <w:pPr>
              <w:spacing w:before="0" w:after="0"/>
              <w:ind w:left="0"/>
              <w:rPr>
                <w:lang w:val="pl-PL"/>
              </w:rPr>
            </w:pPr>
            <w:r w:rsidRPr="00BD3D54">
              <w:lastRenderedPageBreak/>
              <w:t>-</w:t>
            </w:r>
          </w:p>
        </w:tc>
        <w:tc>
          <w:tcPr>
            <w:tcW w:w="4083" w:type="dxa"/>
            <w:vAlign w:val="center"/>
          </w:tcPr>
          <w:p w14:paraId="693A9C89" w14:textId="6161F3EB" w:rsidR="00661021" w:rsidRDefault="00661021" w:rsidP="004E50FF">
            <w:pPr>
              <w:spacing w:before="0" w:after="0"/>
              <w:ind w:left="0"/>
              <w:rPr>
                <w:lang w:val="pl-PL"/>
              </w:rPr>
            </w:pPr>
            <w:r w:rsidRPr="00661021">
              <w:rPr>
                <w:lang w:val="pl-PL"/>
              </w:rPr>
              <w:t>Gmina miejska Szczytno i gmina wiejska Szczytno</w:t>
            </w:r>
          </w:p>
        </w:tc>
      </w:tr>
      <w:tr w:rsidR="00661021" w14:paraId="631B72CA" w14:textId="77777777" w:rsidTr="00661021">
        <w:tc>
          <w:tcPr>
            <w:tcW w:w="9065" w:type="dxa"/>
            <w:gridSpan w:val="2"/>
            <w:shd w:val="clear" w:color="auto" w:fill="BFBFBF" w:themeFill="background1" w:themeFillShade="BF"/>
          </w:tcPr>
          <w:p w14:paraId="0BCECD36" w14:textId="77777777" w:rsidR="00661021" w:rsidRPr="0053183F" w:rsidRDefault="00661021" w:rsidP="004E50FF">
            <w:pPr>
              <w:spacing w:before="0" w:after="0"/>
              <w:ind w:left="0"/>
              <w:rPr>
                <w:b/>
                <w:bCs/>
              </w:rPr>
            </w:pPr>
            <w:r w:rsidRPr="0053183F">
              <w:rPr>
                <w:b/>
                <w:bCs/>
              </w:rPr>
              <w:t>Spółki akcyjne</w:t>
            </w:r>
          </w:p>
          <w:p w14:paraId="55C43469" w14:textId="40D378D1" w:rsidR="00745CDB" w:rsidRDefault="00745CDB" w:rsidP="004E50FF">
            <w:pPr>
              <w:spacing w:before="0" w:after="0"/>
              <w:ind w:left="0"/>
              <w:rPr>
                <w:lang w:val="pl-PL"/>
              </w:rPr>
            </w:pPr>
          </w:p>
        </w:tc>
      </w:tr>
      <w:tr w:rsidR="00661021" w:rsidRPr="00176303" w14:paraId="5B196A0E" w14:textId="77777777" w:rsidTr="00661021">
        <w:tc>
          <w:tcPr>
            <w:tcW w:w="4982" w:type="dxa"/>
            <w:vAlign w:val="center"/>
          </w:tcPr>
          <w:p w14:paraId="2F0F96A3" w14:textId="5E8A4BEE" w:rsidR="00661021" w:rsidRDefault="00661021" w:rsidP="004E50FF">
            <w:pPr>
              <w:spacing w:before="0" w:after="0"/>
              <w:ind w:left="0"/>
              <w:rPr>
                <w:lang w:val="pl-PL"/>
              </w:rPr>
            </w:pPr>
            <w:r w:rsidRPr="00661021">
              <w:rPr>
                <w:lang w:val="pl-PL"/>
              </w:rPr>
              <w:t>Działdowska Agencja Rozwoju S.A.</w:t>
            </w:r>
          </w:p>
        </w:tc>
        <w:tc>
          <w:tcPr>
            <w:tcW w:w="4083" w:type="dxa"/>
            <w:vAlign w:val="center"/>
          </w:tcPr>
          <w:p w14:paraId="0412AA3C" w14:textId="7A8FE504" w:rsidR="00661021" w:rsidRDefault="00661021" w:rsidP="004E50FF">
            <w:pPr>
              <w:spacing w:before="0" w:after="0"/>
              <w:ind w:left="0"/>
              <w:rPr>
                <w:lang w:val="pl-PL"/>
              </w:rPr>
            </w:pPr>
            <w:r w:rsidRPr="00661021">
              <w:rPr>
                <w:lang w:val="pl-PL"/>
              </w:rPr>
              <w:t>Gmina miejska Działdowo i gmina wiejska Działdowo, Powiat Działdowski</w:t>
            </w:r>
          </w:p>
        </w:tc>
      </w:tr>
    </w:tbl>
    <w:p w14:paraId="081F0B8C" w14:textId="2BB1DC79" w:rsidR="00BD3D54" w:rsidRPr="00745CDB" w:rsidRDefault="00745CDB" w:rsidP="0053183F">
      <w:pPr>
        <w:ind w:left="0"/>
        <w:contextualSpacing/>
        <w:jc w:val="both"/>
        <w:rPr>
          <w:rFonts w:asciiTheme="majorHAnsi" w:hAnsiTheme="majorHAnsi" w:cstheme="majorHAnsi"/>
          <w:color w:val="44546A" w:themeColor="text2"/>
          <w:szCs w:val="24"/>
          <w:lang w:val="pl-PL"/>
        </w:rPr>
      </w:pPr>
      <w:r w:rsidRPr="00745CDB">
        <w:rPr>
          <w:rFonts w:asciiTheme="majorHAnsi" w:hAnsiTheme="majorHAnsi" w:cstheme="majorHAnsi"/>
          <w:color w:val="44546A" w:themeColor="text2"/>
          <w:szCs w:val="24"/>
          <w:lang w:val="pl-PL"/>
        </w:rPr>
        <w:t xml:space="preserve">Źródło: opracowanie własne </w:t>
      </w:r>
      <w:r>
        <w:rPr>
          <w:rFonts w:asciiTheme="majorHAnsi" w:hAnsiTheme="majorHAnsi" w:cstheme="majorHAnsi"/>
          <w:color w:val="44546A" w:themeColor="text2"/>
          <w:szCs w:val="24"/>
          <w:lang w:val="pl-PL"/>
        </w:rPr>
        <w:t xml:space="preserve">na podstawie informacji </w:t>
      </w:r>
      <w:r w:rsidR="0053183F">
        <w:rPr>
          <w:rFonts w:asciiTheme="majorHAnsi" w:hAnsiTheme="majorHAnsi" w:cstheme="majorHAnsi"/>
          <w:color w:val="44546A" w:themeColor="text2"/>
          <w:szCs w:val="24"/>
          <w:lang w:val="pl-PL"/>
        </w:rPr>
        <w:t xml:space="preserve">pozyskanych od JST wchodzących w skład Partnerstwa </w:t>
      </w:r>
    </w:p>
    <w:p w14:paraId="4E14C6B4" w14:textId="77777777" w:rsidR="00FF6FD9" w:rsidRDefault="00FF6FD9" w:rsidP="00733091">
      <w:pPr>
        <w:rPr>
          <w:lang w:val="pl-PL"/>
        </w:rPr>
      </w:pPr>
    </w:p>
    <w:p w14:paraId="5F6F4011" w14:textId="31652257" w:rsidR="00EE6958" w:rsidRPr="00733091" w:rsidRDefault="00EE6958" w:rsidP="00733091">
      <w:pPr>
        <w:rPr>
          <w:lang w:val="pl-PL"/>
        </w:rPr>
      </w:pPr>
      <w:r w:rsidRPr="00733091">
        <w:rPr>
          <w:lang w:val="pl-PL"/>
        </w:rPr>
        <w:t>Współpraca między JST wchodzącymi w skład Partnerstwa realizowana była w wielu obszarach, w tym w szczególności: turystyki, wsparcia przedsiębiorczości, edukacji, rozwoju infrastruktury technicznej i wypoczynkowo-rekreacyjnej, usług</w:t>
      </w:r>
      <w:r w:rsidR="004E378E">
        <w:rPr>
          <w:lang w:val="pl-PL"/>
        </w:rPr>
        <w:t xml:space="preserve"> </w:t>
      </w:r>
      <w:r w:rsidRPr="00733091">
        <w:rPr>
          <w:lang w:val="pl-PL"/>
        </w:rPr>
        <w:t xml:space="preserve">komunalnych, planowania rozwoju obszaru. </w:t>
      </w:r>
      <w:r w:rsidRPr="00733091">
        <w:rPr>
          <w:lang w:val="pl-PL"/>
        </w:rPr>
        <w:br/>
        <w:t xml:space="preserve">Wykaz głównych obszarów współpracy </w:t>
      </w:r>
      <w:r w:rsidR="00FF6FD9">
        <w:rPr>
          <w:lang w:val="pl-PL"/>
        </w:rPr>
        <w:t xml:space="preserve">między Partnerami </w:t>
      </w:r>
      <w:r w:rsidRPr="00733091">
        <w:rPr>
          <w:lang w:val="pl-PL"/>
        </w:rPr>
        <w:t>zawiera poniższa tabela.</w:t>
      </w:r>
    </w:p>
    <w:p w14:paraId="49F9BBBE" w14:textId="734F07F2" w:rsidR="00EE6958" w:rsidRDefault="00EE6958" w:rsidP="002E24A9">
      <w:pPr>
        <w:pStyle w:val="Legenda"/>
        <w:rPr>
          <w:lang w:val="pl-PL"/>
        </w:rPr>
      </w:pPr>
      <w:bookmarkStart w:id="85" w:name="_Toc69723261"/>
      <w:r w:rsidRPr="00733091">
        <w:rPr>
          <w:lang w:val="pl-PL"/>
        </w:rPr>
        <w:t xml:space="preserve">Tabela </w:t>
      </w:r>
      <w:r w:rsidR="00733091">
        <w:fldChar w:fldCharType="begin"/>
      </w:r>
      <w:r w:rsidR="00733091" w:rsidRPr="00733091">
        <w:rPr>
          <w:lang w:val="pl-PL"/>
        </w:rPr>
        <w:instrText xml:space="preserve"> SEQ Tabela \* ARABIC </w:instrText>
      </w:r>
      <w:r w:rsidR="00733091">
        <w:fldChar w:fldCharType="separate"/>
      </w:r>
      <w:r w:rsidR="00B14787">
        <w:rPr>
          <w:noProof/>
          <w:lang w:val="pl-PL"/>
        </w:rPr>
        <w:t>12</w:t>
      </w:r>
      <w:r w:rsidR="00733091">
        <w:rPr>
          <w:noProof/>
        </w:rPr>
        <w:fldChar w:fldCharType="end"/>
      </w:r>
      <w:r w:rsidRPr="00733091">
        <w:rPr>
          <w:lang w:val="pl-PL"/>
        </w:rPr>
        <w:t>: Zakres współpracy JST wchodzących w skład Partnerstwa</w:t>
      </w:r>
      <w:bookmarkEnd w:id="85"/>
    </w:p>
    <w:tbl>
      <w:tblPr>
        <w:tblStyle w:val="Tabela-Siatka"/>
        <w:tblW w:w="0" w:type="auto"/>
        <w:tblInd w:w="-5" w:type="dxa"/>
        <w:tblLook w:val="04A0" w:firstRow="1" w:lastRow="0" w:firstColumn="1" w:lastColumn="0" w:noHBand="0" w:noVBand="1"/>
      </w:tblPr>
      <w:tblGrid>
        <w:gridCol w:w="851"/>
        <w:gridCol w:w="4961"/>
        <w:gridCol w:w="3253"/>
      </w:tblGrid>
      <w:tr w:rsidR="00661021" w14:paraId="1C5B4B52" w14:textId="77777777" w:rsidTr="004E50FF">
        <w:trPr>
          <w:tblHeader/>
        </w:trPr>
        <w:tc>
          <w:tcPr>
            <w:tcW w:w="851" w:type="dxa"/>
            <w:shd w:val="clear" w:color="auto" w:fill="FFC000"/>
          </w:tcPr>
          <w:p w14:paraId="5C55D4A6" w14:textId="21DC57EA" w:rsidR="00661021" w:rsidRPr="00661021" w:rsidRDefault="00661021" w:rsidP="00661021">
            <w:pPr>
              <w:ind w:left="0"/>
              <w:rPr>
                <w:b/>
                <w:bCs/>
                <w:lang w:val="pl-PL"/>
              </w:rPr>
            </w:pPr>
            <w:r w:rsidRPr="00661021">
              <w:rPr>
                <w:b/>
                <w:bCs/>
                <w:lang w:val="pl-PL"/>
              </w:rPr>
              <w:br/>
              <w:t>Lp</w:t>
            </w:r>
          </w:p>
        </w:tc>
        <w:tc>
          <w:tcPr>
            <w:tcW w:w="4961" w:type="dxa"/>
            <w:shd w:val="clear" w:color="auto" w:fill="FFC000"/>
            <w:vAlign w:val="center"/>
          </w:tcPr>
          <w:p w14:paraId="6302F7B0" w14:textId="296EB261" w:rsidR="00661021" w:rsidRPr="00661021" w:rsidRDefault="00661021" w:rsidP="00661021">
            <w:pPr>
              <w:ind w:left="0"/>
              <w:rPr>
                <w:b/>
                <w:bCs/>
                <w:lang w:val="pl-PL"/>
              </w:rPr>
            </w:pPr>
            <w:r w:rsidRPr="00661021">
              <w:rPr>
                <w:b/>
                <w:bCs/>
              </w:rPr>
              <w:t>Krótki opis współpracy</w:t>
            </w:r>
          </w:p>
        </w:tc>
        <w:tc>
          <w:tcPr>
            <w:tcW w:w="3253" w:type="dxa"/>
            <w:shd w:val="clear" w:color="auto" w:fill="FFC000"/>
            <w:vAlign w:val="center"/>
          </w:tcPr>
          <w:p w14:paraId="63CBCBEE" w14:textId="16BDF208" w:rsidR="00661021" w:rsidRPr="00661021" w:rsidRDefault="00661021" w:rsidP="00661021">
            <w:pPr>
              <w:ind w:left="0"/>
              <w:rPr>
                <w:b/>
                <w:bCs/>
                <w:lang w:val="pl-PL"/>
              </w:rPr>
            </w:pPr>
            <w:r w:rsidRPr="00661021">
              <w:rPr>
                <w:b/>
                <w:bCs/>
              </w:rPr>
              <w:br/>
              <w:t>Podmioty współpracujące</w:t>
            </w:r>
          </w:p>
        </w:tc>
      </w:tr>
      <w:tr w:rsidR="00661021" w:rsidRPr="00176303" w14:paraId="25E639CD" w14:textId="77777777" w:rsidTr="00661021">
        <w:tc>
          <w:tcPr>
            <w:tcW w:w="9065" w:type="dxa"/>
            <w:gridSpan w:val="3"/>
            <w:shd w:val="clear" w:color="auto" w:fill="BFBFBF" w:themeFill="background1" w:themeFillShade="BF"/>
          </w:tcPr>
          <w:p w14:paraId="490D7FA2" w14:textId="1D3D4566" w:rsidR="00661021" w:rsidRPr="004E50FF" w:rsidRDefault="00661021" w:rsidP="00661021">
            <w:pPr>
              <w:ind w:left="0"/>
              <w:rPr>
                <w:b/>
                <w:bCs/>
                <w:lang w:val="pl-PL"/>
              </w:rPr>
            </w:pPr>
            <w:r w:rsidRPr="004E50FF">
              <w:rPr>
                <w:b/>
                <w:bCs/>
                <w:lang w:val="pl-PL"/>
              </w:rPr>
              <w:t xml:space="preserve">Turystyka </w:t>
            </w:r>
            <w:r w:rsidRPr="004E50FF">
              <w:rPr>
                <w:b/>
                <w:bCs/>
                <w:lang w:val="pl-PL"/>
              </w:rPr>
              <w:br/>
            </w:r>
            <w:r w:rsidRPr="004E50FF">
              <w:rPr>
                <w:b/>
                <w:bCs/>
                <w:i/>
                <w:iCs/>
                <w:lang w:val="pl-PL"/>
              </w:rPr>
              <w:t>Współpraca polega na realizacji wspólnych przedsięwzięć: inwestycyjnych i nieinwestycyjnych zmierzających do podniesienia atrakcyjności turystycznej regionu</w:t>
            </w:r>
          </w:p>
        </w:tc>
      </w:tr>
      <w:tr w:rsidR="00661021" w:rsidRPr="00176303" w14:paraId="5C187B4A" w14:textId="77777777" w:rsidTr="004E50FF">
        <w:tc>
          <w:tcPr>
            <w:tcW w:w="851" w:type="dxa"/>
            <w:vAlign w:val="center"/>
          </w:tcPr>
          <w:p w14:paraId="0C44400C" w14:textId="6A1513A4" w:rsidR="00661021" w:rsidRDefault="00661021" w:rsidP="00661021">
            <w:pPr>
              <w:ind w:left="0"/>
              <w:rPr>
                <w:lang w:val="pl-PL"/>
              </w:rPr>
            </w:pPr>
            <w:r w:rsidRPr="00BD3D54">
              <w:t>1</w:t>
            </w:r>
          </w:p>
        </w:tc>
        <w:tc>
          <w:tcPr>
            <w:tcW w:w="4961" w:type="dxa"/>
            <w:vAlign w:val="center"/>
          </w:tcPr>
          <w:p w14:paraId="0C25A54C" w14:textId="459F6640" w:rsidR="00661021" w:rsidRDefault="00661021" w:rsidP="00661021">
            <w:pPr>
              <w:ind w:left="0"/>
              <w:rPr>
                <w:lang w:val="pl-PL"/>
              </w:rPr>
            </w:pPr>
            <w:r w:rsidRPr="00BD3D54">
              <w:t>Promocja walorów turystycznych regionu</w:t>
            </w:r>
          </w:p>
        </w:tc>
        <w:tc>
          <w:tcPr>
            <w:tcW w:w="3253" w:type="dxa"/>
            <w:vAlign w:val="center"/>
          </w:tcPr>
          <w:p w14:paraId="3159C648" w14:textId="0F227FC4" w:rsidR="00661021" w:rsidRDefault="00661021" w:rsidP="00661021">
            <w:pPr>
              <w:ind w:left="0"/>
              <w:rPr>
                <w:lang w:val="pl-PL"/>
              </w:rPr>
            </w:pPr>
            <w:r w:rsidRPr="00661021">
              <w:rPr>
                <w:lang w:val="pl-PL"/>
              </w:rPr>
              <w:t>Gminy wchodzące w skład Stowarzyszenia LGD „Brama Mazurskiej Krainy”, Gminy z obszaru Partnerstwa wchodzące w skład Związku Gmin Warmińsko-Mazurskich</w:t>
            </w:r>
          </w:p>
        </w:tc>
      </w:tr>
      <w:tr w:rsidR="00661021" w:rsidRPr="00176303" w14:paraId="36916025" w14:textId="77777777" w:rsidTr="004E50FF">
        <w:tc>
          <w:tcPr>
            <w:tcW w:w="851" w:type="dxa"/>
            <w:vAlign w:val="center"/>
          </w:tcPr>
          <w:p w14:paraId="323EBC7F" w14:textId="398C45DD" w:rsidR="00661021" w:rsidRDefault="00661021" w:rsidP="00661021">
            <w:pPr>
              <w:ind w:left="0"/>
              <w:rPr>
                <w:lang w:val="pl-PL"/>
              </w:rPr>
            </w:pPr>
            <w:r w:rsidRPr="00BD3D54">
              <w:t>2</w:t>
            </w:r>
          </w:p>
        </w:tc>
        <w:tc>
          <w:tcPr>
            <w:tcW w:w="4961" w:type="dxa"/>
            <w:vAlign w:val="center"/>
          </w:tcPr>
          <w:p w14:paraId="0C9E6602" w14:textId="556109F3" w:rsidR="00661021" w:rsidRDefault="00661021" w:rsidP="00661021">
            <w:pPr>
              <w:ind w:left="0"/>
              <w:rPr>
                <w:lang w:val="pl-PL"/>
              </w:rPr>
            </w:pPr>
            <w:r w:rsidRPr="00BD3D54">
              <w:t>Promocja walorów turystycznych regionu</w:t>
            </w:r>
          </w:p>
        </w:tc>
        <w:tc>
          <w:tcPr>
            <w:tcW w:w="3253" w:type="dxa"/>
            <w:vAlign w:val="center"/>
          </w:tcPr>
          <w:p w14:paraId="2BD21C38" w14:textId="06C780E1" w:rsidR="00661021" w:rsidRDefault="00661021" w:rsidP="00661021">
            <w:pPr>
              <w:ind w:left="0"/>
              <w:rPr>
                <w:lang w:val="pl-PL"/>
              </w:rPr>
            </w:pPr>
            <w:r w:rsidRPr="00661021">
              <w:rPr>
                <w:lang w:val="pl-PL"/>
              </w:rPr>
              <w:t>Gminy z obszaru Partnerstwa wchodzące w skład Lokalna Organizacja Turystyczna Powiatu Nidzickiego oraz Lokalnej Organizacji Turystycznej Powiatu Szczycieńskiego</w:t>
            </w:r>
          </w:p>
        </w:tc>
      </w:tr>
      <w:tr w:rsidR="00661021" w:rsidRPr="00176303" w14:paraId="00C40B5B" w14:textId="77777777" w:rsidTr="00661021">
        <w:tc>
          <w:tcPr>
            <w:tcW w:w="9065" w:type="dxa"/>
            <w:gridSpan w:val="3"/>
            <w:shd w:val="clear" w:color="auto" w:fill="BFBFBF" w:themeFill="background1" w:themeFillShade="BF"/>
            <w:vAlign w:val="center"/>
          </w:tcPr>
          <w:p w14:paraId="749B316D" w14:textId="543FB0E3" w:rsidR="00661021" w:rsidRPr="004E50FF" w:rsidRDefault="00661021" w:rsidP="00661021">
            <w:pPr>
              <w:ind w:left="0"/>
              <w:rPr>
                <w:b/>
                <w:bCs/>
                <w:lang w:val="pl-PL"/>
              </w:rPr>
            </w:pPr>
            <w:r w:rsidRPr="004E50FF">
              <w:rPr>
                <w:b/>
                <w:bCs/>
                <w:lang w:val="pl-PL"/>
              </w:rPr>
              <w:lastRenderedPageBreak/>
              <w:t xml:space="preserve">Wsparcie przedsiębiorczości </w:t>
            </w:r>
            <w:r w:rsidRPr="004E50FF">
              <w:rPr>
                <w:b/>
                <w:bCs/>
                <w:lang w:val="pl-PL"/>
              </w:rPr>
              <w:br/>
            </w:r>
            <w:r w:rsidRPr="004E50FF">
              <w:rPr>
                <w:b/>
                <w:bCs/>
                <w:i/>
                <w:iCs/>
                <w:lang w:val="pl-PL"/>
              </w:rPr>
              <w:t>Współpraca polega na wspólnej realizacji przedsięwzięć wspierających rodzimą przedsiębiorczość, w tym MŚP</w:t>
            </w:r>
          </w:p>
        </w:tc>
      </w:tr>
      <w:tr w:rsidR="00661021" w:rsidRPr="00176303" w14:paraId="04927401" w14:textId="77777777" w:rsidTr="004E50FF">
        <w:tc>
          <w:tcPr>
            <w:tcW w:w="851" w:type="dxa"/>
            <w:vAlign w:val="center"/>
          </w:tcPr>
          <w:p w14:paraId="7BF443B3" w14:textId="7CE96BCA" w:rsidR="00661021" w:rsidRDefault="00661021" w:rsidP="00661021">
            <w:pPr>
              <w:ind w:left="0"/>
              <w:rPr>
                <w:lang w:val="pl-PL"/>
              </w:rPr>
            </w:pPr>
            <w:r w:rsidRPr="00BD3D54">
              <w:t>3</w:t>
            </w:r>
          </w:p>
        </w:tc>
        <w:tc>
          <w:tcPr>
            <w:tcW w:w="4961" w:type="dxa"/>
            <w:vAlign w:val="center"/>
          </w:tcPr>
          <w:p w14:paraId="111327FC" w14:textId="21D93093" w:rsidR="00661021" w:rsidRDefault="00661021" w:rsidP="00661021">
            <w:pPr>
              <w:ind w:left="0"/>
              <w:rPr>
                <w:lang w:val="pl-PL"/>
              </w:rPr>
            </w:pPr>
            <w:r w:rsidRPr="00661021">
              <w:rPr>
                <w:lang w:val="pl-PL"/>
              </w:rPr>
              <w:t>Wsparcie rozwoju gospodarczego poprzez kształtowanie i realizację polityki regionalnej oraz kompleksową obsługę małych i średnich przedsiębiorstw</w:t>
            </w:r>
          </w:p>
        </w:tc>
        <w:tc>
          <w:tcPr>
            <w:tcW w:w="3253" w:type="dxa"/>
            <w:vAlign w:val="center"/>
          </w:tcPr>
          <w:p w14:paraId="64D61938" w14:textId="24294B8D" w:rsidR="00661021" w:rsidRDefault="00661021" w:rsidP="00661021">
            <w:pPr>
              <w:ind w:left="0"/>
              <w:rPr>
                <w:lang w:val="pl-PL"/>
              </w:rPr>
            </w:pPr>
            <w:r w:rsidRPr="00661021">
              <w:rPr>
                <w:lang w:val="pl-PL"/>
              </w:rPr>
              <w:t>Gminy będące akcjonariuszami Działdowskiej Agencji Rozwoju S.A. (tj. gmina Działdowo i miasto Działdowo)</w:t>
            </w:r>
          </w:p>
        </w:tc>
      </w:tr>
      <w:tr w:rsidR="00661021" w14:paraId="2653CC55" w14:textId="77777777" w:rsidTr="004E50FF">
        <w:tc>
          <w:tcPr>
            <w:tcW w:w="851" w:type="dxa"/>
            <w:vAlign w:val="center"/>
          </w:tcPr>
          <w:p w14:paraId="01790B1B" w14:textId="5F441306" w:rsidR="00661021" w:rsidRDefault="00661021" w:rsidP="00661021">
            <w:pPr>
              <w:ind w:left="0"/>
              <w:rPr>
                <w:lang w:val="pl-PL"/>
              </w:rPr>
            </w:pPr>
            <w:r w:rsidRPr="00BD3D54">
              <w:t>4</w:t>
            </w:r>
          </w:p>
        </w:tc>
        <w:tc>
          <w:tcPr>
            <w:tcW w:w="4961" w:type="dxa"/>
            <w:vAlign w:val="center"/>
          </w:tcPr>
          <w:p w14:paraId="5547DF78" w14:textId="519AACDD" w:rsidR="00661021" w:rsidRDefault="00661021" w:rsidP="00661021">
            <w:pPr>
              <w:ind w:left="0"/>
              <w:rPr>
                <w:lang w:val="pl-PL"/>
              </w:rPr>
            </w:pPr>
            <w:r w:rsidRPr="00661021">
              <w:rPr>
                <w:lang w:val="pl-PL"/>
              </w:rPr>
              <w:t>Organizacja Międzygminnych Targów Przedsiębiorczości (w latach 2016-2017)</w:t>
            </w:r>
          </w:p>
        </w:tc>
        <w:tc>
          <w:tcPr>
            <w:tcW w:w="3253" w:type="dxa"/>
            <w:vAlign w:val="center"/>
          </w:tcPr>
          <w:p w14:paraId="1BABBBE4" w14:textId="35E67267" w:rsidR="00661021" w:rsidRDefault="00661021" w:rsidP="00661021">
            <w:pPr>
              <w:ind w:left="0"/>
              <w:rPr>
                <w:lang w:val="pl-PL"/>
              </w:rPr>
            </w:pPr>
            <w:r w:rsidRPr="00BD3D54">
              <w:t>Rozogi, Dźwierzuty, Pasym, Świętajno</w:t>
            </w:r>
          </w:p>
        </w:tc>
      </w:tr>
      <w:tr w:rsidR="00661021" w:rsidRPr="00176303" w14:paraId="61D799BD" w14:textId="77777777" w:rsidTr="00661021">
        <w:tc>
          <w:tcPr>
            <w:tcW w:w="9065" w:type="dxa"/>
            <w:gridSpan w:val="3"/>
            <w:shd w:val="clear" w:color="auto" w:fill="BFBFBF" w:themeFill="background1" w:themeFillShade="BF"/>
          </w:tcPr>
          <w:p w14:paraId="678B30AF" w14:textId="45EA920A" w:rsidR="00661021" w:rsidRPr="004E50FF" w:rsidRDefault="00661021" w:rsidP="00661021">
            <w:pPr>
              <w:ind w:left="0"/>
              <w:rPr>
                <w:b/>
                <w:bCs/>
                <w:lang w:val="pl-PL"/>
              </w:rPr>
            </w:pPr>
            <w:r w:rsidRPr="004E50FF">
              <w:rPr>
                <w:b/>
                <w:bCs/>
                <w:lang w:val="pl-PL"/>
              </w:rPr>
              <w:t>Edukacja</w:t>
            </w:r>
            <w:r w:rsidRPr="004E50FF">
              <w:rPr>
                <w:b/>
                <w:bCs/>
                <w:lang w:val="pl-PL"/>
              </w:rPr>
              <w:br/>
            </w:r>
            <w:r w:rsidRPr="004E50FF">
              <w:rPr>
                <w:b/>
                <w:bCs/>
                <w:i/>
                <w:iCs/>
                <w:lang w:val="pl-PL"/>
              </w:rPr>
              <w:t>Współpraca polega na realizacji działań w zakresie podnoszenia kwalifikacji kadry nauczycielskiej i wspólnej realizacji projektów edukacyjnych</w:t>
            </w:r>
          </w:p>
        </w:tc>
      </w:tr>
      <w:tr w:rsidR="00661021" w:rsidRPr="00176303" w14:paraId="3D40F918" w14:textId="77777777" w:rsidTr="004E50FF">
        <w:tc>
          <w:tcPr>
            <w:tcW w:w="851" w:type="dxa"/>
          </w:tcPr>
          <w:p w14:paraId="2731E4A4" w14:textId="52F151CA" w:rsidR="00661021" w:rsidRDefault="00661021" w:rsidP="00661021">
            <w:pPr>
              <w:ind w:left="0"/>
              <w:rPr>
                <w:lang w:val="pl-PL"/>
              </w:rPr>
            </w:pPr>
            <w:r>
              <w:rPr>
                <w:lang w:val="pl-PL"/>
              </w:rPr>
              <w:t>5</w:t>
            </w:r>
          </w:p>
        </w:tc>
        <w:tc>
          <w:tcPr>
            <w:tcW w:w="4961" w:type="dxa"/>
            <w:vAlign w:val="center"/>
          </w:tcPr>
          <w:p w14:paraId="13674762" w14:textId="3BBEEDA2" w:rsidR="00661021" w:rsidRDefault="00661021" w:rsidP="00661021">
            <w:pPr>
              <w:ind w:left="0"/>
              <w:rPr>
                <w:lang w:val="pl-PL"/>
              </w:rPr>
            </w:pPr>
            <w:r w:rsidRPr="00661021">
              <w:rPr>
                <w:lang w:val="pl-PL"/>
              </w:rPr>
              <w:t>Utworzenie i prowadzenie Ośrodka Doskonalenia Nauczycieli</w:t>
            </w:r>
          </w:p>
        </w:tc>
        <w:tc>
          <w:tcPr>
            <w:tcW w:w="3253" w:type="dxa"/>
            <w:vAlign w:val="center"/>
          </w:tcPr>
          <w:p w14:paraId="401D4085" w14:textId="26AF381E" w:rsidR="00661021" w:rsidRDefault="00661021" w:rsidP="00661021">
            <w:pPr>
              <w:ind w:left="0"/>
              <w:rPr>
                <w:lang w:val="pl-PL"/>
              </w:rPr>
            </w:pPr>
            <w:r w:rsidRPr="00661021">
              <w:rPr>
                <w:lang w:val="pl-PL"/>
              </w:rPr>
              <w:br/>
              <w:t>Powiat Działdowski, Powiat Nidzicki, Powiat Szczycieński</w:t>
            </w:r>
          </w:p>
        </w:tc>
      </w:tr>
      <w:tr w:rsidR="00661021" w:rsidRPr="00176303" w14:paraId="58DEABA0" w14:textId="77777777" w:rsidTr="004E50FF">
        <w:tc>
          <w:tcPr>
            <w:tcW w:w="851" w:type="dxa"/>
          </w:tcPr>
          <w:p w14:paraId="00A0F234" w14:textId="0EDB8927" w:rsidR="00661021" w:rsidRDefault="00661021" w:rsidP="00661021">
            <w:pPr>
              <w:ind w:left="0"/>
              <w:rPr>
                <w:lang w:val="pl-PL"/>
              </w:rPr>
            </w:pPr>
            <w:r>
              <w:rPr>
                <w:lang w:val="pl-PL"/>
              </w:rPr>
              <w:t>6</w:t>
            </w:r>
          </w:p>
        </w:tc>
        <w:tc>
          <w:tcPr>
            <w:tcW w:w="4961" w:type="dxa"/>
            <w:vAlign w:val="center"/>
          </w:tcPr>
          <w:p w14:paraId="37A109FE" w14:textId="2B08AFB1" w:rsidR="00661021" w:rsidRDefault="00661021" w:rsidP="00661021">
            <w:pPr>
              <w:ind w:left="0"/>
              <w:rPr>
                <w:lang w:val="pl-PL"/>
              </w:rPr>
            </w:pPr>
            <w:r w:rsidRPr="00661021">
              <w:rPr>
                <w:lang w:val="pl-PL"/>
              </w:rPr>
              <w:t>Powierzenie zadań szkolnictwa podstawowego oraz wychowania przedszkolnego i prowadzenia żłobka</w:t>
            </w:r>
          </w:p>
        </w:tc>
        <w:tc>
          <w:tcPr>
            <w:tcW w:w="3253" w:type="dxa"/>
            <w:vAlign w:val="center"/>
          </w:tcPr>
          <w:p w14:paraId="39785842" w14:textId="0748D625" w:rsidR="00661021" w:rsidRDefault="00661021" w:rsidP="00661021">
            <w:pPr>
              <w:ind w:left="0"/>
              <w:rPr>
                <w:lang w:val="pl-PL"/>
              </w:rPr>
            </w:pPr>
            <w:r w:rsidRPr="00661021">
              <w:rPr>
                <w:lang w:val="pl-PL"/>
              </w:rPr>
              <w:t>Gmina wiejska Szczytno, gmina miejska Szczytno</w:t>
            </w:r>
          </w:p>
        </w:tc>
      </w:tr>
      <w:tr w:rsidR="004E50FF" w:rsidRPr="00176303" w14:paraId="5F5FBE87" w14:textId="77777777" w:rsidTr="004E50FF">
        <w:tc>
          <w:tcPr>
            <w:tcW w:w="9065" w:type="dxa"/>
            <w:gridSpan w:val="3"/>
            <w:shd w:val="clear" w:color="auto" w:fill="BFBFBF" w:themeFill="background1" w:themeFillShade="BF"/>
          </w:tcPr>
          <w:p w14:paraId="312B260E" w14:textId="1CC18431" w:rsidR="004E50FF" w:rsidRPr="00FF6FD9" w:rsidRDefault="004E50FF" w:rsidP="00661021">
            <w:pPr>
              <w:ind w:left="0"/>
              <w:rPr>
                <w:b/>
                <w:bCs/>
                <w:lang w:val="pl-PL"/>
              </w:rPr>
            </w:pPr>
            <w:r w:rsidRPr="004E50FF">
              <w:rPr>
                <w:b/>
                <w:bCs/>
                <w:lang w:val="pl-PL"/>
              </w:rPr>
              <w:t>Ochrona środowiska</w:t>
            </w:r>
            <w:r w:rsidR="00FF6FD9">
              <w:rPr>
                <w:b/>
                <w:bCs/>
                <w:lang w:val="pl-PL"/>
              </w:rPr>
              <w:br/>
            </w:r>
            <w:r w:rsidRPr="004E50FF">
              <w:rPr>
                <w:b/>
                <w:bCs/>
                <w:i/>
                <w:iCs/>
                <w:lang w:val="pl-PL"/>
              </w:rPr>
              <w:t>Współpraca polega wspieraniu gmin w realizacji zadań w obszarze ochrony środowiska i edukacji ekologicznej oraz opracowaniu wspólnych dla dokumentów operacyjnych (planów działań) w ww. zakresie</w:t>
            </w:r>
          </w:p>
        </w:tc>
      </w:tr>
      <w:tr w:rsidR="004E50FF" w:rsidRPr="00176303" w14:paraId="379221D1" w14:textId="77777777" w:rsidTr="004E50FF">
        <w:tc>
          <w:tcPr>
            <w:tcW w:w="851" w:type="dxa"/>
            <w:vAlign w:val="center"/>
          </w:tcPr>
          <w:p w14:paraId="771D19E8" w14:textId="22725C55" w:rsidR="004E50FF" w:rsidRDefault="004E50FF" w:rsidP="004E50FF">
            <w:pPr>
              <w:ind w:left="0"/>
              <w:rPr>
                <w:lang w:val="pl-PL"/>
              </w:rPr>
            </w:pPr>
            <w:r w:rsidRPr="00BD3D54">
              <w:t>7</w:t>
            </w:r>
          </w:p>
        </w:tc>
        <w:tc>
          <w:tcPr>
            <w:tcW w:w="4961" w:type="dxa"/>
            <w:vAlign w:val="center"/>
          </w:tcPr>
          <w:p w14:paraId="76384BEF" w14:textId="184CE247" w:rsidR="004E50FF" w:rsidRDefault="004E50FF" w:rsidP="004E50FF">
            <w:pPr>
              <w:ind w:left="0"/>
              <w:rPr>
                <w:lang w:val="pl-PL"/>
              </w:rPr>
            </w:pPr>
            <w:r w:rsidRPr="004E50FF">
              <w:rPr>
                <w:lang w:val="pl-PL"/>
              </w:rPr>
              <w:t>Wsparcie realizacji zadań własnych Gmin – członków związku w realizacji zadań w zakresie ochrony środowiska</w:t>
            </w:r>
          </w:p>
        </w:tc>
        <w:tc>
          <w:tcPr>
            <w:tcW w:w="3253" w:type="dxa"/>
            <w:vAlign w:val="center"/>
          </w:tcPr>
          <w:p w14:paraId="3277C375" w14:textId="58917683" w:rsidR="004E50FF" w:rsidRDefault="004E50FF" w:rsidP="004E50FF">
            <w:pPr>
              <w:ind w:left="0"/>
              <w:rPr>
                <w:lang w:val="pl-PL"/>
              </w:rPr>
            </w:pPr>
            <w:r w:rsidRPr="004E50FF">
              <w:rPr>
                <w:lang w:val="pl-PL"/>
              </w:rPr>
              <w:t>Gminy wchodzące w skład Ekologicznego Związku Gmin „Działdowszczyzna”</w:t>
            </w:r>
          </w:p>
        </w:tc>
      </w:tr>
      <w:tr w:rsidR="004E50FF" w:rsidRPr="00176303" w14:paraId="00C2BABB" w14:textId="77777777" w:rsidTr="004E50FF">
        <w:tc>
          <w:tcPr>
            <w:tcW w:w="851" w:type="dxa"/>
            <w:vAlign w:val="center"/>
          </w:tcPr>
          <w:p w14:paraId="7C281F3F" w14:textId="5F7C6CAF" w:rsidR="004E50FF" w:rsidRDefault="004E50FF" w:rsidP="004E50FF">
            <w:pPr>
              <w:ind w:left="0"/>
              <w:rPr>
                <w:lang w:val="pl-PL"/>
              </w:rPr>
            </w:pPr>
            <w:r w:rsidRPr="00BD3D54">
              <w:t>8</w:t>
            </w:r>
          </w:p>
        </w:tc>
        <w:tc>
          <w:tcPr>
            <w:tcW w:w="4961" w:type="dxa"/>
            <w:vAlign w:val="center"/>
          </w:tcPr>
          <w:p w14:paraId="169C6DA1" w14:textId="43626165" w:rsidR="004E50FF" w:rsidRDefault="004E50FF" w:rsidP="004E50FF">
            <w:pPr>
              <w:ind w:left="0"/>
              <w:rPr>
                <w:lang w:val="pl-PL"/>
              </w:rPr>
            </w:pPr>
            <w:r w:rsidRPr="004E50FF">
              <w:rPr>
                <w:lang w:val="pl-PL"/>
              </w:rPr>
              <w:t>Wspólne opracowanie i realizacja Planu Gospodarki Niskoemisyjnej</w:t>
            </w:r>
          </w:p>
        </w:tc>
        <w:tc>
          <w:tcPr>
            <w:tcW w:w="3253" w:type="dxa"/>
            <w:vAlign w:val="center"/>
          </w:tcPr>
          <w:p w14:paraId="2A43A94D" w14:textId="303F4825" w:rsidR="004E50FF" w:rsidRDefault="004E50FF" w:rsidP="004E50FF">
            <w:pPr>
              <w:ind w:left="0"/>
              <w:rPr>
                <w:lang w:val="pl-PL"/>
              </w:rPr>
            </w:pPr>
            <w:r w:rsidRPr="004E50FF">
              <w:rPr>
                <w:lang w:val="pl-PL"/>
              </w:rPr>
              <w:t xml:space="preserve">Gmina miejska Szczytno, gmina wiejska Szczytno, Pasym, Dźwierzuty, Jedwabno, </w:t>
            </w:r>
            <w:r w:rsidRPr="004E50FF">
              <w:rPr>
                <w:lang w:val="pl-PL"/>
              </w:rPr>
              <w:lastRenderedPageBreak/>
              <w:t>Rozogi, Szczytno, Świętajno, Wielbark</w:t>
            </w:r>
          </w:p>
        </w:tc>
      </w:tr>
      <w:tr w:rsidR="004E50FF" w:rsidRPr="00176303" w14:paraId="5E42CD01" w14:textId="77777777" w:rsidTr="004E50FF">
        <w:tc>
          <w:tcPr>
            <w:tcW w:w="9065" w:type="dxa"/>
            <w:gridSpan w:val="3"/>
            <w:shd w:val="clear" w:color="auto" w:fill="BFBFBF" w:themeFill="background1" w:themeFillShade="BF"/>
            <w:vAlign w:val="center"/>
          </w:tcPr>
          <w:p w14:paraId="248004BF" w14:textId="41CAAB07" w:rsidR="004E50FF" w:rsidRPr="004E50FF" w:rsidRDefault="004E50FF" w:rsidP="004E50FF">
            <w:pPr>
              <w:ind w:left="0"/>
              <w:rPr>
                <w:b/>
                <w:bCs/>
                <w:lang w:val="pl-PL"/>
              </w:rPr>
            </w:pPr>
            <w:r w:rsidRPr="004E50FF">
              <w:rPr>
                <w:b/>
                <w:bCs/>
                <w:lang w:val="pl-PL"/>
              </w:rPr>
              <w:lastRenderedPageBreak/>
              <w:t>Pomoc i opieka społeczna. Integracja społeczna</w:t>
            </w:r>
            <w:r w:rsidRPr="004E50FF">
              <w:rPr>
                <w:b/>
                <w:bCs/>
                <w:lang w:val="pl-PL"/>
              </w:rPr>
              <w:br/>
            </w:r>
            <w:r w:rsidRPr="004E50FF">
              <w:rPr>
                <w:b/>
                <w:bCs/>
                <w:i/>
                <w:iCs/>
                <w:lang w:val="pl-PL"/>
              </w:rPr>
              <w:t>Współpraca polega na wspólnej realizacji działań w zakresie opieki społecznej, integracji i pobudzania aktywności społeczności lokalnej</w:t>
            </w:r>
          </w:p>
        </w:tc>
      </w:tr>
      <w:tr w:rsidR="004E50FF" w14:paraId="2B70768C" w14:textId="77777777" w:rsidTr="004E50FF">
        <w:tc>
          <w:tcPr>
            <w:tcW w:w="851" w:type="dxa"/>
            <w:vAlign w:val="center"/>
          </w:tcPr>
          <w:p w14:paraId="43BF935A" w14:textId="790CC955" w:rsidR="004E50FF" w:rsidRDefault="004E50FF" w:rsidP="004E50FF">
            <w:pPr>
              <w:ind w:left="0"/>
              <w:rPr>
                <w:lang w:val="pl-PL"/>
              </w:rPr>
            </w:pPr>
            <w:r w:rsidRPr="00BD3D54">
              <w:t>9</w:t>
            </w:r>
          </w:p>
        </w:tc>
        <w:tc>
          <w:tcPr>
            <w:tcW w:w="4961" w:type="dxa"/>
            <w:vAlign w:val="center"/>
          </w:tcPr>
          <w:p w14:paraId="4F3CBDBE" w14:textId="7A94B2CB" w:rsidR="004E50FF" w:rsidRDefault="004E50FF" w:rsidP="004E50FF">
            <w:pPr>
              <w:ind w:left="0"/>
              <w:rPr>
                <w:lang w:val="pl-PL"/>
              </w:rPr>
            </w:pPr>
            <w:r w:rsidRPr="004E50FF">
              <w:rPr>
                <w:lang w:val="pl-PL"/>
              </w:rPr>
              <w:t>Prowadzenie powiatowego zespołu ds. orzekania o niepełnosprawności (siedziba w Szczytnie, punkt w Nidzicy)</w:t>
            </w:r>
          </w:p>
        </w:tc>
        <w:tc>
          <w:tcPr>
            <w:tcW w:w="3253" w:type="dxa"/>
            <w:vAlign w:val="center"/>
          </w:tcPr>
          <w:p w14:paraId="2784C46E" w14:textId="359C0BC2" w:rsidR="004E50FF" w:rsidRDefault="004E50FF" w:rsidP="004E50FF">
            <w:pPr>
              <w:ind w:left="0"/>
              <w:rPr>
                <w:lang w:val="pl-PL"/>
              </w:rPr>
            </w:pPr>
            <w:r w:rsidRPr="00BD3D54">
              <w:t>Powiat Szczycieński, Powiat Nidzicki</w:t>
            </w:r>
          </w:p>
        </w:tc>
      </w:tr>
      <w:tr w:rsidR="004E50FF" w:rsidRPr="00176303" w14:paraId="7B62907D" w14:textId="77777777" w:rsidTr="004E50FF">
        <w:tc>
          <w:tcPr>
            <w:tcW w:w="851" w:type="dxa"/>
            <w:vAlign w:val="center"/>
          </w:tcPr>
          <w:p w14:paraId="14809062" w14:textId="3E7BEE9D" w:rsidR="004E50FF" w:rsidRDefault="004E50FF" w:rsidP="004E50FF">
            <w:pPr>
              <w:ind w:left="0"/>
              <w:rPr>
                <w:lang w:val="pl-PL"/>
              </w:rPr>
            </w:pPr>
            <w:r w:rsidRPr="00BD3D54">
              <w:t>10</w:t>
            </w:r>
          </w:p>
        </w:tc>
        <w:tc>
          <w:tcPr>
            <w:tcW w:w="4961" w:type="dxa"/>
            <w:vAlign w:val="center"/>
          </w:tcPr>
          <w:p w14:paraId="1C86D711" w14:textId="337DCE69" w:rsidR="004E50FF" w:rsidRDefault="004E50FF" w:rsidP="004E50FF">
            <w:pPr>
              <w:ind w:left="0"/>
              <w:rPr>
                <w:lang w:val="pl-PL"/>
              </w:rPr>
            </w:pPr>
            <w:r w:rsidRPr="004E50FF">
              <w:rPr>
                <w:lang w:val="pl-PL"/>
              </w:rPr>
              <w:t>Inicjowanie i wspieranie działań na rzecz rozwiązywania lokalnych problemów i aktywizacja lokalnych społeczności</w:t>
            </w:r>
          </w:p>
        </w:tc>
        <w:tc>
          <w:tcPr>
            <w:tcW w:w="3253" w:type="dxa"/>
            <w:vAlign w:val="center"/>
          </w:tcPr>
          <w:p w14:paraId="232FC9EF" w14:textId="7C644FA8" w:rsidR="004E50FF" w:rsidRDefault="004E50FF" w:rsidP="004E50FF">
            <w:pPr>
              <w:ind w:left="0"/>
              <w:rPr>
                <w:lang w:val="pl-PL"/>
              </w:rPr>
            </w:pPr>
            <w:r w:rsidRPr="004E50FF">
              <w:rPr>
                <w:lang w:val="pl-PL"/>
              </w:rPr>
              <w:t>Gminy wchodzące w skład Stowarzyszenia LGD „Brama Mazurskiej Krainy”</w:t>
            </w:r>
          </w:p>
        </w:tc>
      </w:tr>
      <w:tr w:rsidR="004E50FF" w:rsidRPr="00176303" w14:paraId="3D78E550" w14:textId="77777777" w:rsidTr="004E50FF">
        <w:tc>
          <w:tcPr>
            <w:tcW w:w="851" w:type="dxa"/>
            <w:vAlign w:val="center"/>
          </w:tcPr>
          <w:p w14:paraId="0F4E143C" w14:textId="2F50E51B" w:rsidR="004E50FF" w:rsidRDefault="004E50FF" w:rsidP="004E50FF">
            <w:pPr>
              <w:ind w:left="0"/>
              <w:rPr>
                <w:lang w:val="pl-PL"/>
              </w:rPr>
            </w:pPr>
            <w:r w:rsidRPr="00BD3D54">
              <w:t>11</w:t>
            </w:r>
          </w:p>
        </w:tc>
        <w:tc>
          <w:tcPr>
            <w:tcW w:w="4961" w:type="dxa"/>
            <w:vAlign w:val="center"/>
          </w:tcPr>
          <w:p w14:paraId="40DB8380" w14:textId="4D720710" w:rsidR="004E50FF" w:rsidRDefault="004E50FF" w:rsidP="004E50FF">
            <w:pPr>
              <w:ind w:left="0"/>
              <w:rPr>
                <w:lang w:val="pl-PL"/>
              </w:rPr>
            </w:pPr>
            <w:r w:rsidRPr="004E50FF">
              <w:rPr>
                <w:lang w:val="pl-PL"/>
              </w:rPr>
              <w:t>Współpraca w ramach opracowania Ponadlokalnego Programu Rewitalizacyjnego Sieci Miast Cittaslow i jego realizacji</w:t>
            </w:r>
          </w:p>
        </w:tc>
        <w:tc>
          <w:tcPr>
            <w:tcW w:w="3253" w:type="dxa"/>
            <w:vAlign w:val="center"/>
          </w:tcPr>
          <w:p w14:paraId="2A85CAE1" w14:textId="77777777" w:rsidR="004E50FF" w:rsidRPr="00BD3D54" w:rsidRDefault="004E50FF" w:rsidP="004E50FF">
            <w:pPr>
              <w:pStyle w:val="elementgraficznytabela"/>
              <w:spacing w:after="240"/>
              <w:contextualSpacing/>
            </w:pPr>
            <w:r w:rsidRPr="00BD3D54">
              <w:t>Działdowo, Lidzbark, Nidzica, gmina miejska Szczytno</w:t>
            </w:r>
          </w:p>
          <w:p w14:paraId="416AE8FC" w14:textId="0F0EABA5" w:rsidR="004E50FF" w:rsidRDefault="004E50FF" w:rsidP="004E50FF">
            <w:pPr>
              <w:ind w:left="0"/>
              <w:rPr>
                <w:lang w:val="pl-PL"/>
              </w:rPr>
            </w:pPr>
          </w:p>
        </w:tc>
      </w:tr>
      <w:tr w:rsidR="004E50FF" w:rsidRPr="00176303" w14:paraId="2E0BBE55" w14:textId="77777777" w:rsidTr="004E50FF">
        <w:tc>
          <w:tcPr>
            <w:tcW w:w="851" w:type="dxa"/>
            <w:vAlign w:val="center"/>
          </w:tcPr>
          <w:p w14:paraId="6201F8C4" w14:textId="69C4D9F3" w:rsidR="004E50FF" w:rsidRDefault="004E50FF" w:rsidP="004E50FF">
            <w:pPr>
              <w:ind w:left="0"/>
              <w:rPr>
                <w:lang w:val="pl-PL"/>
              </w:rPr>
            </w:pPr>
            <w:r w:rsidRPr="00BD3D54">
              <w:t>12</w:t>
            </w:r>
          </w:p>
        </w:tc>
        <w:tc>
          <w:tcPr>
            <w:tcW w:w="4961" w:type="dxa"/>
            <w:vAlign w:val="center"/>
          </w:tcPr>
          <w:p w14:paraId="1F2CE238" w14:textId="3FEA32AB" w:rsidR="004E50FF" w:rsidRDefault="004E50FF" w:rsidP="004E50FF">
            <w:pPr>
              <w:ind w:left="0"/>
              <w:rPr>
                <w:lang w:val="pl-PL"/>
              </w:rPr>
            </w:pPr>
            <w:r w:rsidRPr="004E50FF">
              <w:rPr>
                <w:lang w:val="pl-PL"/>
              </w:rPr>
              <w:t>Wspólna organizacja imprez lokalnych integrujących społeczność lokalną</w:t>
            </w:r>
          </w:p>
        </w:tc>
        <w:tc>
          <w:tcPr>
            <w:tcW w:w="3253" w:type="dxa"/>
            <w:vAlign w:val="center"/>
          </w:tcPr>
          <w:p w14:paraId="00B154B8" w14:textId="16A69979" w:rsidR="004E50FF" w:rsidRDefault="004E50FF" w:rsidP="004E50FF">
            <w:pPr>
              <w:ind w:left="0"/>
              <w:rPr>
                <w:lang w:val="pl-PL"/>
              </w:rPr>
            </w:pPr>
            <w:r w:rsidRPr="004E50FF">
              <w:rPr>
                <w:lang w:val="pl-PL"/>
              </w:rPr>
              <w:t>Powiaty i gminy położone na terenie poszczególnych powiatów</w:t>
            </w:r>
          </w:p>
        </w:tc>
      </w:tr>
      <w:tr w:rsidR="004E50FF" w:rsidRPr="00176303" w14:paraId="7E155AE7" w14:textId="77777777" w:rsidTr="004E50FF">
        <w:tc>
          <w:tcPr>
            <w:tcW w:w="851" w:type="dxa"/>
            <w:vAlign w:val="center"/>
          </w:tcPr>
          <w:p w14:paraId="13919228" w14:textId="105A7826" w:rsidR="004E50FF" w:rsidRDefault="004E50FF" w:rsidP="004E50FF">
            <w:pPr>
              <w:ind w:left="0"/>
              <w:rPr>
                <w:lang w:val="pl-PL"/>
              </w:rPr>
            </w:pPr>
            <w:r w:rsidRPr="00BD3D54">
              <w:t>13</w:t>
            </w:r>
          </w:p>
        </w:tc>
        <w:tc>
          <w:tcPr>
            <w:tcW w:w="4961" w:type="dxa"/>
            <w:vAlign w:val="center"/>
          </w:tcPr>
          <w:p w14:paraId="703D6124" w14:textId="79BFFE54" w:rsidR="004E50FF" w:rsidRDefault="004E50FF" w:rsidP="004E50FF">
            <w:pPr>
              <w:ind w:left="0"/>
              <w:rPr>
                <w:lang w:val="pl-PL"/>
              </w:rPr>
            </w:pPr>
            <w:r w:rsidRPr="004E50FF">
              <w:rPr>
                <w:lang w:val="pl-PL"/>
              </w:rPr>
              <w:t>Działania aktywizujące dla seniorów z powiatu szczycieńskiego (powierzenie zadań gminie)</w:t>
            </w:r>
          </w:p>
        </w:tc>
        <w:tc>
          <w:tcPr>
            <w:tcW w:w="3253" w:type="dxa"/>
            <w:vAlign w:val="center"/>
          </w:tcPr>
          <w:p w14:paraId="52A0CE40" w14:textId="558CC304" w:rsidR="004E50FF" w:rsidRDefault="004E50FF" w:rsidP="004E50FF">
            <w:pPr>
              <w:ind w:left="0"/>
              <w:rPr>
                <w:lang w:val="pl-PL"/>
              </w:rPr>
            </w:pPr>
            <w:r w:rsidRPr="004E50FF">
              <w:rPr>
                <w:lang w:val="pl-PL"/>
              </w:rPr>
              <w:t>Powiat Szczycieński, gmina miejska Szczytno</w:t>
            </w:r>
          </w:p>
        </w:tc>
      </w:tr>
      <w:tr w:rsidR="004E50FF" w:rsidRPr="00176303" w14:paraId="094C3FBD" w14:textId="77777777" w:rsidTr="004E50FF">
        <w:tc>
          <w:tcPr>
            <w:tcW w:w="9065" w:type="dxa"/>
            <w:gridSpan w:val="3"/>
            <w:shd w:val="clear" w:color="auto" w:fill="BFBFBF" w:themeFill="background1" w:themeFillShade="BF"/>
            <w:vAlign w:val="center"/>
          </w:tcPr>
          <w:p w14:paraId="76ED5113" w14:textId="6D62CBE6" w:rsidR="004E50FF" w:rsidRPr="004E50FF" w:rsidRDefault="004E50FF" w:rsidP="004E50FF">
            <w:pPr>
              <w:ind w:left="0"/>
              <w:rPr>
                <w:b/>
                <w:bCs/>
                <w:lang w:val="pl-PL"/>
              </w:rPr>
            </w:pPr>
            <w:r w:rsidRPr="004E50FF">
              <w:rPr>
                <w:b/>
                <w:bCs/>
                <w:lang w:val="pl-PL"/>
              </w:rPr>
              <w:t>Obrona cywilna</w:t>
            </w:r>
            <w:r w:rsidRPr="004E50FF">
              <w:rPr>
                <w:b/>
                <w:bCs/>
                <w:lang w:val="pl-PL"/>
              </w:rPr>
              <w:br/>
            </w:r>
            <w:r w:rsidRPr="004E50FF">
              <w:rPr>
                <w:b/>
                <w:bCs/>
                <w:i/>
                <w:iCs/>
                <w:lang w:val="pl-PL"/>
              </w:rPr>
              <w:t>Współpraca polega na wspólnej realizacji działań w zakresie obronności</w:t>
            </w:r>
          </w:p>
        </w:tc>
      </w:tr>
      <w:tr w:rsidR="004E50FF" w:rsidRPr="00176303" w14:paraId="6BE6E4AC" w14:textId="77777777" w:rsidTr="004E50FF">
        <w:tc>
          <w:tcPr>
            <w:tcW w:w="851" w:type="dxa"/>
            <w:vAlign w:val="center"/>
          </w:tcPr>
          <w:p w14:paraId="4D35F69F" w14:textId="0551D0D9" w:rsidR="004E50FF" w:rsidRDefault="004E50FF" w:rsidP="004E50FF">
            <w:pPr>
              <w:ind w:left="0"/>
              <w:rPr>
                <w:lang w:val="pl-PL"/>
              </w:rPr>
            </w:pPr>
            <w:r w:rsidRPr="00BD3D54">
              <w:t>14</w:t>
            </w:r>
          </w:p>
        </w:tc>
        <w:tc>
          <w:tcPr>
            <w:tcW w:w="4961" w:type="dxa"/>
            <w:vAlign w:val="center"/>
          </w:tcPr>
          <w:p w14:paraId="2EC5D5A5" w14:textId="77777777" w:rsidR="004E50FF" w:rsidRDefault="004E50FF" w:rsidP="004E50FF">
            <w:pPr>
              <w:pStyle w:val="elementgraficznytabela"/>
              <w:spacing w:after="240"/>
              <w:contextualSpacing/>
            </w:pPr>
            <w:r w:rsidRPr="00BD3D54">
              <w:t>Działalność rozjemcza w związku z organizacją i prowadzeniem powiatowych ćwiczeń obronnych.</w:t>
            </w:r>
          </w:p>
          <w:p w14:paraId="23F89797" w14:textId="77777777" w:rsidR="004E50FF" w:rsidRDefault="004E50FF" w:rsidP="004E50FF">
            <w:pPr>
              <w:ind w:left="0"/>
              <w:rPr>
                <w:lang w:val="pl-PL"/>
              </w:rPr>
            </w:pPr>
          </w:p>
        </w:tc>
        <w:tc>
          <w:tcPr>
            <w:tcW w:w="3253" w:type="dxa"/>
            <w:vAlign w:val="center"/>
          </w:tcPr>
          <w:p w14:paraId="2A431E1C" w14:textId="76A1F959" w:rsidR="004E50FF" w:rsidRDefault="004E50FF" w:rsidP="004E50FF">
            <w:pPr>
              <w:ind w:left="0"/>
              <w:rPr>
                <w:lang w:val="pl-PL"/>
              </w:rPr>
            </w:pPr>
            <w:r w:rsidRPr="004E50FF">
              <w:rPr>
                <w:lang w:val="pl-PL"/>
              </w:rPr>
              <w:t>Powiat Piski, Powiat Nidzicki i Powiat Działdowski</w:t>
            </w:r>
          </w:p>
        </w:tc>
      </w:tr>
      <w:tr w:rsidR="004E50FF" w:rsidRPr="00176303" w14:paraId="302B8991" w14:textId="77777777" w:rsidTr="004E50FF">
        <w:tc>
          <w:tcPr>
            <w:tcW w:w="9065" w:type="dxa"/>
            <w:gridSpan w:val="3"/>
            <w:shd w:val="clear" w:color="auto" w:fill="BFBFBF" w:themeFill="background1" w:themeFillShade="BF"/>
            <w:vAlign w:val="center"/>
          </w:tcPr>
          <w:p w14:paraId="011C27B2" w14:textId="57EF9402" w:rsidR="004E50FF" w:rsidRPr="004E50FF" w:rsidRDefault="004E50FF" w:rsidP="004E50FF">
            <w:pPr>
              <w:ind w:left="0"/>
              <w:rPr>
                <w:b/>
                <w:bCs/>
                <w:lang w:val="pl-PL"/>
              </w:rPr>
            </w:pPr>
            <w:r w:rsidRPr="004E50FF">
              <w:rPr>
                <w:b/>
                <w:bCs/>
                <w:lang w:val="pl-PL"/>
              </w:rPr>
              <w:lastRenderedPageBreak/>
              <w:t>Infrastruktura techniczna</w:t>
            </w:r>
            <w:r w:rsidRPr="004E50FF">
              <w:rPr>
                <w:b/>
                <w:bCs/>
                <w:lang w:val="pl-PL"/>
              </w:rPr>
              <w:br/>
            </w:r>
            <w:r w:rsidRPr="004E50FF">
              <w:rPr>
                <w:b/>
                <w:bCs/>
                <w:i/>
                <w:iCs/>
                <w:lang w:val="pl-PL"/>
              </w:rPr>
              <w:t>Współpraca polega na realizacji przedsięwzięć infrastrukturalnych mających na celu rozwój lub polepszenie jakości infrastruktury drogowej i zapewnienie dostępności komunikacyjnej</w:t>
            </w:r>
          </w:p>
        </w:tc>
      </w:tr>
      <w:tr w:rsidR="004E50FF" w:rsidRPr="00176303" w14:paraId="66DDBB31" w14:textId="77777777" w:rsidTr="004E50FF">
        <w:tc>
          <w:tcPr>
            <w:tcW w:w="851" w:type="dxa"/>
            <w:vAlign w:val="center"/>
          </w:tcPr>
          <w:p w14:paraId="11495878" w14:textId="5CB4A14F" w:rsidR="004E50FF" w:rsidRDefault="004E50FF" w:rsidP="004E50FF">
            <w:pPr>
              <w:ind w:left="0"/>
              <w:rPr>
                <w:lang w:val="pl-PL"/>
              </w:rPr>
            </w:pPr>
            <w:r w:rsidRPr="00BD3D54">
              <w:t>15</w:t>
            </w:r>
          </w:p>
        </w:tc>
        <w:tc>
          <w:tcPr>
            <w:tcW w:w="4961" w:type="dxa"/>
            <w:vAlign w:val="center"/>
          </w:tcPr>
          <w:p w14:paraId="1506A9DD" w14:textId="189D3FC0" w:rsidR="004E50FF" w:rsidRDefault="004E50FF" w:rsidP="004E50FF">
            <w:pPr>
              <w:ind w:left="0"/>
              <w:rPr>
                <w:lang w:val="pl-PL"/>
              </w:rPr>
            </w:pPr>
            <w:r w:rsidRPr="004E50FF">
              <w:rPr>
                <w:lang w:val="pl-PL"/>
              </w:rPr>
              <w:t>Wspólna realizacja inwestycji drogowych – drogi, w tym powiatowe na terenie gminy</w:t>
            </w:r>
          </w:p>
        </w:tc>
        <w:tc>
          <w:tcPr>
            <w:tcW w:w="3253" w:type="dxa"/>
            <w:vAlign w:val="center"/>
          </w:tcPr>
          <w:p w14:paraId="45D3BBF0" w14:textId="63A35960" w:rsidR="004E50FF" w:rsidRDefault="004E50FF" w:rsidP="004E50FF">
            <w:pPr>
              <w:ind w:left="0"/>
              <w:rPr>
                <w:lang w:val="pl-PL"/>
              </w:rPr>
            </w:pPr>
            <w:r w:rsidRPr="004E50FF">
              <w:rPr>
                <w:lang w:val="pl-PL"/>
              </w:rPr>
              <w:t>Powiat Nidzicki, Gmina Janowo, Janowiec Kościelny, Gmina Nidzica</w:t>
            </w:r>
          </w:p>
        </w:tc>
      </w:tr>
      <w:tr w:rsidR="004E50FF" w:rsidRPr="00176303" w14:paraId="52B5739A" w14:textId="77777777" w:rsidTr="004E50FF">
        <w:tc>
          <w:tcPr>
            <w:tcW w:w="851" w:type="dxa"/>
            <w:vAlign w:val="center"/>
          </w:tcPr>
          <w:p w14:paraId="63633698" w14:textId="0CA8B3A9" w:rsidR="004E50FF" w:rsidRDefault="004E50FF" w:rsidP="004E50FF">
            <w:pPr>
              <w:ind w:left="0"/>
              <w:rPr>
                <w:lang w:val="pl-PL"/>
              </w:rPr>
            </w:pPr>
            <w:r w:rsidRPr="00BD3D54">
              <w:t>16</w:t>
            </w:r>
          </w:p>
        </w:tc>
        <w:tc>
          <w:tcPr>
            <w:tcW w:w="4961" w:type="dxa"/>
            <w:vAlign w:val="center"/>
          </w:tcPr>
          <w:p w14:paraId="185CA495" w14:textId="3F011091" w:rsidR="004E50FF" w:rsidRDefault="004E50FF" w:rsidP="004E50FF">
            <w:pPr>
              <w:ind w:left="0"/>
              <w:rPr>
                <w:lang w:val="pl-PL"/>
              </w:rPr>
            </w:pPr>
            <w:r w:rsidRPr="004E50FF">
              <w:rPr>
                <w:lang w:val="pl-PL"/>
              </w:rPr>
              <w:t>Wspólna realizacja inwestycji drogowych – drogi, w tym powiatowe na terenie gmin</w:t>
            </w:r>
          </w:p>
        </w:tc>
        <w:tc>
          <w:tcPr>
            <w:tcW w:w="3253" w:type="dxa"/>
            <w:vAlign w:val="center"/>
          </w:tcPr>
          <w:p w14:paraId="70323F5B" w14:textId="26E57108" w:rsidR="004E50FF" w:rsidRDefault="004E50FF" w:rsidP="004E50FF">
            <w:pPr>
              <w:ind w:left="0"/>
              <w:rPr>
                <w:lang w:val="pl-PL"/>
              </w:rPr>
            </w:pPr>
            <w:r w:rsidRPr="004E50FF">
              <w:rPr>
                <w:lang w:val="pl-PL"/>
              </w:rPr>
              <w:t>Powiat Szczycieński, Gmina Świętajno, Gmina Rozogi, Gmina Dźwierzuty</w:t>
            </w:r>
          </w:p>
        </w:tc>
      </w:tr>
      <w:tr w:rsidR="004E50FF" w14:paraId="39290434" w14:textId="77777777" w:rsidTr="004E50FF">
        <w:tc>
          <w:tcPr>
            <w:tcW w:w="851" w:type="dxa"/>
            <w:vAlign w:val="center"/>
          </w:tcPr>
          <w:p w14:paraId="1620CA5E" w14:textId="4B2DF807" w:rsidR="004E50FF" w:rsidRDefault="004E50FF" w:rsidP="004E50FF">
            <w:pPr>
              <w:ind w:left="0"/>
              <w:rPr>
                <w:lang w:val="pl-PL"/>
              </w:rPr>
            </w:pPr>
            <w:r w:rsidRPr="00BD3D54">
              <w:t>17</w:t>
            </w:r>
          </w:p>
        </w:tc>
        <w:tc>
          <w:tcPr>
            <w:tcW w:w="4961" w:type="dxa"/>
            <w:vAlign w:val="center"/>
          </w:tcPr>
          <w:p w14:paraId="1AED17FD" w14:textId="3D910041" w:rsidR="004E50FF" w:rsidRDefault="004E50FF" w:rsidP="004E50FF">
            <w:pPr>
              <w:ind w:left="0"/>
              <w:rPr>
                <w:lang w:val="pl-PL"/>
              </w:rPr>
            </w:pPr>
            <w:r w:rsidRPr="004E50FF">
              <w:rPr>
                <w:lang w:val="pl-PL"/>
              </w:rPr>
              <w:t>Wspólna realizacja inwestycji drogowych – drogi, w tym powiatowe na terenie gmin</w:t>
            </w:r>
          </w:p>
        </w:tc>
        <w:tc>
          <w:tcPr>
            <w:tcW w:w="3253" w:type="dxa"/>
            <w:vAlign w:val="center"/>
          </w:tcPr>
          <w:p w14:paraId="03002F73" w14:textId="7EC3A409" w:rsidR="004E50FF" w:rsidRDefault="004E50FF" w:rsidP="004E50FF">
            <w:pPr>
              <w:ind w:left="0"/>
              <w:rPr>
                <w:lang w:val="pl-PL"/>
              </w:rPr>
            </w:pPr>
            <w:r w:rsidRPr="00BD3D54">
              <w:t>Powiat Piski, Pisz</w:t>
            </w:r>
          </w:p>
        </w:tc>
      </w:tr>
      <w:tr w:rsidR="004E50FF" w:rsidRPr="00176303" w14:paraId="3E82AC97" w14:textId="77777777" w:rsidTr="004E50FF">
        <w:tc>
          <w:tcPr>
            <w:tcW w:w="851" w:type="dxa"/>
            <w:vAlign w:val="center"/>
          </w:tcPr>
          <w:p w14:paraId="759305EC" w14:textId="3278F916" w:rsidR="004E50FF" w:rsidRDefault="004E50FF" w:rsidP="004E50FF">
            <w:pPr>
              <w:ind w:left="0"/>
              <w:rPr>
                <w:lang w:val="pl-PL"/>
              </w:rPr>
            </w:pPr>
            <w:r w:rsidRPr="00BD3D54">
              <w:t>18</w:t>
            </w:r>
          </w:p>
        </w:tc>
        <w:tc>
          <w:tcPr>
            <w:tcW w:w="4961" w:type="dxa"/>
            <w:vAlign w:val="center"/>
          </w:tcPr>
          <w:p w14:paraId="22419620" w14:textId="65F898BB" w:rsidR="004E50FF" w:rsidRDefault="004E50FF" w:rsidP="004E50FF">
            <w:pPr>
              <w:ind w:left="0"/>
              <w:rPr>
                <w:lang w:val="pl-PL"/>
              </w:rPr>
            </w:pPr>
            <w:r w:rsidRPr="004E50FF">
              <w:rPr>
                <w:lang w:val="pl-PL"/>
              </w:rPr>
              <w:t>Wspólna realizacja inwestycji drogowych – drogi, w tym powiatowe na terenie gmin</w:t>
            </w:r>
          </w:p>
        </w:tc>
        <w:tc>
          <w:tcPr>
            <w:tcW w:w="3253" w:type="dxa"/>
            <w:vAlign w:val="center"/>
          </w:tcPr>
          <w:p w14:paraId="0D0832AD" w14:textId="77777777" w:rsidR="004E50FF" w:rsidRPr="00BD3D54" w:rsidRDefault="004E50FF" w:rsidP="004E50FF">
            <w:pPr>
              <w:pStyle w:val="elementgraficznytabela"/>
              <w:spacing w:after="240"/>
              <w:contextualSpacing/>
            </w:pPr>
            <w:r w:rsidRPr="00BD3D54">
              <w:t>Powiat Działdowski, miasto Działdowo, gmina Działdowo</w:t>
            </w:r>
          </w:p>
          <w:p w14:paraId="24572712" w14:textId="56B2BE76" w:rsidR="004E50FF" w:rsidRDefault="004E50FF" w:rsidP="004E50FF">
            <w:pPr>
              <w:ind w:left="0"/>
              <w:rPr>
                <w:lang w:val="pl-PL"/>
              </w:rPr>
            </w:pPr>
          </w:p>
        </w:tc>
      </w:tr>
      <w:tr w:rsidR="004E50FF" w:rsidRPr="00176303" w14:paraId="04047B4D" w14:textId="77777777" w:rsidTr="004E50FF">
        <w:tc>
          <w:tcPr>
            <w:tcW w:w="851" w:type="dxa"/>
            <w:vAlign w:val="center"/>
          </w:tcPr>
          <w:p w14:paraId="3623E889" w14:textId="0E8CCA2D" w:rsidR="004E50FF" w:rsidRDefault="004E50FF" w:rsidP="004E50FF">
            <w:pPr>
              <w:ind w:left="0"/>
              <w:rPr>
                <w:lang w:val="pl-PL"/>
              </w:rPr>
            </w:pPr>
            <w:r w:rsidRPr="00BD3D54">
              <w:t>19</w:t>
            </w:r>
          </w:p>
        </w:tc>
        <w:tc>
          <w:tcPr>
            <w:tcW w:w="4961" w:type="dxa"/>
            <w:vAlign w:val="center"/>
          </w:tcPr>
          <w:p w14:paraId="3197ED00" w14:textId="4A34E415" w:rsidR="004E50FF" w:rsidRDefault="004E50FF" w:rsidP="004E50FF">
            <w:pPr>
              <w:ind w:left="0"/>
              <w:rPr>
                <w:lang w:val="pl-PL"/>
              </w:rPr>
            </w:pPr>
            <w:r w:rsidRPr="004E50FF">
              <w:rPr>
                <w:lang w:val="pl-PL"/>
              </w:rPr>
              <w:t>Zarządzanie drogami powiatowymi w obrębie miasta</w:t>
            </w:r>
          </w:p>
        </w:tc>
        <w:tc>
          <w:tcPr>
            <w:tcW w:w="3253" w:type="dxa"/>
            <w:vAlign w:val="center"/>
          </w:tcPr>
          <w:p w14:paraId="1A9C94C8" w14:textId="6A1EDB42" w:rsidR="004E50FF" w:rsidRDefault="004E50FF" w:rsidP="004E50FF">
            <w:pPr>
              <w:ind w:left="0"/>
              <w:rPr>
                <w:lang w:val="pl-PL"/>
              </w:rPr>
            </w:pPr>
            <w:r w:rsidRPr="004E50FF">
              <w:rPr>
                <w:lang w:val="pl-PL"/>
              </w:rPr>
              <w:t>Powiat Szczycieński, Szczytno gmina miejska, Dźwierzuty</w:t>
            </w:r>
          </w:p>
        </w:tc>
      </w:tr>
      <w:tr w:rsidR="004E50FF" w:rsidRPr="00176303" w14:paraId="514EAA7A" w14:textId="77777777" w:rsidTr="004E50FF">
        <w:tc>
          <w:tcPr>
            <w:tcW w:w="9065" w:type="dxa"/>
            <w:gridSpan w:val="3"/>
            <w:shd w:val="clear" w:color="auto" w:fill="BFBFBF" w:themeFill="background1" w:themeFillShade="BF"/>
            <w:vAlign w:val="center"/>
          </w:tcPr>
          <w:p w14:paraId="46735347" w14:textId="05174F17" w:rsidR="004E50FF" w:rsidRPr="004E50FF" w:rsidRDefault="004E50FF" w:rsidP="004E50FF">
            <w:pPr>
              <w:ind w:left="0"/>
              <w:rPr>
                <w:b/>
                <w:bCs/>
                <w:lang w:val="pl-PL"/>
              </w:rPr>
            </w:pPr>
            <w:r w:rsidRPr="004E50FF">
              <w:rPr>
                <w:b/>
                <w:bCs/>
                <w:lang w:val="pl-PL"/>
              </w:rPr>
              <w:t>Infrastruktura turystyczna</w:t>
            </w:r>
            <w:r w:rsidRPr="004E50FF">
              <w:rPr>
                <w:b/>
                <w:bCs/>
                <w:lang w:val="pl-PL"/>
              </w:rPr>
              <w:br/>
            </w:r>
            <w:r w:rsidRPr="004E50FF">
              <w:rPr>
                <w:b/>
                <w:bCs/>
                <w:i/>
                <w:iCs/>
                <w:lang w:val="pl-PL"/>
              </w:rPr>
              <w:t>Współpraca polega na realizacji przedsięwzięć infrastrukturalnych mających na celu rozwój lub polepszenie jakości infrastruktury turystycznej – sportowo-rekreacyjnej i wypoczynkowej</w:t>
            </w:r>
          </w:p>
        </w:tc>
      </w:tr>
      <w:tr w:rsidR="004E50FF" w14:paraId="281B7295" w14:textId="77777777" w:rsidTr="004E50FF">
        <w:tc>
          <w:tcPr>
            <w:tcW w:w="851" w:type="dxa"/>
            <w:vAlign w:val="center"/>
          </w:tcPr>
          <w:p w14:paraId="51EEE26F" w14:textId="554B32B8" w:rsidR="004E50FF" w:rsidRDefault="004E50FF" w:rsidP="004E50FF">
            <w:pPr>
              <w:ind w:left="0"/>
              <w:rPr>
                <w:lang w:val="pl-PL"/>
              </w:rPr>
            </w:pPr>
            <w:r w:rsidRPr="00BD3D54">
              <w:t>20</w:t>
            </w:r>
          </w:p>
        </w:tc>
        <w:tc>
          <w:tcPr>
            <w:tcW w:w="4961" w:type="dxa"/>
            <w:vAlign w:val="center"/>
          </w:tcPr>
          <w:p w14:paraId="52745D30" w14:textId="44D55BC5" w:rsidR="004E50FF" w:rsidRDefault="004E50FF" w:rsidP="004E50FF">
            <w:pPr>
              <w:ind w:left="0"/>
              <w:rPr>
                <w:lang w:val="pl-PL"/>
              </w:rPr>
            </w:pPr>
            <w:r w:rsidRPr="004E50FF">
              <w:rPr>
                <w:lang w:val="pl-PL"/>
              </w:rPr>
              <w:t>Budowa ścieżki rowerowej przy drodze wojewódzkiej 545 od miejscowości Rozdroże (pow</w:t>
            </w:r>
            <w:r w:rsidR="009B624B">
              <w:rPr>
                <w:lang w:val="pl-PL"/>
              </w:rPr>
              <w:t>iat n</w:t>
            </w:r>
            <w:r w:rsidRPr="009B624B">
              <w:rPr>
                <w:lang w:val="pl-PL"/>
              </w:rPr>
              <w:t>idzicki) do miejscowości Komor</w:t>
            </w:r>
            <w:r w:rsidR="009B624B" w:rsidRPr="009B624B">
              <w:rPr>
                <w:lang w:val="pl-PL"/>
              </w:rPr>
              <w:t xml:space="preserve">niki </w:t>
            </w:r>
            <w:r w:rsidRPr="009B624B">
              <w:rPr>
                <w:lang w:val="pl-PL"/>
              </w:rPr>
              <w:t>(pow</w:t>
            </w:r>
            <w:r w:rsidR="009B624B" w:rsidRPr="009B624B">
              <w:rPr>
                <w:lang w:val="pl-PL"/>
              </w:rPr>
              <w:t>iat</w:t>
            </w:r>
            <w:r w:rsidRPr="009B624B">
              <w:rPr>
                <w:lang w:val="pl-PL"/>
              </w:rPr>
              <w:t xml:space="preserve"> </w:t>
            </w:r>
            <w:r w:rsidR="009B624B" w:rsidRPr="009B624B">
              <w:rPr>
                <w:lang w:val="pl-PL"/>
              </w:rPr>
              <w:t>d</w:t>
            </w:r>
            <w:r w:rsidRPr="009B624B">
              <w:rPr>
                <w:lang w:val="pl-PL"/>
              </w:rPr>
              <w:t>ziałdowski)</w:t>
            </w:r>
          </w:p>
        </w:tc>
        <w:tc>
          <w:tcPr>
            <w:tcW w:w="3253" w:type="dxa"/>
            <w:vAlign w:val="center"/>
          </w:tcPr>
          <w:p w14:paraId="5471AD8A" w14:textId="46EBBA0B" w:rsidR="004E50FF" w:rsidRDefault="004E50FF" w:rsidP="004E50FF">
            <w:pPr>
              <w:ind w:left="0"/>
              <w:rPr>
                <w:lang w:val="pl-PL"/>
              </w:rPr>
            </w:pPr>
            <w:r w:rsidRPr="00BD3D54">
              <w:t>Powiat Nidzicki, Powiat Działdowski</w:t>
            </w:r>
          </w:p>
        </w:tc>
      </w:tr>
      <w:tr w:rsidR="004E50FF" w:rsidRPr="00176303" w14:paraId="22C1481E" w14:textId="77777777" w:rsidTr="004E50FF">
        <w:tc>
          <w:tcPr>
            <w:tcW w:w="851" w:type="dxa"/>
            <w:vAlign w:val="center"/>
          </w:tcPr>
          <w:p w14:paraId="400783BD" w14:textId="5C4D095E" w:rsidR="004E50FF" w:rsidRDefault="004E50FF" w:rsidP="004E50FF">
            <w:pPr>
              <w:ind w:left="0"/>
              <w:rPr>
                <w:lang w:val="pl-PL"/>
              </w:rPr>
            </w:pPr>
            <w:r w:rsidRPr="00BD3D54">
              <w:lastRenderedPageBreak/>
              <w:t>21</w:t>
            </w:r>
          </w:p>
        </w:tc>
        <w:tc>
          <w:tcPr>
            <w:tcW w:w="4961" w:type="dxa"/>
            <w:vAlign w:val="center"/>
          </w:tcPr>
          <w:p w14:paraId="57331024" w14:textId="126D3F08" w:rsidR="004E50FF" w:rsidRDefault="004E50FF" w:rsidP="004E50FF">
            <w:pPr>
              <w:ind w:left="0"/>
              <w:rPr>
                <w:lang w:val="pl-PL"/>
              </w:rPr>
            </w:pPr>
            <w:r w:rsidRPr="004E50FF">
              <w:rPr>
                <w:lang w:val="pl-PL"/>
              </w:rPr>
              <w:t>Budowa ścieżki rowerowej w ramach projektu „Mazurskiej Pętli Rowerowej”, realizowanej przez Stowarzyszenia Wielkie Jeziora Mazurskie</w:t>
            </w:r>
          </w:p>
        </w:tc>
        <w:tc>
          <w:tcPr>
            <w:tcW w:w="3253" w:type="dxa"/>
            <w:vAlign w:val="center"/>
          </w:tcPr>
          <w:p w14:paraId="7B55B9AE" w14:textId="0417CE42" w:rsidR="004E50FF" w:rsidRDefault="004E50FF" w:rsidP="004E50FF">
            <w:pPr>
              <w:ind w:left="0"/>
              <w:rPr>
                <w:lang w:val="pl-PL"/>
              </w:rPr>
            </w:pPr>
            <w:r w:rsidRPr="004E50FF">
              <w:rPr>
                <w:lang w:val="pl-PL"/>
              </w:rPr>
              <w:t>Biała Piska, Orzysz, Pisz, Ruciane Nida</w:t>
            </w:r>
          </w:p>
        </w:tc>
      </w:tr>
      <w:tr w:rsidR="004E50FF" w:rsidRPr="00176303" w14:paraId="0CF99EE7" w14:textId="77777777" w:rsidTr="004E50FF">
        <w:tc>
          <w:tcPr>
            <w:tcW w:w="851" w:type="dxa"/>
            <w:vAlign w:val="center"/>
          </w:tcPr>
          <w:p w14:paraId="6BF85CC5" w14:textId="20505DDF" w:rsidR="004E50FF" w:rsidRDefault="004E50FF" w:rsidP="004E50FF">
            <w:pPr>
              <w:ind w:left="0"/>
              <w:rPr>
                <w:lang w:val="pl-PL"/>
              </w:rPr>
            </w:pPr>
            <w:r w:rsidRPr="00BD3D54">
              <w:t>22</w:t>
            </w:r>
          </w:p>
        </w:tc>
        <w:tc>
          <w:tcPr>
            <w:tcW w:w="4961" w:type="dxa"/>
            <w:vAlign w:val="center"/>
          </w:tcPr>
          <w:p w14:paraId="43259EFC" w14:textId="462DE7B6" w:rsidR="004E50FF" w:rsidRDefault="004E50FF" w:rsidP="004E50FF">
            <w:pPr>
              <w:ind w:left="0"/>
              <w:rPr>
                <w:lang w:val="pl-PL"/>
              </w:rPr>
            </w:pPr>
            <w:r w:rsidRPr="004E50FF">
              <w:rPr>
                <w:lang w:val="pl-PL"/>
              </w:rPr>
              <w:t>Budowa ścieżki rowerowej na obszarze nieczynnej linii kolejowej Szczytno – Biskupiec”</w:t>
            </w:r>
          </w:p>
        </w:tc>
        <w:tc>
          <w:tcPr>
            <w:tcW w:w="3253" w:type="dxa"/>
            <w:vAlign w:val="center"/>
          </w:tcPr>
          <w:p w14:paraId="320BE269" w14:textId="6A1F17B1" w:rsidR="004E50FF" w:rsidRDefault="004E50FF" w:rsidP="004E50FF">
            <w:pPr>
              <w:ind w:left="0"/>
              <w:rPr>
                <w:lang w:val="pl-PL"/>
              </w:rPr>
            </w:pPr>
            <w:r w:rsidRPr="004E50FF">
              <w:rPr>
                <w:lang w:val="pl-PL"/>
              </w:rPr>
              <w:t xml:space="preserve">Powiat Szczycieński, Szczytno gmina miejska, gmina Dźwierzuty </w:t>
            </w:r>
          </w:p>
        </w:tc>
      </w:tr>
      <w:tr w:rsidR="004E50FF" w:rsidRPr="00176303" w14:paraId="15471D4B" w14:textId="77777777" w:rsidTr="004E50FF">
        <w:tc>
          <w:tcPr>
            <w:tcW w:w="9065" w:type="dxa"/>
            <w:gridSpan w:val="3"/>
            <w:shd w:val="clear" w:color="auto" w:fill="BFBFBF" w:themeFill="background1" w:themeFillShade="BF"/>
            <w:vAlign w:val="center"/>
          </w:tcPr>
          <w:p w14:paraId="5F1A76A9" w14:textId="0977BB7C" w:rsidR="004E50FF" w:rsidRPr="004E50FF" w:rsidRDefault="004E50FF" w:rsidP="004E50FF">
            <w:pPr>
              <w:ind w:left="0"/>
              <w:rPr>
                <w:b/>
                <w:bCs/>
                <w:lang w:val="pl-PL"/>
              </w:rPr>
            </w:pPr>
            <w:r w:rsidRPr="004E50FF">
              <w:rPr>
                <w:b/>
                <w:bCs/>
                <w:lang w:val="pl-PL"/>
              </w:rPr>
              <w:t>Usługi komunalne</w:t>
            </w:r>
            <w:r w:rsidRPr="004E50FF">
              <w:rPr>
                <w:b/>
                <w:bCs/>
                <w:lang w:val="pl-PL"/>
              </w:rPr>
              <w:br/>
            </w:r>
            <w:r w:rsidRPr="004E50FF">
              <w:rPr>
                <w:b/>
                <w:bCs/>
                <w:i/>
                <w:iCs/>
                <w:lang w:val="pl-PL"/>
              </w:rPr>
              <w:t>Współpraca polega na wspólnej realizacji usług komunalnych w zakresie: odbioru nieczystości i odpadów oraz zaopatrzenia w wodę, a także tworzeniu grup zakupowych</w:t>
            </w:r>
          </w:p>
        </w:tc>
      </w:tr>
      <w:tr w:rsidR="004E50FF" w:rsidRPr="00176303" w14:paraId="6EA2D4A3" w14:textId="77777777" w:rsidTr="004E50FF">
        <w:tc>
          <w:tcPr>
            <w:tcW w:w="851" w:type="dxa"/>
            <w:vAlign w:val="center"/>
          </w:tcPr>
          <w:p w14:paraId="643B8F4D" w14:textId="43D859A6" w:rsidR="004E50FF" w:rsidRDefault="004E50FF" w:rsidP="004E50FF">
            <w:pPr>
              <w:ind w:left="0"/>
              <w:rPr>
                <w:lang w:val="pl-PL"/>
              </w:rPr>
            </w:pPr>
            <w:r w:rsidRPr="00BD3D54">
              <w:t>23</w:t>
            </w:r>
          </w:p>
        </w:tc>
        <w:tc>
          <w:tcPr>
            <w:tcW w:w="4961" w:type="dxa"/>
            <w:vAlign w:val="center"/>
          </w:tcPr>
          <w:p w14:paraId="3D4D79B9" w14:textId="5DF41CDB" w:rsidR="004E50FF" w:rsidRDefault="004E50FF" w:rsidP="004E50FF">
            <w:pPr>
              <w:ind w:left="0"/>
              <w:rPr>
                <w:lang w:val="pl-PL"/>
              </w:rPr>
            </w:pPr>
            <w:r w:rsidRPr="004E50FF">
              <w:rPr>
                <w:lang w:val="pl-PL"/>
              </w:rPr>
              <w:t>Zakup energii elektrycznej w ramach grupy zakupowej</w:t>
            </w:r>
          </w:p>
        </w:tc>
        <w:tc>
          <w:tcPr>
            <w:tcW w:w="3253" w:type="dxa"/>
            <w:vAlign w:val="center"/>
          </w:tcPr>
          <w:p w14:paraId="5BF55AA2" w14:textId="7903D872" w:rsidR="004E50FF" w:rsidRDefault="004E50FF" w:rsidP="004E50FF">
            <w:pPr>
              <w:ind w:left="0"/>
              <w:rPr>
                <w:lang w:val="pl-PL"/>
              </w:rPr>
            </w:pPr>
            <w:r w:rsidRPr="004E50FF">
              <w:rPr>
                <w:lang w:val="pl-PL"/>
              </w:rPr>
              <w:t>Gminy i powiaty wchodzące w skład Ekologicznego Związku Gmin Działdowszczyzna</w:t>
            </w:r>
          </w:p>
        </w:tc>
      </w:tr>
      <w:tr w:rsidR="004E50FF" w:rsidRPr="00176303" w14:paraId="7D98C667" w14:textId="77777777" w:rsidTr="004E50FF">
        <w:tc>
          <w:tcPr>
            <w:tcW w:w="851" w:type="dxa"/>
            <w:vAlign w:val="center"/>
          </w:tcPr>
          <w:p w14:paraId="77C45E9B" w14:textId="239373EB" w:rsidR="004E50FF" w:rsidRDefault="004E50FF" w:rsidP="004E50FF">
            <w:pPr>
              <w:ind w:left="0"/>
              <w:rPr>
                <w:lang w:val="pl-PL"/>
              </w:rPr>
            </w:pPr>
            <w:r w:rsidRPr="00BD3D54">
              <w:t>24</w:t>
            </w:r>
          </w:p>
        </w:tc>
        <w:tc>
          <w:tcPr>
            <w:tcW w:w="4961" w:type="dxa"/>
            <w:vAlign w:val="center"/>
          </w:tcPr>
          <w:p w14:paraId="0558F139" w14:textId="6AD2C46D" w:rsidR="004E50FF" w:rsidRDefault="004E50FF" w:rsidP="004E50FF">
            <w:pPr>
              <w:ind w:left="0"/>
              <w:rPr>
                <w:lang w:val="pl-PL"/>
              </w:rPr>
            </w:pPr>
            <w:r w:rsidRPr="00BD3D54">
              <w:t>Odbiór odpadów</w:t>
            </w:r>
          </w:p>
        </w:tc>
        <w:tc>
          <w:tcPr>
            <w:tcW w:w="3253" w:type="dxa"/>
            <w:vAlign w:val="center"/>
          </w:tcPr>
          <w:p w14:paraId="436E6801" w14:textId="32C6836F" w:rsidR="004E50FF" w:rsidRDefault="004E50FF" w:rsidP="004E50FF">
            <w:pPr>
              <w:ind w:left="0"/>
              <w:rPr>
                <w:lang w:val="pl-PL"/>
              </w:rPr>
            </w:pPr>
            <w:r w:rsidRPr="004E50FF">
              <w:rPr>
                <w:lang w:val="pl-PL"/>
              </w:rPr>
              <w:t>Gminy wchodzące w skład Mazurskiego Związku Międzygminnego Gospodarka Odpadami (Orzysz)</w:t>
            </w:r>
          </w:p>
        </w:tc>
      </w:tr>
      <w:tr w:rsidR="004E50FF" w:rsidRPr="00176303" w14:paraId="4A4BFF7E" w14:textId="77777777" w:rsidTr="004E50FF">
        <w:tc>
          <w:tcPr>
            <w:tcW w:w="851" w:type="dxa"/>
            <w:vAlign w:val="center"/>
          </w:tcPr>
          <w:p w14:paraId="690047AA" w14:textId="04ACFA4A" w:rsidR="004E50FF" w:rsidRDefault="004E50FF" w:rsidP="004E50FF">
            <w:pPr>
              <w:ind w:left="0"/>
              <w:rPr>
                <w:lang w:val="pl-PL"/>
              </w:rPr>
            </w:pPr>
            <w:r w:rsidRPr="00BD3D54">
              <w:t>25</w:t>
            </w:r>
          </w:p>
        </w:tc>
        <w:tc>
          <w:tcPr>
            <w:tcW w:w="4961" w:type="dxa"/>
            <w:vAlign w:val="center"/>
          </w:tcPr>
          <w:p w14:paraId="69193FB8" w14:textId="7B0AAEDD" w:rsidR="004E50FF" w:rsidRDefault="004E50FF" w:rsidP="004E50FF">
            <w:pPr>
              <w:ind w:left="0"/>
              <w:rPr>
                <w:lang w:val="pl-PL"/>
              </w:rPr>
            </w:pPr>
            <w:r w:rsidRPr="00BD3D54">
              <w:t>Odbiór odpadów</w:t>
            </w:r>
          </w:p>
        </w:tc>
        <w:tc>
          <w:tcPr>
            <w:tcW w:w="3253" w:type="dxa"/>
            <w:vAlign w:val="center"/>
          </w:tcPr>
          <w:p w14:paraId="4ACA347A" w14:textId="63E34726" w:rsidR="004E50FF" w:rsidRDefault="004E50FF" w:rsidP="004E50FF">
            <w:pPr>
              <w:ind w:left="0"/>
              <w:rPr>
                <w:lang w:val="pl-PL"/>
              </w:rPr>
            </w:pPr>
            <w:r w:rsidRPr="004E50FF">
              <w:rPr>
                <w:lang w:val="pl-PL"/>
              </w:rPr>
              <w:t>Gminy wchodzące w skład Związku Międzygminnego „Gospodarka Komunalna” w Ełku (Biała Piska)</w:t>
            </w:r>
          </w:p>
        </w:tc>
      </w:tr>
      <w:tr w:rsidR="004E50FF" w:rsidRPr="00176303" w14:paraId="08BC805C" w14:textId="77777777" w:rsidTr="004E50FF">
        <w:tc>
          <w:tcPr>
            <w:tcW w:w="851" w:type="dxa"/>
            <w:vAlign w:val="center"/>
          </w:tcPr>
          <w:p w14:paraId="60955013" w14:textId="212D682E" w:rsidR="004E50FF" w:rsidRDefault="004E50FF" w:rsidP="004E50FF">
            <w:pPr>
              <w:ind w:left="0"/>
              <w:rPr>
                <w:lang w:val="pl-PL"/>
              </w:rPr>
            </w:pPr>
            <w:r w:rsidRPr="00BD3D54">
              <w:t>26</w:t>
            </w:r>
          </w:p>
        </w:tc>
        <w:tc>
          <w:tcPr>
            <w:tcW w:w="4961" w:type="dxa"/>
            <w:vAlign w:val="center"/>
          </w:tcPr>
          <w:p w14:paraId="1B6C71E0" w14:textId="66026B59" w:rsidR="004E50FF" w:rsidRDefault="004E50FF" w:rsidP="004E50FF">
            <w:pPr>
              <w:ind w:left="0"/>
              <w:rPr>
                <w:lang w:val="pl-PL"/>
              </w:rPr>
            </w:pPr>
            <w:r w:rsidRPr="00BD3D54">
              <w:t>Odbiór odpadów</w:t>
            </w:r>
          </w:p>
        </w:tc>
        <w:tc>
          <w:tcPr>
            <w:tcW w:w="3253" w:type="dxa"/>
            <w:vAlign w:val="center"/>
          </w:tcPr>
          <w:p w14:paraId="5B2DD7CB" w14:textId="05DD2FD8" w:rsidR="004E50FF" w:rsidRDefault="004E50FF" w:rsidP="004E50FF">
            <w:pPr>
              <w:ind w:left="0"/>
              <w:rPr>
                <w:lang w:val="pl-PL"/>
              </w:rPr>
            </w:pPr>
            <w:r w:rsidRPr="004E50FF">
              <w:rPr>
                <w:lang w:val="pl-PL"/>
              </w:rPr>
              <w:t>Gminy wchodzące w skład Ekologicznego Związku Gmin Działdowszczyzna</w:t>
            </w:r>
          </w:p>
        </w:tc>
      </w:tr>
      <w:tr w:rsidR="004E50FF" w:rsidRPr="00176303" w14:paraId="47572481" w14:textId="77777777" w:rsidTr="004E50FF">
        <w:tc>
          <w:tcPr>
            <w:tcW w:w="851" w:type="dxa"/>
            <w:vAlign w:val="center"/>
          </w:tcPr>
          <w:p w14:paraId="4294F554" w14:textId="11812446" w:rsidR="004E50FF" w:rsidRDefault="004E50FF" w:rsidP="004E50FF">
            <w:pPr>
              <w:ind w:left="0"/>
              <w:rPr>
                <w:lang w:val="pl-PL"/>
              </w:rPr>
            </w:pPr>
            <w:r w:rsidRPr="00BD3D54">
              <w:t>27</w:t>
            </w:r>
          </w:p>
        </w:tc>
        <w:tc>
          <w:tcPr>
            <w:tcW w:w="4961" w:type="dxa"/>
            <w:vAlign w:val="center"/>
          </w:tcPr>
          <w:p w14:paraId="6BC7219D" w14:textId="22594AC1" w:rsidR="004E50FF" w:rsidRDefault="004E50FF" w:rsidP="004E50FF">
            <w:pPr>
              <w:ind w:left="0"/>
              <w:rPr>
                <w:lang w:val="pl-PL"/>
              </w:rPr>
            </w:pPr>
            <w:r w:rsidRPr="00BD3D54">
              <w:t>Zaopatrzenie w wodę</w:t>
            </w:r>
          </w:p>
        </w:tc>
        <w:tc>
          <w:tcPr>
            <w:tcW w:w="3253" w:type="dxa"/>
            <w:vAlign w:val="center"/>
          </w:tcPr>
          <w:p w14:paraId="67948249" w14:textId="57150B78" w:rsidR="009B624B" w:rsidRPr="009B624B" w:rsidRDefault="004E50FF" w:rsidP="004E50FF">
            <w:pPr>
              <w:ind w:left="0"/>
              <w:rPr>
                <w:lang w:val="pl-PL"/>
              </w:rPr>
            </w:pPr>
            <w:r w:rsidRPr="009B624B">
              <w:rPr>
                <w:lang w:val="pl-PL"/>
              </w:rPr>
              <w:t>Pasym i Dźwierzuty</w:t>
            </w:r>
            <w:r w:rsidR="009B624B" w:rsidRPr="009B624B">
              <w:rPr>
                <w:lang w:val="pl-PL"/>
              </w:rPr>
              <w:br/>
              <w:t>Świętajno i</w:t>
            </w:r>
            <w:r w:rsidR="009B624B">
              <w:rPr>
                <w:lang w:val="pl-PL"/>
              </w:rPr>
              <w:t xml:space="preserve"> Rozogi </w:t>
            </w:r>
          </w:p>
        </w:tc>
      </w:tr>
      <w:tr w:rsidR="004E50FF" w:rsidRPr="00176303" w14:paraId="24FE9889" w14:textId="77777777" w:rsidTr="004E50FF">
        <w:tc>
          <w:tcPr>
            <w:tcW w:w="851" w:type="dxa"/>
            <w:vAlign w:val="center"/>
          </w:tcPr>
          <w:p w14:paraId="7520379C" w14:textId="40573281" w:rsidR="004E50FF" w:rsidRDefault="004E50FF" w:rsidP="004E50FF">
            <w:pPr>
              <w:ind w:left="0"/>
              <w:rPr>
                <w:lang w:val="pl-PL"/>
              </w:rPr>
            </w:pPr>
            <w:r w:rsidRPr="00BD3D54">
              <w:t>28</w:t>
            </w:r>
          </w:p>
        </w:tc>
        <w:tc>
          <w:tcPr>
            <w:tcW w:w="4961" w:type="dxa"/>
            <w:vAlign w:val="center"/>
          </w:tcPr>
          <w:p w14:paraId="77D1C568" w14:textId="6C3943F2" w:rsidR="004E50FF" w:rsidRDefault="004E50FF" w:rsidP="004E50FF">
            <w:pPr>
              <w:ind w:left="0"/>
              <w:rPr>
                <w:lang w:val="pl-PL"/>
              </w:rPr>
            </w:pPr>
            <w:r w:rsidRPr="00BD3D54">
              <w:t>Odbiór nieczystości</w:t>
            </w:r>
          </w:p>
        </w:tc>
        <w:tc>
          <w:tcPr>
            <w:tcW w:w="3253" w:type="dxa"/>
            <w:vAlign w:val="center"/>
          </w:tcPr>
          <w:p w14:paraId="70025833" w14:textId="6BF086E2" w:rsidR="004E50FF" w:rsidRDefault="004E50FF" w:rsidP="004E50FF">
            <w:pPr>
              <w:ind w:left="0"/>
              <w:rPr>
                <w:lang w:val="pl-PL"/>
              </w:rPr>
            </w:pPr>
            <w:r w:rsidRPr="004E50FF">
              <w:rPr>
                <w:lang w:val="pl-PL"/>
              </w:rPr>
              <w:t>Szczytno gmina miejska i Szczytno gmina wiejska</w:t>
            </w:r>
          </w:p>
        </w:tc>
      </w:tr>
      <w:tr w:rsidR="004E50FF" w:rsidRPr="00176303" w14:paraId="214E41CA" w14:textId="77777777" w:rsidTr="004E50FF">
        <w:tc>
          <w:tcPr>
            <w:tcW w:w="851" w:type="dxa"/>
            <w:vAlign w:val="center"/>
          </w:tcPr>
          <w:p w14:paraId="562E8AEC" w14:textId="05738291" w:rsidR="004E50FF" w:rsidRDefault="004E50FF" w:rsidP="004E50FF">
            <w:pPr>
              <w:ind w:left="0"/>
              <w:rPr>
                <w:lang w:val="pl-PL"/>
              </w:rPr>
            </w:pPr>
            <w:r w:rsidRPr="00BD3D54">
              <w:lastRenderedPageBreak/>
              <w:t>29</w:t>
            </w:r>
          </w:p>
        </w:tc>
        <w:tc>
          <w:tcPr>
            <w:tcW w:w="4961" w:type="dxa"/>
            <w:vAlign w:val="center"/>
          </w:tcPr>
          <w:p w14:paraId="0EBB9B09" w14:textId="3B64AEE5" w:rsidR="004E50FF" w:rsidRDefault="004E50FF" w:rsidP="004E50FF">
            <w:pPr>
              <w:ind w:left="0"/>
              <w:rPr>
                <w:lang w:val="pl-PL"/>
              </w:rPr>
            </w:pPr>
            <w:r w:rsidRPr="00BD3D54">
              <w:t>Odbiór nieczystości</w:t>
            </w:r>
          </w:p>
        </w:tc>
        <w:tc>
          <w:tcPr>
            <w:tcW w:w="3253" w:type="dxa"/>
            <w:vAlign w:val="center"/>
          </w:tcPr>
          <w:p w14:paraId="529460B1" w14:textId="20966634" w:rsidR="004E50FF" w:rsidRDefault="004E50FF" w:rsidP="004E50FF">
            <w:pPr>
              <w:ind w:left="0"/>
              <w:rPr>
                <w:lang w:val="pl-PL"/>
              </w:rPr>
            </w:pPr>
            <w:r w:rsidRPr="004E50FF">
              <w:rPr>
                <w:lang w:val="pl-PL"/>
              </w:rPr>
              <w:t>Szczytno gmina miejska i Szczytno gmina wiejska</w:t>
            </w:r>
          </w:p>
        </w:tc>
      </w:tr>
    </w:tbl>
    <w:p w14:paraId="6AB90EFF" w14:textId="23D81755" w:rsidR="00EE6958" w:rsidRPr="00733091" w:rsidRDefault="00EE6958" w:rsidP="00733091">
      <w:pPr>
        <w:pStyle w:val="podpiselementu"/>
        <w:spacing w:after="240"/>
        <w:rPr>
          <w:lang w:val="pl-PL"/>
        </w:rPr>
      </w:pPr>
      <w:r w:rsidRPr="00733091">
        <w:rPr>
          <w:lang w:val="pl-PL"/>
        </w:rPr>
        <w:t xml:space="preserve">Źródło: opracowanie własne na podstawie </w:t>
      </w:r>
      <w:r w:rsidR="0053183F">
        <w:rPr>
          <w:lang w:val="pl-PL"/>
        </w:rPr>
        <w:t>informacji pozyskanych od</w:t>
      </w:r>
      <w:r w:rsidRPr="00733091">
        <w:rPr>
          <w:lang w:val="pl-PL"/>
        </w:rPr>
        <w:t xml:space="preserve"> JST wchodzących w skład Partnerstwa</w:t>
      </w:r>
    </w:p>
    <w:p w14:paraId="0420D245" w14:textId="46F90353" w:rsidR="00EE6958" w:rsidRPr="004E378E" w:rsidRDefault="00EE6958" w:rsidP="00DD0997">
      <w:pPr>
        <w:rPr>
          <w:b/>
          <w:bCs/>
          <w:lang w:val="pl-PL"/>
        </w:rPr>
      </w:pPr>
      <w:r w:rsidRPr="00733091">
        <w:rPr>
          <w:lang w:val="pl-PL"/>
        </w:rPr>
        <w:t xml:space="preserve">Wielopłaszczyznowa (z uwagi na różnorodność form zinstytucjonalizowanych </w:t>
      </w:r>
      <w:r w:rsidR="00FF6FD9">
        <w:rPr>
          <w:lang w:val="pl-PL"/>
        </w:rPr>
        <w:br/>
      </w:r>
      <w:r w:rsidRPr="00733091">
        <w:rPr>
          <w:lang w:val="pl-PL"/>
        </w:rPr>
        <w:t xml:space="preserve">i zakres) współpraca Partnerów oraz liczba wspólnie zrealizowanych przedsięwzięć świadczy o </w:t>
      </w:r>
      <w:r w:rsidRPr="00733091">
        <w:rPr>
          <w:b/>
          <w:bCs/>
          <w:lang w:val="pl-PL"/>
        </w:rPr>
        <w:t>wysokiej</w:t>
      </w:r>
      <w:r w:rsidRPr="00733091">
        <w:rPr>
          <w:lang w:val="pl-PL"/>
        </w:rPr>
        <w:t xml:space="preserve"> </w:t>
      </w:r>
      <w:r w:rsidRPr="00733091">
        <w:rPr>
          <w:b/>
          <w:bCs/>
          <w:lang w:val="pl-PL"/>
        </w:rPr>
        <w:t>skuteczności realizacyjnej Partnerstwa.</w:t>
      </w:r>
    </w:p>
    <w:p w14:paraId="072C8EC1" w14:textId="40F25F78" w:rsidR="00EE6958" w:rsidRPr="00733091" w:rsidRDefault="00EE6958" w:rsidP="004E378E">
      <w:pPr>
        <w:rPr>
          <w:lang w:val="pl-PL"/>
        </w:rPr>
      </w:pPr>
      <w:r w:rsidRPr="00733091">
        <w:rPr>
          <w:lang w:val="pl-PL"/>
        </w:rPr>
        <w:t xml:space="preserve">Wpływ na tę skuteczność ma między innymi wysoki poziom </w:t>
      </w:r>
      <w:r w:rsidRPr="00733091">
        <w:rPr>
          <w:b/>
          <w:bCs/>
          <w:lang w:val="pl-PL"/>
        </w:rPr>
        <w:t>umiejętności współpracy</w:t>
      </w:r>
      <w:r w:rsidRPr="00733091">
        <w:rPr>
          <w:lang w:val="pl-PL"/>
        </w:rPr>
        <w:t xml:space="preserve"> pracowników instytucji samorządowych, której odzwierciedleniem jest wzajemne realne zastępowanie się przy realizacji obowiązków (zjawisko to występuje w wysokim stopniu w 62% badanych instytucji), dzielenie się wiedzą (występujące  w wysokim stopniu w 72% badanych instytucji), a także umiejętność pracy w zespołach zadaniowych powoływanych dla rozwiązywania istotnych problemów lub realizacji ponadstandardowych działań (występujące w stopniu wysokim w 52% badanych instytucji) – wykres poniżej.</w:t>
      </w:r>
    </w:p>
    <w:p w14:paraId="536D3DFB" w14:textId="4702B46E" w:rsidR="00EE6958" w:rsidRPr="00733091" w:rsidRDefault="007D776B" w:rsidP="002E24A9">
      <w:pPr>
        <w:pStyle w:val="Legenda"/>
        <w:rPr>
          <w:lang w:val="pl-PL"/>
        </w:rPr>
      </w:pPr>
      <w:bookmarkStart w:id="86" w:name="_Toc67904484"/>
      <w:bookmarkStart w:id="87" w:name="_Toc69723188"/>
      <w:r w:rsidRPr="00733091">
        <w:rPr>
          <w:lang w:val="pl-PL"/>
        </w:rPr>
        <w:t xml:space="preserve">Wykres </w:t>
      </w:r>
      <w:r w:rsidR="00733091">
        <w:fldChar w:fldCharType="begin"/>
      </w:r>
      <w:r w:rsidR="00733091" w:rsidRPr="00733091">
        <w:rPr>
          <w:lang w:val="pl-PL"/>
        </w:rPr>
        <w:instrText xml:space="preserve"> SEQ Wykres \* ARABIC </w:instrText>
      </w:r>
      <w:r w:rsidR="00733091">
        <w:fldChar w:fldCharType="separate"/>
      </w:r>
      <w:r w:rsidR="00B14787">
        <w:rPr>
          <w:noProof/>
          <w:lang w:val="pl-PL"/>
        </w:rPr>
        <w:t>30</w:t>
      </w:r>
      <w:r w:rsidR="00733091">
        <w:rPr>
          <w:noProof/>
        </w:rPr>
        <w:fldChar w:fldCharType="end"/>
      </w:r>
      <w:r w:rsidRPr="00733091">
        <w:rPr>
          <w:lang w:val="pl-PL"/>
        </w:rPr>
        <w:t xml:space="preserve">: </w:t>
      </w:r>
      <w:r w:rsidR="00EE6958" w:rsidRPr="00733091">
        <w:rPr>
          <w:lang w:val="pl-PL"/>
        </w:rPr>
        <w:t>Potencjał instytucjonalny JST (współpraca)</w:t>
      </w:r>
      <w:bookmarkEnd w:id="86"/>
      <w:bookmarkEnd w:id="87"/>
    </w:p>
    <w:p w14:paraId="73FD93A1" w14:textId="5FC76586" w:rsidR="00AE4C8C" w:rsidRDefault="00EE6958" w:rsidP="00427A68">
      <w:pPr>
        <w:pStyle w:val="podpiselementu"/>
        <w:spacing w:after="240"/>
        <w:rPr>
          <w:lang w:val="pl-PL"/>
        </w:rPr>
      </w:pPr>
      <w:r>
        <w:rPr>
          <w:noProof/>
        </w:rPr>
        <w:drawing>
          <wp:inline distT="0" distB="0" distL="0" distR="0" wp14:anchorId="265B0BE8" wp14:editId="0E19D724">
            <wp:extent cx="5760720" cy="2777490"/>
            <wp:effectExtent l="19050" t="19050" r="11430" b="22860"/>
            <wp:docPr id="132" name="Obraz 132" descr="wykresy słupkowe wskazujące stopień spełnienia przez pracowników Południowych Mazur kryteriów współpracy związanych z: realnym zastępowaniem się na stanowiskach pracy (wykres 1 po lewej, dzieleniem się wiedzą (wykres środkowy) i tworzeniem zespołów zadaniowych dla rozwiązania istotnych problemów lub realizacji ponadstandardowych zadań (wykres po prawej). Kolorem niebieskim zaznaczone jest spełnienie kryterium na 1 poziomie, czerwonym na drugim poziomie, pomarańczowym na trzecim poziomie, zielonym na czwartym poziomie i fioletowym na piątym poziom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Obraz 132" descr="wykresy słupkowe wskazujące stopień spełnienia przez pracowników Południowych Mazur kryteriów współpracy związanych z: realnym zastępowaniem się na stanowiskach pracy (wykres 1 po lewej, dzieleniem się wiedzą (wykres środkowy) i tworzeniem zespołów zadaniowych dla rozwiązania istotnych problemów lub realizacji ponadstandardowych zadań (wykres po prawej). Kolorem niebieskim zaznaczone jest spełnienie kryterium na 1 poziomie, czerwonym na drugim poziomie, pomarańczowym na trzecim poziomie, zielonym na czwartym poziomie i fioletowym na piątym poziomie"/>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760720" cy="2777490"/>
                    </a:xfrm>
                    <a:prstGeom prst="rect">
                      <a:avLst/>
                    </a:prstGeom>
                    <a:noFill/>
                    <a:ln>
                      <a:solidFill>
                        <a:schemeClr val="tx2"/>
                      </a:solidFill>
                    </a:ln>
                  </pic:spPr>
                </pic:pic>
              </a:graphicData>
            </a:graphic>
          </wp:inline>
        </w:drawing>
      </w:r>
      <w:r w:rsidRPr="00733091">
        <w:rPr>
          <w:lang w:val="pl-PL"/>
        </w:rPr>
        <w:br/>
        <w:t>Źródło: opracowanie własne na podstawie wyników badań ankietowych JST wchodzących w skład Partnerstw</w:t>
      </w:r>
      <w:r w:rsidR="004E378E">
        <w:rPr>
          <w:lang w:val="pl-PL"/>
        </w:rPr>
        <w:t>a</w:t>
      </w:r>
    </w:p>
    <w:p w14:paraId="39CB094E" w14:textId="1F2BF25D" w:rsidR="00EE6958" w:rsidRPr="004E378E" w:rsidRDefault="00EE6958" w:rsidP="004E378E">
      <w:pPr>
        <w:rPr>
          <w:sz w:val="18"/>
          <w:szCs w:val="18"/>
          <w:lang w:val="pl-PL"/>
        </w:rPr>
      </w:pPr>
      <w:r w:rsidRPr="00733091">
        <w:rPr>
          <w:lang w:val="pl-PL"/>
        </w:rPr>
        <w:lastRenderedPageBreak/>
        <w:t>Znacznym ułatwieniem w procesie współpracy, w tym instytucjonalnej jest integracja baz danych. Instytucje Południowych Mazur nie mają zintegrowanych baz danych. Ponadto stopień cyfryzacji usług publicznych na terenie Partnerstwa jest niewystarczający</w:t>
      </w:r>
      <w:r>
        <w:rPr>
          <w:rStyle w:val="Odwoanieprzypisudolnego"/>
        </w:rPr>
        <w:footnoteReference w:id="62"/>
      </w:r>
      <w:r w:rsidRPr="00733091">
        <w:rPr>
          <w:lang w:val="pl-PL"/>
        </w:rPr>
        <w:t>.</w:t>
      </w:r>
    </w:p>
    <w:p w14:paraId="02E33CC8" w14:textId="77777777" w:rsidR="002F3E4B" w:rsidRDefault="00EE6958" w:rsidP="002F3E4B">
      <w:pPr>
        <w:rPr>
          <w:lang w:val="pl-PL"/>
        </w:rPr>
      </w:pPr>
      <w:r w:rsidRPr="00733091">
        <w:rPr>
          <w:b/>
          <w:bCs/>
          <w:lang w:val="pl-PL"/>
        </w:rPr>
        <w:t xml:space="preserve">Efektywność realizacyjna </w:t>
      </w:r>
      <w:r w:rsidRPr="00733091">
        <w:rPr>
          <w:lang w:val="pl-PL"/>
        </w:rPr>
        <w:t>Partnerstwa, będąca wypadkową dwóch wymiarów:</w:t>
      </w:r>
      <w:r w:rsidRPr="00733091">
        <w:rPr>
          <w:b/>
          <w:bCs/>
          <w:lang w:val="pl-PL"/>
        </w:rPr>
        <w:t xml:space="preserve"> </w:t>
      </w:r>
      <w:r w:rsidRPr="00733091">
        <w:rPr>
          <w:lang w:val="pl-PL"/>
        </w:rPr>
        <w:t>adaptacyjności (dostosowania się Partnerstwa do pojawiąjących się szans rozwojowych) i</w:t>
      </w:r>
      <w:r w:rsidRPr="00733091">
        <w:rPr>
          <w:b/>
          <w:bCs/>
          <w:lang w:val="pl-PL"/>
        </w:rPr>
        <w:t xml:space="preserve"> </w:t>
      </w:r>
      <w:r w:rsidRPr="00733091">
        <w:rPr>
          <w:lang w:val="pl-PL"/>
        </w:rPr>
        <w:t xml:space="preserve">orientacji na otoczenie (dążenia Partnerstwa do kształtowania pozycji w otoczeniu zewnętrznym) kształtuje się </w:t>
      </w:r>
      <w:r w:rsidRPr="00733091">
        <w:rPr>
          <w:b/>
          <w:bCs/>
          <w:lang w:val="pl-PL"/>
        </w:rPr>
        <w:t>na średnim poziomie.</w:t>
      </w:r>
    </w:p>
    <w:p w14:paraId="16CA7406" w14:textId="70F34A36" w:rsidR="00EE6958" w:rsidRPr="002F3E4B" w:rsidRDefault="00EE6958" w:rsidP="002F3E4B">
      <w:pPr>
        <w:rPr>
          <w:lang w:val="pl-PL"/>
        </w:rPr>
      </w:pPr>
      <w:r w:rsidRPr="00733091">
        <w:rPr>
          <w:b/>
          <w:bCs/>
          <w:lang w:val="pl-PL"/>
        </w:rPr>
        <w:t>Efektywność w 1 wymiarze</w:t>
      </w:r>
      <w:r w:rsidRPr="00733091">
        <w:rPr>
          <w:lang w:val="pl-PL"/>
        </w:rPr>
        <w:t xml:space="preserve"> (adaptacyjność), badana udziałem środków dotacyjnych pochodzących ze środków Unii Europejskiej w dochodach Partnerstwa ogółem </w:t>
      </w:r>
      <w:r w:rsidRPr="00733091">
        <w:rPr>
          <w:b/>
          <w:bCs/>
          <w:lang w:val="pl-PL"/>
        </w:rPr>
        <w:t xml:space="preserve">jest </w:t>
      </w:r>
      <w:r w:rsidR="000A7679" w:rsidRPr="00733091">
        <w:rPr>
          <w:lang w:val="pl-PL"/>
        </w:rPr>
        <w:t xml:space="preserve">w Partnerstwie </w:t>
      </w:r>
      <w:r w:rsidRPr="00733091">
        <w:rPr>
          <w:b/>
          <w:bCs/>
          <w:lang w:val="pl-PL"/>
        </w:rPr>
        <w:t>niewiele niższa</w:t>
      </w:r>
      <w:r w:rsidRPr="00733091">
        <w:rPr>
          <w:lang w:val="pl-PL"/>
        </w:rPr>
        <w:t xml:space="preserve"> niż w województwie warmińsko-mazurskim. </w:t>
      </w:r>
      <w:r w:rsidR="00864DDD">
        <w:rPr>
          <w:lang w:val="pl-PL"/>
        </w:rPr>
        <w:br/>
      </w:r>
      <w:r w:rsidRPr="00733091">
        <w:rPr>
          <w:lang w:val="pl-PL"/>
        </w:rPr>
        <w:t xml:space="preserve">W 2019 r. średni poziom dofinansowania działań gmin wchodzących w skład Partnerstwa Południowe Mazury wynosił </w:t>
      </w:r>
      <w:r w:rsidRPr="00733091">
        <w:rPr>
          <w:rFonts w:ascii="Calibri" w:eastAsia="Times New Roman" w:hAnsi="Calibri" w:cs="Calibri"/>
          <w:b/>
          <w:bCs/>
          <w:color w:val="000000"/>
          <w:lang w:val="pl-PL" w:eastAsia="pl-PL"/>
        </w:rPr>
        <w:t>7,02%</w:t>
      </w:r>
      <w:r w:rsidRPr="00027394">
        <w:rPr>
          <w:rStyle w:val="Odwoanieprzypisudolnego"/>
          <w:rFonts w:ascii="Calibri" w:eastAsia="Times New Roman" w:hAnsi="Calibri" w:cs="Calibri"/>
          <w:color w:val="000000"/>
          <w:lang w:eastAsia="pl-PL"/>
        </w:rPr>
        <w:footnoteReference w:id="63"/>
      </w:r>
      <w:r w:rsidRPr="00733091">
        <w:rPr>
          <w:rFonts w:ascii="Calibri" w:eastAsia="Times New Roman" w:hAnsi="Calibri" w:cs="Calibri"/>
          <w:color w:val="000000"/>
          <w:lang w:val="pl-PL" w:eastAsia="pl-PL"/>
        </w:rPr>
        <w:t xml:space="preserve"> łącznych dochodów ww. gmin</w:t>
      </w:r>
      <w:r>
        <w:rPr>
          <w:rStyle w:val="Odwoanieprzypisudolnego"/>
          <w:rFonts w:ascii="Calibri" w:eastAsia="Times New Roman" w:hAnsi="Calibri" w:cs="Calibri"/>
          <w:color w:val="000000"/>
          <w:lang w:eastAsia="pl-PL"/>
        </w:rPr>
        <w:footnoteReference w:id="64"/>
      </w:r>
      <w:r w:rsidRPr="00733091">
        <w:rPr>
          <w:rFonts w:ascii="Calibri" w:eastAsia="Times New Roman" w:hAnsi="Calibri" w:cs="Calibri"/>
          <w:color w:val="000000"/>
          <w:lang w:val="pl-PL" w:eastAsia="pl-PL"/>
        </w:rPr>
        <w:t xml:space="preserve"> </w:t>
      </w:r>
      <w:r w:rsidR="00864DDD">
        <w:rPr>
          <w:rFonts w:ascii="Calibri" w:eastAsia="Times New Roman" w:hAnsi="Calibri" w:cs="Calibri"/>
          <w:color w:val="000000"/>
          <w:lang w:val="pl-PL" w:eastAsia="pl-PL"/>
        </w:rPr>
        <w:br/>
      </w:r>
      <w:r w:rsidRPr="00733091">
        <w:rPr>
          <w:rFonts w:ascii="Calibri" w:eastAsia="Times New Roman" w:hAnsi="Calibri" w:cs="Calibri"/>
          <w:color w:val="000000"/>
          <w:lang w:val="pl-PL" w:eastAsia="pl-PL"/>
        </w:rPr>
        <w:t>i był niższy o 0,72 punktu procentowego od poziomu dofinansowania działań gmin w województwie warmińsko-mazurskim (7,74%)</w:t>
      </w:r>
      <w:r w:rsidRPr="00027394">
        <w:rPr>
          <w:rStyle w:val="Odwoanieprzypisudolnego"/>
          <w:rFonts w:ascii="Calibri" w:eastAsia="Times New Roman" w:hAnsi="Calibri" w:cs="Calibri"/>
          <w:color w:val="000000"/>
          <w:lang w:eastAsia="pl-PL"/>
        </w:rPr>
        <w:footnoteReference w:id="65"/>
      </w:r>
      <w:r w:rsidRPr="00733091">
        <w:rPr>
          <w:rFonts w:ascii="Calibri" w:eastAsia="Times New Roman" w:hAnsi="Calibri" w:cs="Calibri"/>
          <w:color w:val="000000"/>
          <w:lang w:val="pl-PL" w:eastAsia="pl-PL"/>
        </w:rPr>
        <w:t>.</w:t>
      </w:r>
    </w:p>
    <w:p w14:paraId="6FD1CE5D" w14:textId="6D8AD816" w:rsidR="00EE6958" w:rsidRPr="00733091" w:rsidRDefault="00EE6958" w:rsidP="002E24A9">
      <w:pPr>
        <w:pStyle w:val="Legenda"/>
        <w:rPr>
          <w:rFonts w:ascii="Calibri" w:eastAsia="Times New Roman" w:hAnsi="Calibri" w:cs="Calibri"/>
          <w:color w:val="000000"/>
          <w:lang w:val="pl-PL" w:eastAsia="pl-PL"/>
        </w:rPr>
      </w:pPr>
      <w:bookmarkStart w:id="88" w:name="_Toc69723262"/>
      <w:r w:rsidRPr="00733091">
        <w:rPr>
          <w:lang w:val="pl-PL"/>
        </w:rPr>
        <w:t xml:space="preserve">Tabela </w:t>
      </w:r>
      <w:r w:rsidR="00733091">
        <w:fldChar w:fldCharType="begin"/>
      </w:r>
      <w:r w:rsidR="00733091" w:rsidRPr="00733091">
        <w:rPr>
          <w:lang w:val="pl-PL"/>
        </w:rPr>
        <w:instrText xml:space="preserve"> SEQ Tabela \* ARABIC </w:instrText>
      </w:r>
      <w:r w:rsidR="00733091">
        <w:fldChar w:fldCharType="separate"/>
      </w:r>
      <w:r w:rsidR="00B14787">
        <w:rPr>
          <w:noProof/>
          <w:lang w:val="pl-PL"/>
        </w:rPr>
        <w:t>13</w:t>
      </w:r>
      <w:r w:rsidR="00733091">
        <w:rPr>
          <w:noProof/>
        </w:rPr>
        <w:fldChar w:fldCharType="end"/>
      </w:r>
      <w:r w:rsidRPr="00733091">
        <w:rPr>
          <w:lang w:val="pl-PL"/>
        </w:rPr>
        <w:t>: Udział dotacji z Unii Europejskiej w dochodach ogółem w 2019 r.</w:t>
      </w:r>
      <w:bookmarkEnd w:id="88"/>
    </w:p>
    <w:p w14:paraId="7265ECF7" w14:textId="588C0C26" w:rsidR="00EE6958" w:rsidRPr="00733091" w:rsidRDefault="00EE6958" w:rsidP="004E378E">
      <w:pPr>
        <w:pStyle w:val="podpiselementu"/>
        <w:spacing w:after="240"/>
        <w:rPr>
          <w:lang w:val="pl-PL" w:eastAsia="pl-PL"/>
        </w:rPr>
      </w:pPr>
      <w:r>
        <w:rPr>
          <w:noProof/>
        </w:rPr>
        <w:drawing>
          <wp:inline distT="0" distB="0" distL="0" distR="0" wp14:anchorId="165580F9" wp14:editId="2B0A991A">
            <wp:extent cx="5760720" cy="2887980"/>
            <wp:effectExtent l="0" t="0" r="11430" b="7620"/>
            <wp:docPr id="54" name="Wykres 54" descr="wykres liniowy wskazujący udział dotacji ze środków Unii Europejskiej w dochodach ogółem w 2019 r. Kolorem niebieskim oznaczone są dane dotyczące poszczególnych gmin Partnerstwa poczynając od: Białej Piskiej, Orzysza, Piszu, Rucianego-Nida, gminy wiejskiej Szczytno, Dźwierzut, Jedwabna, Pasymia, Rozogów, gminy miejskiej Szczytno, Świętajna, Wielbarku, Janowca Kościelnego, Janowa, Kozłowa, Nidzicy, gminy miejskiej Działdowo, Iłowo-Osady, Lidzbarka, Płośnicy i Rybna. Kolorem  pomarańczowym oznaczona jest średnia wartość dotacji w Partnerstwie (w %), a szarym – średnia województwa warmińsko-mazurskiego">
              <a:extLst xmlns:a="http://schemas.openxmlformats.org/drawingml/2006/main">
                <a:ext uri="{FF2B5EF4-FFF2-40B4-BE49-F238E27FC236}">
                  <a16:creationId xmlns:a16="http://schemas.microsoft.com/office/drawing/2014/main" id="{C7FFB8C7-57DB-49DC-92BF-4A7A5B27746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r w:rsidRPr="00733091">
        <w:rPr>
          <w:color w:val="000000"/>
          <w:lang w:val="pl-PL" w:eastAsia="pl-PL"/>
        </w:rPr>
        <w:br/>
      </w:r>
      <w:r w:rsidRPr="00733091">
        <w:rPr>
          <w:lang w:val="pl-PL" w:eastAsia="pl-PL"/>
        </w:rPr>
        <w:t>Źródło: opracowanie własne na podstawie danych Partner</w:t>
      </w:r>
      <w:r w:rsidR="00AE4C8C">
        <w:rPr>
          <w:lang w:val="pl-PL" w:eastAsia="pl-PL"/>
        </w:rPr>
        <w:t>ów</w:t>
      </w:r>
      <w:r w:rsidRPr="00733091">
        <w:rPr>
          <w:lang w:val="pl-PL" w:eastAsia="pl-PL"/>
        </w:rPr>
        <w:t xml:space="preserve"> i RIO</w:t>
      </w:r>
    </w:p>
    <w:p w14:paraId="4B40C208" w14:textId="4455D65D" w:rsidR="00EE6958" w:rsidRPr="00733091" w:rsidRDefault="00EE6958" w:rsidP="00733091">
      <w:pPr>
        <w:rPr>
          <w:lang w:val="pl-PL" w:eastAsia="pl-PL"/>
        </w:rPr>
      </w:pPr>
      <w:r w:rsidRPr="00733091">
        <w:rPr>
          <w:lang w:val="pl-PL" w:eastAsia="pl-PL"/>
        </w:rPr>
        <w:lastRenderedPageBreak/>
        <w:t xml:space="preserve">Efektywność w drugim wymiarze (orientacja na otoczenie) badana z jednej strony </w:t>
      </w:r>
      <w:r w:rsidRPr="00733091">
        <w:rPr>
          <w:rFonts w:cstheme="minorHAnsi"/>
          <w:color w:val="000000" w:themeColor="text1"/>
          <w:lang w:val="pl-PL"/>
        </w:rPr>
        <w:t>skłonnością Partnerstwa do wspierania przez instytucje publiczne aktywności społecznej mieszkańców</w:t>
      </w:r>
      <w:r w:rsidRPr="00733091">
        <w:rPr>
          <w:lang w:val="pl-PL" w:eastAsia="pl-PL"/>
        </w:rPr>
        <w:t xml:space="preserve"> (deinstytucjonalizacją, świadczącą m.in. o umiejętności powierzania zadań publicznych podmiotom z trzeciego sektora), z drugiej stabilnością i ciągłością władzy (świadczącą o umiejętności zaspokajania potrzeb społeczności lokalnej przez władze lokalne) </w:t>
      </w:r>
      <w:r w:rsidR="00FF6FD9">
        <w:rPr>
          <w:lang w:val="pl-PL" w:eastAsia="pl-PL"/>
        </w:rPr>
        <w:t xml:space="preserve">- </w:t>
      </w:r>
      <w:r w:rsidRPr="00733091">
        <w:rPr>
          <w:lang w:val="pl-PL" w:eastAsia="pl-PL"/>
        </w:rPr>
        <w:t xml:space="preserve">kształtuje się na </w:t>
      </w:r>
      <w:r w:rsidR="000A7679">
        <w:rPr>
          <w:lang w:val="pl-PL" w:eastAsia="pl-PL"/>
        </w:rPr>
        <w:t>niskim</w:t>
      </w:r>
      <w:r w:rsidRPr="00733091">
        <w:rPr>
          <w:lang w:val="pl-PL" w:eastAsia="pl-PL"/>
        </w:rPr>
        <w:t xml:space="preserve"> poziomie.</w:t>
      </w:r>
    </w:p>
    <w:p w14:paraId="21FC67DB" w14:textId="4AAB4A1E" w:rsidR="00864DDD" w:rsidRDefault="00EE6958" w:rsidP="00733091">
      <w:pPr>
        <w:rPr>
          <w:lang w:val="pl-PL" w:eastAsia="pl-PL"/>
        </w:rPr>
      </w:pPr>
      <w:r w:rsidRPr="00733091">
        <w:rPr>
          <w:lang w:val="pl-PL" w:eastAsia="pl-PL"/>
        </w:rPr>
        <w:t xml:space="preserve">Poziom deinstytucjonalizacji mierzonej udziałem dotacji do zadań publicznych udzielonych przez JST </w:t>
      </w:r>
      <w:r w:rsidR="00864DDD">
        <w:rPr>
          <w:lang w:val="pl-PL" w:eastAsia="pl-PL"/>
        </w:rPr>
        <w:t>na zadania bieżące</w:t>
      </w:r>
      <w:r w:rsidR="000A7679">
        <w:rPr>
          <w:lang w:val="pl-PL" w:eastAsia="pl-PL"/>
        </w:rPr>
        <w:t xml:space="preserve"> NGO</w:t>
      </w:r>
      <w:r w:rsidR="00864DDD">
        <w:rPr>
          <w:lang w:val="pl-PL" w:eastAsia="pl-PL"/>
        </w:rPr>
        <w:t xml:space="preserve"> </w:t>
      </w:r>
      <w:r w:rsidRPr="00733091">
        <w:rPr>
          <w:lang w:val="pl-PL" w:eastAsia="pl-PL"/>
        </w:rPr>
        <w:t xml:space="preserve">w wydatkach </w:t>
      </w:r>
      <w:r w:rsidR="000A7679">
        <w:rPr>
          <w:lang w:val="pl-PL" w:eastAsia="pl-PL"/>
        </w:rPr>
        <w:t>bieżących</w:t>
      </w:r>
      <w:r w:rsidRPr="00733091">
        <w:rPr>
          <w:lang w:val="pl-PL" w:eastAsia="pl-PL"/>
        </w:rPr>
        <w:t xml:space="preserve"> </w:t>
      </w:r>
      <w:r w:rsidR="00FF6FD9">
        <w:rPr>
          <w:lang w:val="pl-PL" w:eastAsia="pl-PL"/>
        </w:rPr>
        <w:br/>
      </w:r>
      <w:r w:rsidRPr="00733091">
        <w:rPr>
          <w:lang w:val="pl-PL" w:eastAsia="pl-PL"/>
        </w:rPr>
        <w:t xml:space="preserve">w Partnerstwie Południowe Mazury </w:t>
      </w:r>
      <w:r w:rsidR="00FF6FD9">
        <w:rPr>
          <w:lang w:val="pl-PL" w:eastAsia="pl-PL"/>
        </w:rPr>
        <w:t xml:space="preserve">był </w:t>
      </w:r>
      <w:r w:rsidRPr="00733091">
        <w:rPr>
          <w:lang w:val="pl-PL" w:eastAsia="pl-PL"/>
        </w:rPr>
        <w:t xml:space="preserve">niski (w 2019 r. </w:t>
      </w:r>
      <w:r w:rsidR="00864DDD">
        <w:rPr>
          <w:lang w:val="pl-PL" w:eastAsia="pl-PL"/>
        </w:rPr>
        <w:t xml:space="preserve">wynosił </w:t>
      </w:r>
      <w:r w:rsidR="00B04619">
        <w:rPr>
          <w:lang w:val="pl-PL" w:eastAsia="pl-PL"/>
        </w:rPr>
        <w:t>1,05</w:t>
      </w:r>
      <w:r w:rsidR="00864DDD">
        <w:rPr>
          <w:lang w:val="pl-PL" w:eastAsia="pl-PL"/>
        </w:rPr>
        <w:t>% i był niższy</w:t>
      </w:r>
      <w:r w:rsidRPr="00733091">
        <w:rPr>
          <w:lang w:val="pl-PL" w:eastAsia="pl-PL"/>
        </w:rPr>
        <w:t xml:space="preserve"> niż w województwie warmińsko-mazurskim </w:t>
      </w:r>
      <w:r w:rsidR="00864DDD">
        <w:rPr>
          <w:lang w:val="pl-PL" w:eastAsia="pl-PL"/>
        </w:rPr>
        <w:t xml:space="preserve">o </w:t>
      </w:r>
      <w:r w:rsidR="000A7679">
        <w:rPr>
          <w:lang w:val="pl-PL" w:eastAsia="pl-PL"/>
        </w:rPr>
        <w:t>3,</w:t>
      </w:r>
      <w:r w:rsidR="00B04619">
        <w:rPr>
          <w:lang w:val="pl-PL" w:eastAsia="pl-PL"/>
        </w:rPr>
        <w:t>07</w:t>
      </w:r>
      <w:r w:rsidRPr="00733091">
        <w:rPr>
          <w:lang w:val="pl-PL" w:eastAsia="pl-PL"/>
        </w:rPr>
        <w:t xml:space="preserve"> punktu procentowego</w:t>
      </w:r>
      <w:r w:rsidR="000A7679">
        <w:rPr>
          <w:rStyle w:val="Odwoanieprzypisudolnego"/>
          <w:lang w:val="pl-PL" w:eastAsia="pl-PL"/>
        </w:rPr>
        <w:footnoteReference w:id="66"/>
      </w:r>
      <w:r w:rsidRPr="00733091">
        <w:rPr>
          <w:lang w:val="pl-PL" w:eastAsia="pl-PL"/>
        </w:rPr>
        <w:t xml:space="preserve">). </w:t>
      </w:r>
    </w:p>
    <w:p w14:paraId="0E6081F4" w14:textId="28473CFD" w:rsidR="00EE6958" w:rsidRPr="00733091" w:rsidRDefault="00EE6958" w:rsidP="00733091">
      <w:pPr>
        <w:rPr>
          <w:lang w:val="pl-PL" w:eastAsia="pl-PL"/>
        </w:rPr>
      </w:pPr>
      <w:r w:rsidRPr="00733091">
        <w:rPr>
          <w:lang w:val="pl-PL" w:eastAsia="pl-PL"/>
        </w:rPr>
        <w:t>Pozytywną tendencją jest</w:t>
      </w:r>
      <w:r w:rsidR="000A7679">
        <w:rPr>
          <w:lang w:val="pl-PL" w:eastAsia="pl-PL"/>
        </w:rPr>
        <w:t xml:space="preserve"> wzrost udziału dotacji do zadań publicznych wykonywanych przez NGO w wydatkach bieżących JST</w:t>
      </w:r>
      <w:r w:rsidR="00CF4171">
        <w:rPr>
          <w:lang w:val="pl-PL" w:eastAsia="pl-PL"/>
        </w:rPr>
        <w:t xml:space="preserve"> gmin wchodzących w skład Partnerstwa</w:t>
      </w:r>
      <w:r w:rsidR="000A7679">
        <w:rPr>
          <w:lang w:val="pl-PL" w:eastAsia="pl-PL"/>
        </w:rPr>
        <w:t>. W okresie 2011-2019</w:t>
      </w:r>
      <w:r w:rsidRPr="00733091">
        <w:rPr>
          <w:lang w:val="pl-PL" w:eastAsia="pl-PL"/>
        </w:rPr>
        <w:t xml:space="preserve"> </w:t>
      </w:r>
      <w:r w:rsidR="000A7679">
        <w:rPr>
          <w:lang w:val="pl-PL" w:eastAsia="pl-PL"/>
        </w:rPr>
        <w:t xml:space="preserve">odnotowano </w:t>
      </w:r>
      <w:r w:rsidRPr="00733091">
        <w:rPr>
          <w:lang w:val="pl-PL" w:eastAsia="pl-PL"/>
        </w:rPr>
        <w:t xml:space="preserve">wzrost </w:t>
      </w:r>
      <w:r w:rsidR="00CF4171">
        <w:rPr>
          <w:lang w:val="pl-PL" w:eastAsia="pl-PL"/>
        </w:rPr>
        <w:t>udziału</w:t>
      </w:r>
      <w:r w:rsidRPr="00733091">
        <w:rPr>
          <w:lang w:val="pl-PL" w:eastAsia="pl-PL"/>
        </w:rPr>
        <w:t xml:space="preserve"> </w:t>
      </w:r>
      <w:r w:rsidR="00DD0997">
        <w:rPr>
          <w:lang w:val="pl-PL" w:eastAsia="pl-PL"/>
        </w:rPr>
        <w:t xml:space="preserve">dotacji do zadań publicznych </w:t>
      </w:r>
      <w:r w:rsidRPr="00733091">
        <w:rPr>
          <w:lang w:val="pl-PL" w:eastAsia="pl-PL"/>
        </w:rPr>
        <w:t xml:space="preserve">o </w:t>
      </w:r>
      <w:r w:rsidRPr="00733091">
        <w:rPr>
          <w:rFonts w:cstheme="minorHAnsi"/>
          <w:color w:val="000000" w:themeColor="text1"/>
          <w:lang w:val="pl-PL"/>
        </w:rPr>
        <w:t xml:space="preserve">137,29% </w:t>
      </w:r>
      <w:r w:rsidR="000A7679">
        <w:rPr>
          <w:rFonts w:cstheme="minorHAnsi"/>
          <w:color w:val="000000" w:themeColor="text1"/>
          <w:lang w:val="pl-PL"/>
        </w:rPr>
        <w:t>(wykres poniżej)</w:t>
      </w:r>
      <w:r w:rsidRPr="00733091">
        <w:rPr>
          <w:rFonts w:cstheme="minorHAnsi"/>
          <w:color w:val="000000" w:themeColor="text1"/>
          <w:lang w:val="pl-PL"/>
        </w:rPr>
        <w:t>.</w:t>
      </w:r>
    </w:p>
    <w:p w14:paraId="27662756" w14:textId="0D29CE8B" w:rsidR="00EE6958" w:rsidRPr="00733091" w:rsidRDefault="007D776B" w:rsidP="002E24A9">
      <w:pPr>
        <w:pStyle w:val="Legenda"/>
        <w:rPr>
          <w:rFonts w:ascii="Calibri" w:eastAsia="Times New Roman" w:hAnsi="Calibri" w:cs="Calibri"/>
          <w:color w:val="000000"/>
          <w:lang w:val="pl-PL" w:eastAsia="pl-PL"/>
        </w:rPr>
      </w:pPr>
      <w:bookmarkStart w:id="89" w:name="_Toc69723189"/>
      <w:r w:rsidRPr="00733091">
        <w:rPr>
          <w:lang w:val="pl-PL"/>
        </w:rPr>
        <w:t xml:space="preserve">Wykres </w:t>
      </w:r>
      <w:r w:rsidR="00733091">
        <w:fldChar w:fldCharType="begin"/>
      </w:r>
      <w:r w:rsidR="00733091" w:rsidRPr="00733091">
        <w:rPr>
          <w:lang w:val="pl-PL"/>
        </w:rPr>
        <w:instrText xml:space="preserve"> SEQ Wykres \* ARABIC </w:instrText>
      </w:r>
      <w:r w:rsidR="00733091">
        <w:fldChar w:fldCharType="separate"/>
      </w:r>
      <w:r w:rsidR="00B14787">
        <w:rPr>
          <w:noProof/>
          <w:lang w:val="pl-PL"/>
        </w:rPr>
        <w:t>31</w:t>
      </w:r>
      <w:r w:rsidR="00733091">
        <w:rPr>
          <w:noProof/>
        </w:rPr>
        <w:fldChar w:fldCharType="end"/>
      </w:r>
      <w:r w:rsidRPr="00733091">
        <w:rPr>
          <w:lang w:val="pl-PL"/>
        </w:rPr>
        <w:t xml:space="preserve">: </w:t>
      </w:r>
      <w:r w:rsidR="00EE6958" w:rsidRPr="00733091">
        <w:rPr>
          <w:lang w:val="pl-PL"/>
        </w:rPr>
        <w:t>Udział dotacji do zadań publicznych wykonywanych przez NGO w wydatkach bieżących JST w latach 2011-2019</w:t>
      </w:r>
      <w:bookmarkEnd w:id="89"/>
    </w:p>
    <w:p w14:paraId="37AE085B" w14:textId="34669F61" w:rsidR="00EE6958" w:rsidRPr="004E378E" w:rsidRDefault="00EE6958" w:rsidP="004E378E">
      <w:pPr>
        <w:pStyle w:val="podpiselementu"/>
        <w:spacing w:after="240"/>
        <w:rPr>
          <w:i/>
          <w:iCs/>
          <w:lang w:val="pl-PL"/>
        </w:rPr>
      </w:pPr>
      <w:r>
        <w:rPr>
          <w:noProof/>
        </w:rPr>
        <w:drawing>
          <wp:inline distT="0" distB="0" distL="0" distR="0" wp14:anchorId="108F0396" wp14:editId="400D0716">
            <wp:extent cx="5836920" cy="3101340"/>
            <wp:effectExtent l="0" t="0" r="11430" b="3810"/>
            <wp:docPr id="40" name="Wykres 40" descr="wykres liniowy wskazujący na udział dotacji do zadań publicznych wykonywanych przez NGO w wydatkach bieżących JST w latach 2011-2019 w podziale na gminy">
              <a:extLst xmlns:a="http://schemas.openxmlformats.org/drawingml/2006/main">
                <a:ext uri="{FF2B5EF4-FFF2-40B4-BE49-F238E27FC236}">
                  <a16:creationId xmlns:a16="http://schemas.microsoft.com/office/drawing/2014/main" id="{0265A20B-D61B-490B-B0D5-27D7B24A69A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r w:rsidRPr="00733091">
        <w:rPr>
          <w:rFonts w:ascii="Calibri" w:eastAsia="Times New Roman" w:hAnsi="Calibri" w:cs="Calibri"/>
          <w:color w:val="000000"/>
          <w:lang w:val="pl-PL" w:eastAsia="pl-PL"/>
        </w:rPr>
        <w:br/>
      </w:r>
      <w:r w:rsidRPr="00733091">
        <w:rPr>
          <w:lang w:val="pl-PL"/>
        </w:rPr>
        <w:t>Źródło: opracowanie własne na podstawie</w:t>
      </w:r>
      <w:r w:rsidRPr="004E378E">
        <w:rPr>
          <w:szCs w:val="24"/>
          <w:lang w:val="pl-PL"/>
        </w:rPr>
        <w:t xml:space="preserve"> </w:t>
      </w:r>
      <w:hyperlink r:id="rId98" w:history="1">
        <w:r w:rsidRPr="004E378E">
          <w:rPr>
            <w:rStyle w:val="Hipercze"/>
            <w:color w:val="44546A" w:themeColor="text2"/>
            <w:szCs w:val="24"/>
            <w:lang w:val="pl-PL"/>
          </w:rPr>
          <w:t>https://analizy.monitorrozwoju.pl</w:t>
        </w:r>
      </w:hyperlink>
    </w:p>
    <w:p w14:paraId="267753CB" w14:textId="77777777" w:rsidR="0053183F" w:rsidRDefault="0053183F" w:rsidP="00733091">
      <w:pPr>
        <w:rPr>
          <w:lang w:val="pl-PL"/>
        </w:rPr>
      </w:pPr>
    </w:p>
    <w:p w14:paraId="2A835204" w14:textId="6AEB5622" w:rsidR="00EE6958" w:rsidRPr="00733091" w:rsidRDefault="00EE6958" w:rsidP="00733091">
      <w:pPr>
        <w:rPr>
          <w:lang w:val="pl-PL"/>
        </w:rPr>
      </w:pPr>
      <w:r w:rsidRPr="00733091">
        <w:rPr>
          <w:lang w:val="pl-PL"/>
        </w:rPr>
        <w:t xml:space="preserve">O deinstytucjonalizacji świadczy też udział kwoty dotacji do zadań publicznych wykonywanych przez organizacje pozarządowe w przeliczeniu na 1000 mieszkańców (który to udział wzrósł </w:t>
      </w:r>
      <w:r w:rsidR="00FF6FD9">
        <w:rPr>
          <w:lang w:val="pl-PL"/>
        </w:rPr>
        <w:t>w okresie</w:t>
      </w:r>
      <w:r w:rsidRPr="00733091">
        <w:rPr>
          <w:lang w:val="pl-PL"/>
        </w:rPr>
        <w:t xml:space="preserve"> 2011</w:t>
      </w:r>
      <w:r w:rsidR="00FF6FD9">
        <w:rPr>
          <w:lang w:val="pl-PL"/>
        </w:rPr>
        <w:t>-2019</w:t>
      </w:r>
      <w:r w:rsidRPr="00733091">
        <w:rPr>
          <w:lang w:val="pl-PL"/>
        </w:rPr>
        <w:t xml:space="preserve"> o 263,33%).</w:t>
      </w:r>
    </w:p>
    <w:p w14:paraId="0AEE3DD2" w14:textId="21CE7919" w:rsidR="00EE6958" w:rsidRPr="00733091" w:rsidRDefault="007D776B" w:rsidP="002E24A9">
      <w:pPr>
        <w:pStyle w:val="Legenda"/>
        <w:rPr>
          <w:rFonts w:cstheme="minorHAnsi"/>
          <w:color w:val="000000" w:themeColor="text1"/>
          <w:lang w:val="pl-PL"/>
        </w:rPr>
      </w:pPr>
      <w:bookmarkStart w:id="90" w:name="_Toc69723190"/>
      <w:r w:rsidRPr="00733091">
        <w:rPr>
          <w:lang w:val="pl-PL"/>
        </w:rPr>
        <w:t xml:space="preserve">Wykres </w:t>
      </w:r>
      <w:r w:rsidR="00733091">
        <w:fldChar w:fldCharType="begin"/>
      </w:r>
      <w:r w:rsidR="00733091" w:rsidRPr="00733091">
        <w:rPr>
          <w:lang w:val="pl-PL"/>
        </w:rPr>
        <w:instrText xml:space="preserve"> SEQ Wykres \* ARABIC </w:instrText>
      </w:r>
      <w:r w:rsidR="00733091">
        <w:fldChar w:fldCharType="separate"/>
      </w:r>
      <w:r w:rsidR="00B14787">
        <w:rPr>
          <w:noProof/>
          <w:lang w:val="pl-PL"/>
        </w:rPr>
        <w:t>32</w:t>
      </w:r>
      <w:r w:rsidR="00733091">
        <w:rPr>
          <w:noProof/>
        </w:rPr>
        <w:fldChar w:fldCharType="end"/>
      </w:r>
      <w:r w:rsidRPr="00733091">
        <w:rPr>
          <w:lang w:val="pl-PL"/>
        </w:rPr>
        <w:t xml:space="preserve">: </w:t>
      </w:r>
      <w:r w:rsidR="00EE6958" w:rsidRPr="00733091">
        <w:rPr>
          <w:lang w:val="pl-PL"/>
        </w:rPr>
        <w:t>Kwota dotacji do zadań publicznych wykonywanych przez NGO w przeliczeniu na 1000 mieszkańców</w:t>
      </w:r>
      <w:bookmarkEnd w:id="90"/>
    </w:p>
    <w:p w14:paraId="1FB39BC9" w14:textId="0C230C5B" w:rsidR="00EE6958" w:rsidRPr="00AE4C8C" w:rsidRDefault="00EE6958" w:rsidP="004E378E">
      <w:pPr>
        <w:pStyle w:val="podpiselementu"/>
        <w:spacing w:after="240"/>
        <w:rPr>
          <w:rFonts w:cstheme="minorHAnsi"/>
          <w:color w:val="000000" w:themeColor="text1"/>
          <w:lang w:val="pl-PL"/>
        </w:rPr>
      </w:pPr>
      <w:r>
        <w:rPr>
          <w:noProof/>
        </w:rPr>
        <w:drawing>
          <wp:inline distT="0" distB="0" distL="0" distR="0" wp14:anchorId="04441775" wp14:editId="14502A6C">
            <wp:extent cx="5759450" cy="2480310"/>
            <wp:effectExtent l="19050" t="19050" r="12700" b="15240"/>
            <wp:docPr id="111" name="Obraz 111" descr="wykres liniowy wskazujący na kwotę dotacji do zadań publicznych wykonywanych przez organizacje pozarządowe w przeliczeniu na 1000 mieszkańców Południowych Mazur w latach 2011-2019 w podziale na gmi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Obraz 111" descr="wykres liniowy wskazujący na kwotę dotacji do zadań publicznych wykonywanych przez organizacje pozarządowe w przeliczeniu na 1000 mieszkańców Południowych Mazur w latach 2011-2019 w podziale na gminy"/>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773248" cy="2486252"/>
                    </a:xfrm>
                    <a:prstGeom prst="rect">
                      <a:avLst/>
                    </a:prstGeom>
                    <a:noFill/>
                    <a:ln>
                      <a:solidFill>
                        <a:schemeClr val="tx2"/>
                      </a:solidFill>
                    </a:ln>
                  </pic:spPr>
                </pic:pic>
              </a:graphicData>
            </a:graphic>
          </wp:inline>
        </w:drawing>
      </w:r>
      <w:r w:rsidRPr="00733091">
        <w:rPr>
          <w:lang w:val="pl-PL"/>
        </w:rPr>
        <w:t xml:space="preserve">Źródło: opracowanie ZMP na podstawie </w:t>
      </w:r>
      <w:hyperlink r:id="rId100" w:history="1">
        <w:r w:rsidRPr="00733091">
          <w:rPr>
            <w:rStyle w:val="Hipercze"/>
            <w:color w:val="auto"/>
            <w:u w:val="none"/>
            <w:lang w:val="pl-PL"/>
          </w:rPr>
          <w:t>https://analizy.monitorrozwoju.pl</w:t>
        </w:r>
      </w:hyperlink>
    </w:p>
    <w:p w14:paraId="486C35BA" w14:textId="77777777" w:rsidR="00EE6958" w:rsidRPr="00733091" w:rsidRDefault="00EE6958" w:rsidP="00733091">
      <w:pPr>
        <w:rPr>
          <w:rFonts w:ascii="Calibri" w:eastAsia="Times New Roman" w:hAnsi="Calibri" w:cs="Calibri"/>
          <w:color w:val="000000"/>
          <w:lang w:val="pl-PL" w:eastAsia="pl-PL"/>
        </w:rPr>
      </w:pPr>
      <w:r w:rsidRPr="00733091">
        <w:rPr>
          <w:rFonts w:ascii="Calibri" w:eastAsia="Times New Roman" w:hAnsi="Calibri" w:cs="Calibri"/>
          <w:color w:val="000000"/>
          <w:lang w:val="pl-PL" w:eastAsia="pl-PL"/>
        </w:rPr>
        <w:t xml:space="preserve">Stanowiąca jeden z komponentów efektywności Partnerstwa </w:t>
      </w:r>
      <w:r w:rsidRPr="00733091">
        <w:rPr>
          <w:rFonts w:ascii="Calibri" w:eastAsia="Times New Roman" w:hAnsi="Calibri" w:cs="Calibri"/>
          <w:b/>
          <w:bCs/>
          <w:color w:val="000000"/>
          <w:lang w:val="pl-PL" w:eastAsia="pl-PL"/>
        </w:rPr>
        <w:t>stabilność władzy</w:t>
      </w:r>
      <w:r w:rsidRPr="00733091">
        <w:rPr>
          <w:rFonts w:ascii="Calibri" w:eastAsia="Times New Roman" w:hAnsi="Calibri" w:cs="Calibri"/>
          <w:color w:val="000000"/>
          <w:lang w:val="pl-PL" w:eastAsia="pl-PL"/>
        </w:rPr>
        <w:t xml:space="preserve"> (mierzona liczbą kadencji sprawowanych przez aktualne władze wykonawcze JST, które wchodzą w skład Partnerstwa – wykres poniżej) plasuje się na </w:t>
      </w:r>
      <w:r w:rsidRPr="00733091">
        <w:rPr>
          <w:rFonts w:ascii="Calibri" w:eastAsia="Times New Roman" w:hAnsi="Calibri" w:cs="Calibri"/>
          <w:b/>
          <w:bCs/>
          <w:color w:val="000000"/>
          <w:lang w:val="pl-PL" w:eastAsia="pl-PL"/>
        </w:rPr>
        <w:t>wysokim poziomie</w:t>
      </w:r>
      <w:r w:rsidRPr="00733091">
        <w:rPr>
          <w:rFonts w:ascii="Calibri" w:eastAsia="Times New Roman" w:hAnsi="Calibri" w:cs="Calibri"/>
          <w:color w:val="000000"/>
          <w:lang w:val="pl-PL" w:eastAsia="pl-PL"/>
        </w:rPr>
        <w:t>.</w:t>
      </w:r>
    </w:p>
    <w:p w14:paraId="1F833636" w14:textId="32CE19D6" w:rsidR="00EE6958" w:rsidRPr="00FF6FD9" w:rsidRDefault="007D776B" w:rsidP="00FF6FD9">
      <w:pPr>
        <w:pStyle w:val="Legenda"/>
        <w:tabs>
          <w:tab w:val="clear" w:pos="0"/>
        </w:tabs>
        <w:rPr>
          <w:b/>
          <w:iCs w:val="0"/>
          <w:lang w:val="pl-PL"/>
        </w:rPr>
      </w:pPr>
      <w:bookmarkStart w:id="91" w:name="_Toc69723191"/>
      <w:r w:rsidRPr="00FF6FD9">
        <w:rPr>
          <w:lang w:val="pl-PL"/>
        </w:rPr>
        <w:t xml:space="preserve">Wykres </w:t>
      </w:r>
      <w:r w:rsidR="00733091" w:rsidRPr="00FF6FD9">
        <w:fldChar w:fldCharType="begin"/>
      </w:r>
      <w:r w:rsidR="00733091" w:rsidRPr="00FF6FD9">
        <w:rPr>
          <w:lang w:val="pl-PL"/>
        </w:rPr>
        <w:instrText xml:space="preserve"> SEQ Wykres \* ARABIC </w:instrText>
      </w:r>
      <w:r w:rsidR="00733091" w:rsidRPr="00FF6FD9">
        <w:fldChar w:fldCharType="separate"/>
      </w:r>
      <w:r w:rsidR="00B14787">
        <w:rPr>
          <w:noProof/>
          <w:lang w:val="pl-PL"/>
        </w:rPr>
        <w:t>33</w:t>
      </w:r>
      <w:r w:rsidR="00733091" w:rsidRPr="00FF6FD9">
        <w:rPr>
          <w:noProof/>
        </w:rPr>
        <w:fldChar w:fldCharType="end"/>
      </w:r>
      <w:r w:rsidRPr="00FF6FD9">
        <w:rPr>
          <w:lang w:val="pl-PL"/>
        </w:rPr>
        <w:t xml:space="preserve">: </w:t>
      </w:r>
      <w:r w:rsidR="00EE6958" w:rsidRPr="00FF6FD9">
        <w:rPr>
          <w:rStyle w:val="LegendaZnak"/>
          <w:lang w:val="pl-PL"/>
        </w:rPr>
        <w:t>Stabilność władzy na obszarze Partnerstwa</w:t>
      </w:r>
      <w:r w:rsidR="00EE6958" w:rsidRPr="00FF6FD9">
        <w:rPr>
          <w:rStyle w:val="podpiselementuZnak"/>
          <w:lang w:val="pl-PL"/>
        </w:rPr>
        <w:br/>
      </w:r>
      <w:r w:rsidR="00EE6958" w:rsidRPr="00733091">
        <w:rPr>
          <w:rStyle w:val="podpiselementuZnak"/>
          <w:lang w:val="pl-PL"/>
        </w:rPr>
        <w:t xml:space="preserve"> </w:t>
      </w:r>
      <w:r w:rsidR="00EE6958" w:rsidRPr="00F52999">
        <w:rPr>
          <w:rStyle w:val="podpiselementuZnak"/>
        </w:rPr>
        <w:drawing>
          <wp:inline distT="0" distB="0" distL="0" distR="0" wp14:anchorId="38303A91" wp14:editId="4A2DD54B">
            <wp:extent cx="5671185" cy="2735580"/>
            <wp:effectExtent l="0" t="0" r="5715" b="7620"/>
            <wp:docPr id="43" name="Wykres 43" descr="wykres kołowy wskazujący na stabilność władzy politycznej Południowych Mazur. Kolorem niebieskim oznaczona jest (procentowo) liczba osób, które sprawują funkcję wójta, burmistrza lub starosty w I kadencji, kolorem niebieskim – liczba osób wybranych na II lub kolejną kadencję"/>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r w:rsidR="00EE6958" w:rsidRPr="00733091">
        <w:rPr>
          <w:rStyle w:val="podpiselementuZnak"/>
          <w:lang w:val="pl-PL"/>
        </w:rPr>
        <w:br/>
        <w:t>Źródło: opracowanie własne na podstawie danych z Państwowej Komisji Wyborczej</w:t>
      </w:r>
      <w:r w:rsidR="00EE6958" w:rsidRPr="00733091">
        <w:rPr>
          <w:rStyle w:val="podpiselementuZnak"/>
          <w:lang w:val="pl-PL"/>
        </w:rPr>
        <w:br/>
      </w:r>
      <w:r w:rsidR="002F3E4B">
        <w:rPr>
          <w:lang w:val="pl-PL"/>
        </w:rPr>
        <w:lastRenderedPageBreak/>
        <w:br/>
      </w:r>
      <w:r w:rsidR="00FF6FD9">
        <w:rPr>
          <w:sz w:val="24"/>
          <w:szCs w:val="24"/>
          <w:lang w:val="pl-PL"/>
        </w:rPr>
        <w:br/>
      </w:r>
      <w:r w:rsidR="00EE6958" w:rsidRPr="00FF6FD9">
        <w:rPr>
          <w:sz w:val="24"/>
          <w:szCs w:val="24"/>
          <w:lang w:val="pl-PL"/>
        </w:rPr>
        <w:t>Efektywność realizacyjna Partnerstwa ściśle wiąże się z modelem kultury organizacyjnej charakteryzującej Partnerstwo (powiazania efektywności i typów kultury organizacyjnej</w:t>
      </w:r>
      <w:r w:rsidR="00EE6958" w:rsidRPr="00FF6FD9">
        <w:rPr>
          <w:rStyle w:val="Odwoanieprzypisudolnego"/>
          <w:sz w:val="24"/>
          <w:szCs w:val="24"/>
        </w:rPr>
        <w:footnoteReference w:id="67"/>
      </w:r>
      <w:r w:rsidR="00EE6958" w:rsidRPr="00FF6FD9">
        <w:rPr>
          <w:sz w:val="24"/>
          <w:szCs w:val="24"/>
          <w:lang w:val="pl-PL"/>
        </w:rPr>
        <w:t xml:space="preserve"> obrazuje rysunek poniżej).</w:t>
      </w:r>
      <w:bookmarkEnd w:id="91"/>
    </w:p>
    <w:p w14:paraId="07C3778F" w14:textId="47E1E0D5" w:rsidR="00EE6958" w:rsidRPr="00733091" w:rsidRDefault="00EE6958" w:rsidP="002E24A9">
      <w:pPr>
        <w:pStyle w:val="Legenda"/>
        <w:rPr>
          <w:lang w:val="pl-PL"/>
        </w:rPr>
      </w:pPr>
      <w:bookmarkStart w:id="92" w:name="_Toc67904485"/>
      <w:bookmarkStart w:id="93" w:name="_Toc67909157"/>
      <w:bookmarkStart w:id="94" w:name="_Toc68113513"/>
      <w:r w:rsidRPr="00733091">
        <w:rPr>
          <w:lang w:val="pl-PL"/>
        </w:rPr>
        <w:t xml:space="preserve">Rysunek </w:t>
      </w:r>
      <w:r w:rsidR="00733091">
        <w:fldChar w:fldCharType="begin"/>
      </w:r>
      <w:r w:rsidR="00733091" w:rsidRPr="00733091">
        <w:rPr>
          <w:lang w:val="pl-PL"/>
        </w:rPr>
        <w:instrText xml:space="preserve"> SEQ Rysunek \* ARABIC </w:instrText>
      </w:r>
      <w:r w:rsidR="00733091">
        <w:fldChar w:fldCharType="separate"/>
      </w:r>
      <w:r w:rsidR="00B14787">
        <w:rPr>
          <w:noProof/>
          <w:lang w:val="pl-PL"/>
        </w:rPr>
        <w:t>5</w:t>
      </w:r>
      <w:r w:rsidR="00733091">
        <w:rPr>
          <w:noProof/>
        </w:rPr>
        <w:fldChar w:fldCharType="end"/>
      </w:r>
      <w:r w:rsidRPr="00733091">
        <w:rPr>
          <w:lang w:val="pl-PL"/>
        </w:rPr>
        <w:t>: Wymiary efektywności a model kultury organizacyjnej</w:t>
      </w:r>
      <w:bookmarkEnd w:id="92"/>
      <w:bookmarkEnd w:id="93"/>
      <w:bookmarkEnd w:id="94"/>
    </w:p>
    <w:p w14:paraId="046DE141" w14:textId="1D101346" w:rsidR="00EE6958" w:rsidRPr="00733091" w:rsidRDefault="00EE6958" w:rsidP="004E378E">
      <w:pPr>
        <w:pStyle w:val="podpiselementu"/>
        <w:spacing w:after="240"/>
        <w:rPr>
          <w:lang w:val="pl-PL"/>
        </w:rPr>
      </w:pPr>
      <w:r>
        <w:rPr>
          <w:noProof/>
        </w:rPr>
        <w:drawing>
          <wp:inline distT="0" distB="0" distL="0" distR="0" wp14:anchorId="13C01103" wp14:editId="0325E541">
            <wp:extent cx="5715000" cy="3364230"/>
            <wp:effectExtent l="19050" t="19050" r="19050" b="26670"/>
            <wp:docPr id="69" name="Obraz 69" descr="schemat wskazuje związek wymiarów efektywności i modelu kultury organizacyjnej. Wymiary efektywności są określone na osiach X i Y.  Wymiar 1: adaptacyjność oznaczony jest na osi Y (samodzielność, elastyczność działania – powyżej 0 versus stabilność i kontrola – poniżej zera). Wymiar 2: orientacja na otoczenie zaznaczony jest na osi X (orientacja na sprawy wewnętrzne – poniżej 0 versus orientacja na pozycję w otoczeniu – powyżej 0). Przecinające się osie wyznaczają IV ćwiartki. Usytuowanie organizacji w pierwszej ćwiartce (prawa górna) oznacza, że w organizacji dominuje  kultura adhokracyjna, w II ćwiartce (lewa górna) – kultura klanowa, w III ćwiartce (prawa dolna) – kultura rynkowa, a w IV ćwiartce (prawa dolna) – kultura hierarchicz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Obraz 69" descr="schemat wskazuje związek wymiarów efektywności i modelu kultury organizacyjnej. Wymiary efektywności są określone na osiach X i Y.  Wymiar 1: adaptacyjność oznaczony jest na osi Y (samodzielność, elastyczność działania – powyżej 0 versus stabilność i kontrola – poniżej zera). Wymiar 2: orientacja na otoczenie zaznaczony jest na osi X (orientacja na sprawy wewnętrzne – poniżej 0 versus orientacja na pozycję w otoczeniu – powyżej 0). Przecinające się osie wyznaczają IV ćwiartki. Usytuowanie organizacji w pierwszej ćwiartce (prawa górna) oznacza, że w organizacji dominuje  kultura adhokracyjna, w II ćwiartce (lewa górna) – kultura klanowa, w III ćwiartce (prawa dolna) – kultura rynkowa, a w IV ćwiartce (prawa dolna) – kultura hierarchiczna"/>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715000" cy="3364230"/>
                    </a:xfrm>
                    <a:prstGeom prst="rect">
                      <a:avLst/>
                    </a:prstGeom>
                    <a:noFill/>
                    <a:ln>
                      <a:solidFill>
                        <a:schemeClr val="tx2"/>
                      </a:solidFill>
                    </a:ln>
                  </pic:spPr>
                </pic:pic>
              </a:graphicData>
            </a:graphic>
          </wp:inline>
        </w:drawing>
      </w:r>
      <w:r w:rsidRPr="00733091">
        <w:rPr>
          <w:lang w:val="pl-PL"/>
        </w:rPr>
        <w:br/>
        <w:t xml:space="preserve">Źródło: Opracowanie własne </w:t>
      </w:r>
      <w:bookmarkStart w:id="95" w:name="_Hlk65222712"/>
      <w:r w:rsidRPr="00733091">
        <w:rPr>
          <w:lang w:val="pl-PL"/>
        </w:rPr>
        <w:t xml:space="preserve">na podstawie „Kultura organizacyjna. Diagnoza i zmiana”, </w:t>
      </w:r>
      <w:r w:rsidRPr="00733091">
        <w:rPr>
          <w:lang w:val="pl-PL"/>
        </w:rPr>
        <w:br/>
        <w:t>S. Cameron, Robert E. Quinn</w:t>
      </w:r>
      <w:bookmarkEnd w:id="95"/>
    </w:p>
    <w:p w14:paraId="3E0149CE" w14:textId="737CE53A" w:rsidR="00EE6958" w:rsidRPr="00733091" w:rsidRDefault="00EE6958" w:rsidP="004E378E">
      <w:pPr>
        <w:rPr>
          <w:lang w:val="pl-PL"/>
        </w:rPr>
      </w:pPr>
      <w:r w:rsidRPr="00733091">
        <w:rPr>
          <w:lang w:val="pl-PL"/>
        </w:rPr>
        <w:lastRenderedPageBreak/>
        <w:t xml:space="preserve">W oparciu o wywiady z przedstawicielami urzędów miast, gmin i starostw powiatowych można stwierdzić, że w Partnerstwie Południowe Mazury dominuje model kultury </w:t>
      </w:r>
      <w:r w:rsidRPr="00733091">
        <w:rPr>
          <w:b/>
          <w:bCs/>
          <w:lang w:val="pl-PL"/>
        </w:rPr>
        <w:t xml:space="preserve">hierarchicznej (28,36), </w:t>
      </w:r>
      <w:r w:rsidRPr="00733091">
        <w:rPr>
          <w:lang w:val="pl-PL"/>
        </w:rPr>
        <w:t xml:space="preserve">uzupełniony elementami kultury </w:t>
      </w:r>
      <w:r w:rsidRPr="00733091">
        <w:rPr>
          <w:b/>
          <w:bCs/>
          <w:lang w:val="pl-PL"/>
        </w:rPr>
        <w:t>klanowej (24,86)</w:t>
      </w:r>
      <w:r w:rsidRPr="00733091">
        <w:rPr>
          <w:lang w:val="pl-PL"/>
        </w:rPr>
        <w:t xml:space="preserve">, a w dalszej kolejności adhokracyjnej (23,97) i rynkowej (22,49). Taki model kultury oznacza, że Partnerstwo charakteryzuje się </w:t>
      </w:r>
      <w:r w:rsidRPr="00733091">
        <w:rPr>
          <w:b/>
          <w:bCs/>
          <w:lang w:val="pl-PL"/>
        </w:rPr>
        <w:t xml:space="preserve">dość wysokim, choć dopuszczającym </w:t>
      </w:r>
      <w:r w:rsidRPr="00733091">
        <w:rPr>
          <w:lang w:val="pl-PL"/>
        </w:rPr>
        <w:t xml:space="preserve">pewną </w:t>
      </w:r>
      <w:r w:rsidRPr="00733091">
        <w:rPr>
          <w:b/>
          <w:bCs/>
          <w:lang w:val="pl-PL"/>
        </w:rPr>
        <w:t>elastyczność</w:t>
      </w:r>
      <w:r w:rsidRPr="00230C04">
        <w:rPr>
          <w:rStyle w:val="Odwoanieprzypisudolnego"/>
          <w:b/>
          <w:bCs/>
        </w:rPr>
        <w:footnoteReference w:id="68"/>
      </w:r>
      <w:r w:rsidRPr="00733091">
        <w:rPr>
          <w:lang w:val="pl-PL"/>
        </w:rPr>
        <w:t xml:space="preserve"> </w:t>
      </w:r>
      <w:r w:rsidRPr="00733091">
        <w:rPr>
          <w:b/>
          <w:bCs/>
          <w:lang w:val="pl-PL"/>
        </w:rPr>
        <w:t>poziomem sformalizowania działań</w:t>
      </w:r>
      <w:r w:rsidRPr="00733091">
        <w:rPr>
          <w:lang w:val="pl-PL"/>
        </w:rPr>
        <w:t xml:space="preserve"> oraz</w:t>
      </w:r>
      <w:r w:rsidRPr="00733091">
        <w:rPr>
          <w:b/>
          <w:bCs/>
          <w:lang w:val="pl-PL"/>
        </w:rPr>
        <w:t xml:space="preserve"> nakierowaniem działań na zaspokojenie potrzeb otoczenia </w:t>
      </w:r>
      <w:r w:rsidRPr="00733091">
        <w:rPr>
          <w:lang w:val="pl-PL"/>
        </w:rPr>
        <w:t xml:space="preserve">(społeczności lokalnej). Występujące w modelu elementy kultury klanowej pozytywnie oddziałują na zdolność współpracy, a tym samym skuteczność realizacyjną Partnerstwa, </w:t>
      </w:r>
      <w:r w:rsidR="006E1AF6">
        <w:rPr>
          <w:lang w:val="pl-PL"/>
        </w:rPr>
        <w:br/>
      </w:r>
      <w:r w:rsidRPr="00733091">
        <w:rPr>
          <w:lang w:val="pl-PL"/>
        </w:rPr>
        <w:t>a</w:t>
      </w:r>
      <w:r w:rsidR="004E378E">
        <w:rPr>
          <w:lang w:val="pl-PL"/>
        </w:rPr>
        <w:t xml:space="preserve"> </w:t>
      </w:r>
      <w:r w:rsidRPr="00733091">
        <w:rPr>
          <w:lang w:val="pl-PL"/>
        </w:rPr>
        <w:t xml:space="preserve">elementy kultury adhokracyjnej – na elastyczność w poszukiwaniu korzystnych dla Partnerstwa rozwiązań. Taki stan obecny, zrównoważony w </w:t>
      </w:r>
      <w:r w:rsidR="00A70EA5">
        <w:rPr>
          <w:lang w:val="pl-PL"/>
        </w:rPr>
        <w:t>opisanych wyżej</w:t>
      </w:r>
      <w:r w:rsidRPr="00733091">
        <w:rPr>
          <w:lang w:val="pl-PL"/>
        </w:rPr>
        <w:t xml:space="preserve"> wymiarach, prezentuje niebieska krzywa na Wykresie nr </w:t>
      </w:r>
      <w:r w:rsidR="002F3E4B">
        <w:rPr>
          <w:lang w:val="pl-PL"/>
        </w:rPr>
        <w:t>34</w:t>
      </w:r>
      <w:r w:rsidRPr="00733091">
        <w:rPr>
          <w:lang w:val="pl-PL"/>
        </w:rPr>
        <w:t>.</w:t>
      </w:r>
    </w:p>
    <w:p w14:paraId="2BD58D76" w14:textId="6379F5FA" w:rsidR="00EE6958" w:rsidRPr="00733091" w:rsidRDefault="00A70EA5" w:rsidP="006E1AF6">
      <w:pPr>
        <w:rPr>
          <w:noProof/>
          <w:lang w:val="pl-PL"/>
        </w:rPr>
      </w:pPr>
      <w:r>
        <w:rPr>
          <w:noProof/>
          <w:lang w:val="pl-PL"/>
        </w:rPr>
        <w:t>Krzywa pomarańczowa</w:t>
      </w:r>
      <w:r w:rsidR="00CB6F84">
        <w:rPr>
          <w:noProof/>
          <w:lang w:val="pl-PL"/>
        </w:rPr>
        <w:t xml:space="preserve"> obrazuje</w:t>
      </w:r>
      <w:r w:rsidR="00EE6958" w:rsidRPr="00733091">
        <w:rPr>
          <w:noProof/>
          <w:lang w:val="pl-PL"/>
        </w:rPr>
        <w:t xml:space="preserve"> </w:t>
      </w:r>
      <w:r w:rsidR="00CB6F84">
        <w:rPr>
          <w:noProof/>
          <w:lang w:val="pl-PL"/>
        </w:rPr>
        <w:t xml:space="preserve">natomiast </w:t>
      </w:r>
      <w:r w:rsidR="00EE6958" w:rsidRPr="00733091">
        <w:rPr>
          <w:noProof/>
          <w:lang w:val="pl-PL"/>
        </w:rPr>
        <w:t>pożądane zmiany w stosunku do stanu obecnego</w:t>
      </w:r>
      <w:r w:rsidR="002F3E4B">
        <w:rPr>
          <w:lang w:val="pl-PL"/>
        </w:rPr>
        <w:t xml:space="preserve">. </w:t>
      </w:r>
      <w:r w:rsidR="00EE6958" w:rsidRPr="00733091">
        <w:rPr>
          <w:noProof/>
          <w:lang w:val="pl-PL"/>
        </w:rPr>
        <w:t>Zmiana kultury organizacyjnej i osiągnięcie pożądanego modelu</w:t>
      </w:r>
      <w:r w:rsidR="00EE6958" w:rsidRPr="00230C04">
        <w:rPr>
          <w:rStyle w:val="Odwoanieprzypisudolnego"/>
          <w:noProof/>
        </w:rPr>
        <w:footnoteReference w:id="69"/>
      </w:r>
      <w:r w:rsidR="00EE6958" w:rsidRPr="00733091">
        <w:rPr>
          <w:noProof/>
          <w:lang w:val="pl-PL"/>
        </w:rPr>
        <w:t xml:space="preserve"> przez Partnerstwo (kultura klanowa – 32,16 i adhokracyjna – 26,86 z elementami hierarchicznej – 23,46 i rynkowej – 17,78) będzie wzmacniać istniejący </w:t>
      </w:r>
      <w:r w:rsidR="00EE6958" w:rsidRPr="00733091">
        <w:rPr>
          <w:b/>
          <w:bCs/>
          <w:noProof/>
          <w:lang w:val="pl-PL"/>
        </w:rPr>
        <w:t xml:space="preserve">potencjał współpracy wewnątrz Partnerstwa i warunkować </w:t>
      </w:r>
      <w:r w:rsidR="00EE6958" w:rsidRPr="00733091">
        <w:rPr>
          <w:noProof/>
          <w:lang w:val="pl-PL"/>
        </w:rPr>
        <w:t>zwiększenie skuteczności i efektywności działań rozwojowych Partnerstwa.</w:t>
      </w:r>
      <w:r w:rsidR="006E1AF6">
        <w:rPr>
          <w:noProof/>
          <w:lang w:val="pl-PL"/>
        </w:rPr>
        <w:t xml:space="preserve"> </w:t>
      </w:r>
      <w:r w:rsidR="00EE6958" w:rsidRPr="00733091">
        <w:rPr>
          <w:lang w:val="pl-PL"/>
        </w:rPr>
        <w:t>Schemat obecnego i pożądanego modelu kultury organizacyjnej Partnerstwa prezentuje poniższy wykres.</w:t>
      </w:r>
    </w:p>
    <w:p w14:paraId="3AA0A1B6" w14:textId="6CD14ADB" w:rsidR="00EE6958" w:rsidRPr="00733091" w:rsidRDefault="007D776B" w:rsidP="002E24A9">
      <w:pPr>
        <w:pStyle w:val="Legenda"/>
        <w:rPr>
          <w:lang w:val="pl-PL"/>
        </w:rPr>
      </w:pPr>
      <w:bookmarkStart w:id="96" w:name="_Toc69723192"/>
      <w:r w:rsidRPr="00733091">
        <w:rPr>
          <w:lang w:val="pl-PL"/>
        </w:rPr>
        <w:t xml:space="preserve">Wykres </w:t>
      </w:r>
      <w:r w:rsidR="00733091">
        <w:fldChar w:fldCharType="begin"/>
      </w:r>
      <w:r w:rsidR="00733091" w:rsidRPr="00733091">
        <w:rPr>
          <w:lang w:val="pl-PL"/>
        </w:rPr>
        <w:instrText xml:space="preserve"> SEQ Wykres \* ARABIC </w:instrText>
      </w:r>
      <w:r w:rsidR="00733091">
        <w:fldChar w:fldCharType="separate"/>
      </w:r>
      <w:r w:rsidR="00B14787">
        <w:rPr>
          <w:noProof/>
          <w:lang w:val="pl-PL"/>
        </w:rPr>
        <w:t>34</w:t>
      </w:r>
      <w:r w:rsidR="00733091">
        <w:rPr>
          <w:noProof/>
        </w:rPr>
        <w:fldChar w:fldCharType="end"/>
      </w:r>
      <w:r w:rsidRPr="00733091">
        <w:rPr>
          <w:lang w:val="pl-PL"/>
        </w:rPr>
        <w:t xml:space="preserve">: </w:t>
      </w:r>
      <w:r w:rsidR="00EE6958" w:rsidRPr="00733091">
        <w:rPr>
          <w:lang w:val="pl-PL"/>
        </w:rPr>
        <w:t>Model kultury organizacyjnej Partnerstwa – stan obecny i pożądany</w:t>
      </w:r>
      <w:bookmarkEnd w:id="96"/>
    </w:p>
    <w:p w14:paraId="0D6EAF75" w14:textId="2599A7FD" w:rsidR="00CB6F84" w:rsidRDefault="00EE6958" w:rsidP="00CB6F84">
      <w:pPr>
        <w:pStyle w:val="podpiselementu"/>
        <w:spacing w:after="240"/>
        <w:rPr>
          <w:lang w:val="pl-PL"/>
        </w:rPr>
      </w:pPr>
      <w:r>
        <w:rPr>
          <w:noProof/>
        </w:rPr>
        <w:drawing>
          <wp:inline distT="0" distB="0" distL="0" distR="0" wp14:anchorId="61FE5B4B" wp14:editId="5477C1D1">
            <wp:extent cx="5753100" cy="2529840"/>
            <wp:effectExtent l="0" t="0" r="0" b="3810"/>
            <wp:docPr id="38" name="Wykres 38" descr="wykres radialny wskazujący na model kultury organizacyjnej Partnerstwa. Stan obecny zaznaczony jest kolorem niebieskim; pożądany – kolorem pomarańczowym">
              <a:extLst xmlns:a="http://schemas.openxmlformats.org/drawingml/2006/main">
                <a:ext uri="{FF2B5EF4-FFF2-40B4-BE49-F238E27FC236}">
                  <a16:creationId xmlns:a16="http://schemas.microsoft.com/office/drawing/2014/main" id="{828CD37D-D31A-46DD-BC72-BDF47D6A6EB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r w:rsidRPr="00733091">
        <w:rPr>
          <w:lang w:val="pl-PL"/>
        </w:rPr>
        <w:br/>
        <w:t>Źródło: opracowanie własne na podstawie kwestionariusza OCAI</w:t>
      </w:r>
    </w:p>
    <w:p w14:paraId="12CE6DC7" w14:textId="343DB58A" w:rsidR="00CB6F84" w:rsidRDefault="00CB6F84" w:rsidP="00CB6F84">
      <w:pPr>
        <w:rPr>
          <w:lang w:val="pl-PL"/>
        </w:rPr>
      </w:pPr>
      <w:r>
        <w:rPr>
          <w:noProof/>
          <w:lang w:val="pl-PL"/>
        </w:rPr>
        <w:lastRenderedPageBreak/>
        <mc:AlternateContent>
          <mc:Choice Requires="wps">
            <w:drawing>
              <wp:anchor distT="0" distB="0" distL="114300" distR="114300" simplePos="0" relativeHeight="251658268" behindDoc="0" locked="0" layoutInCell="1" allowOverlap="1" wp14:anchorId="3E6A3292" wp14:editId="294D59FA">
                <wp:simplePos x="0" y="0"/>
                <wp:positionH relativeFrom="column">
                  <wp:posOffset>356870</wp:posOffset>
                </wp:positionH>
                <wp:positionV relativeFrom="paragraph">
                  <wp:posOffset>-54610</wp:posOffset>
                </wp:positionV>
                <wp:extent cx="5295900" cy="3208020"/>
                <wp:effectExtent l="0" t="0" r="19050" b="11430"/>
                <wp:wrapNone/>
                <wp:docPr id="45" name="Pole tekstowe 45"/>
                <wp:cNvGraphicFramePr/>
                <a:graphic xmlns:a="http://schemas.openxmlformats.org/drawingml/2006/main">
                  <a:graphicData uri="http://schemas.microsoft.com/office/word/2010/wordprocessingShape">
                    <wps:wsp>
                      <wps:cNvSpPr txBox="1"/>
                      <wps:spPr>
                        <a:xfrm>
                          <a:off x="0" y="0"/>
                          <a:ext cx="5295900" cy="3208020"/>
                        </a:xfrm>
                        <a:prstGeom prst="rect">
                          <a:avLst/>
                        </a:prstGeom>
                        <a:solidFill>
                          <a:schemeClr val="accent1">
                            <a:lumMod val="20000"/>
                            <a:lumOff val="80000"/>
                          </a:schemeClr>
                        </a:solidFill>
                        <a:ln w="6350">
                          <a:solidFill>
                            <a:schemeClr val="accent1"/>
                          </a:solidFill>
                        </a:ln>
                      </wps:spPr>
                      <wps:txbx>
                        <w:txbxContent>
                          <w:p w14:paraId="20846D48" w14:textId="14323AB2" w:rsidR="00B14787" w:rsidRDefault="00B14787" w:rsidP="00CB6F84">
                            <w:pPr>
                              <w:pStyle w:val="Akapitzlist"/>
                              <w:numPr>
                                <w:ilvl w:val="0"/>
                                <w:numId w:val="0"/>
                              </w:numPr>
                              <w:ind w:left="142"/>
                              <w:rPr>
                                <w:lang w:val="pl-PL"/>
                              </w:rPr>
                            </w:pPr>
                            <w:r w:rsidRPr="00316957">
                              <w:rPr>
                                <w:lang w:val="pl-PL"/>
                              </w:rPr>
                              <w:t>P</w:t>
                            </w:r>
                            <w:r w:rsidRPr="00CB6F84">
                              <w:rPr>
                                <w:lang w:val="pl-PL"/>
                              </w:rPr>
                              <w:t>otencjał</w:t>
                            </w:r>
                            <w:r>
                              <w:rPr>
                                <w:lang w:val="pl-PL"/>
                              </w:rPr>
                              <w:t xml:space="preserve"> współpracy</w:t>
                            </w:r>
                            <w:r w:rsidRPr="00CB6F84">
                              <w:rPr>
                                <w:lang w:val="pl-PL"/>
                              </w:rPr>
                              <w:t xml:space="preserve"> będzie mógł być wykorzystany przez członków Partnerstwa przy podejmowaniu działa</w:t>
                            </w:r>
                            <w:r>
                              <w:rPr>
                                <w:lang w:val="pl-PL"/>
                              </w:rPr>
                              <w:t>ń</w:t>
                            </w:r>
                            <w:r w:rsidRPr="00CB6F84">
                              <w:rPr>
                                <w:lang w:val="pl-PL"/>
                              </w:rPr>
                              <w:t xml:space="preserve"> zależnych </w:t>
                            </w:r>
                            <w:r>
                              <w:rPr>
                                <w:lang w:val="pl-PL"/>
                              </w:rPr>
                              <w:t xml:space="preserve">od </w:t>
                            </w:r>
                            <w:r w:rsidRPr="00CB6F84">
                              <w:rPr>
                                <w:lang w:val="pl-PL"/>
                              </w:rPr>
                              <w:t>samorządów lokalnych w zakresie:</w:t>
                            </w:r>
                          </w:p>
                          <w:p w14:paraId="6617ECF3" w14:textId="1AFA7C3A" w:rsidR="00B14787" w:rsidRDefault="00B14787" w:rsidP="00B063F0">
                            <w:pPr>
                              <w:pStyle w:val="Akapitzlist"/>
                              <w:numPr>
                                <w:ilvl w:val="0"/>
                                <w:numId w:val="54"/>
                              </w:numPr>
                              <w:ind w:left="426" w:hanging="284"/>
                              <w:rPr>
                                <w:lang w:val="pl-PL"/>
                              </w:rPr>
                            </w:pPr>
                            <w:r>
                              <w:rPr>
                                <w:lang w:val="pl-PL"/>
                              </w:rPr>
                              <w:t>planowania przestrzennego na poziomie lokalnym i regionalnym (twierdzi tak 58,33%  liderów społeczności lokalnej),</w:t>
                            </w:r>
                          </w:p>
                          <w:p w14:paraId="7FDF01BA" w14:textId="167C70EC" w:rsidR="00B14787" w:rsidRDefault="00B14787" w:rsidP="00B063F0">
                            <w:pPr>
                              <w:pStyle w:val="Akapitzlist"/>
                              <w:numPr>
                                <w:ilvl w:val="0"/>
                                <w:numId w:val="54"/>
                              </w:numPr>
                              <w:ind w:left="426" w:hanging="284"/>
                              <w:rPr>
                                <w:lang w:val="pl-PL"/>
                              </w:rPr>
                            </w:pPr>
                            <w:r>
                              <w:rPr>
                                <w:lang w:val="pl-PL"/>
                              </w:rPr>
                              <w:t>wspierania przedsiębiorczości oraz konkurencyjności lokalnych firm (według 61,11% liderów społeczności lokalnej),</w:t>
                            </w:r>
                          </w:p>
                          <w:p w14:paraId="13F4FE44" w14:textId="29DC8CFD" w:rsidR="00B14787" w:rsidRPr="00316957" w:rsidRDefault="00B14787" w:rsidP="00B063F0">
                            <w:pPr>
                              <w:pStyle w:val="Akapitzlist"/>
                              <w:numPr>
                                <w:ilvl w:val="0"/>
                                <w:numId w:val="54"/>
                              </w:numPr>
                              <w:ind w:left="426" w:hanging="284"/>
                              <w:rPr>
                                <w:lang w:val="pl-PL"/>
                              </w:rPr>
                            </w:pPr>
                            <w:r>
                              <w:rPr>
                                <w:lang w:val="pl-PL"/>
                              </w:rPr>
                              <w:t>realizacji infrastruktury sportowo-rekreacyjnej i turystycznej (według 66,67% liderów społeczności lokalnej), drogowej (według 86,11% liderów społeczności lokalnej) oraz infrastruktury kultury (według 72,22% liderów społeczności lokalnej),</w:t>
                            </w:r>
                          </w:p>
                          <w:p w14:paraId="2BCD2476" w14:textId="0D198B2F" w:rsidR="00B14787" w:rsidRDefault="00B14787" w:rsidP="00B063F0">
                            <w:pPr>
                              <w:pStyle w:val="Akapitzlist"/>
                              <w:numPr>
                                <w:ilvl w:val="0"/>
                                <w:numId w:val="54"/>
                              </w:numPr>
                              <w:ind w:left="426" w:hanging="284"/>
                              <w:rPr>
                                <w:lang w:val="pl-PL"/>
                              </w:rPr>
                            </w:pPr>
                            <w:r>
                              <w:rPr>
                                <w:lang w:val="pl-PL"/>
                              </w:rPr>
                              <w:t>budowania sieci szkół i instytucji edukacyjnych (według 77,78% liderów społeczności lokalnej),</w:t>
                            </w:r>
                          </w:p>
                          <w:p w14:paraId="3B61091C" w14:textId="17819E8B" w:rsidR="00B14787" w:rsidRPr="00CB6F84" w:rsidRDefault="00B14787" w:rsidP="00B063F0">
                            <w:pPr>
                              <w:pStyle w:val="Akapitzlist"/>
                              <w:numPr>
                                <w:ilvl w:val="0"/>
                                <w:numId w:val="54"/>
                              </w:numPr>
                              <w:ind w:left="426" w:hanging="284"/>
                              <w:rPr>
                                <w:lang w:val="pl-PL"/>
                              </w:rPr>
                            </w:pPr>
                            <w:r>
                              <w:rPr>
                                <w:lang w:val="pl-PL"/>
                              </w:rPr>
                              <w:t>wspierania systemu opieki zdrowotnej (według 61,11% liderów społeczności lokalnej).</w:t>
                            </w:r>
                            <w:r w:rsidRPr="00CB6F84">
                              <w:rPr>
                                <w:lang w:val="pl-PL"/>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6A3292" id="Pole tekstowe 45" o:spid="_x0000_s1041" type="#_x0000_t202" style="position:absolute;left:0;text-align:left;margin-left:28.1pt;margin-top:-4.3pt;width:417pt;height:252.6pt;z-index:2516582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" fillcolor="#d9e2f3 [660]" strokecolor="#4472c4 [3204]" strokeweight=".5pt">
                <v:textbox>
                  <w:txbxContent>
                    <w:p w14:paraId="20846D48" w14:textId="14323AB2" w:rsidR="00B14787" w:rsidRDefault="00B14787" w:rsidP="00CB6F84">
                      <w:pPr>
                        <w:pStyle w:val="Akapitzlist"/>
                        <w:numPr>
                          <w:ilvl w:val="0"/>
                          <w:numId w:val="0"/>
                        </w:numPr>
                        <w:ind w:left="142"/>
                        <w:rPr>
                          <w:lang w:val="pl-PL"/>
                        </w:rPr>
                      </w:pPr>
                      <w:r w:rsidRPr="00316957">
                        <w:rPr>
                          <w:lang w:val="pl-PL"/>
                        </w:rPr>
                        <w:t>P</w:t>
                      </w:r>
                      <w:r w:rsidRPr="00CB6F84">
                        <w:rPr>
                          <w:lang w:val="pl-PL"/>
                        </w:rPr>
                        <w:t>otencjał</w:t>
                      </w:r>
                      <w:r>
                        <w:rPr>
                          <w:lang w:val="pl-PL"/>
                        </w:rPr>
                        <w:t xml:space="preserve"> współpracy</w:t>
                      </w:r>
                      <w:r w:rsidRPr="00CB6F84">
                        <w:rPr>
                          <w:lang w:val="pl-PL"/>
                        </w:rPr>
                        <w:t xml:space="preserve"> będzie mógł być wykorzystany przez członków Partnerstwa przy podejmowaniu działa</w:t>
                      </w:r>
                      <w:r>
                        <w:rPr>
                          <w:lang w:val="pl-PL"/>
                        </w:rPr>
                        <w:t>ń</w:t>
                      </w:r>
                      <w:r w:rsidRPr="00CB6F84">
                        <w:rPr>
                          <w:lang w:val="pl-PL"/>
                        </w:rPr>
                        <w:t xml:space="preserve"> zależnych </w:t>
                      </w:r>
                      <w:r>
                        <w:rPr>
                          <w:lang w:val="pl-PL"/>
                        </w:rPr>
                        <w:t xml:space="preserve">od </w:t>
                      </w:r>
                      <w:r w:rsidRPr="00CB6F84">
                        <w:rPr>
                          <w:lang w:val="pl-PL"/>
                        </w:rPr>
                        <w:t>samorządów lokalnych w zakresie:</w:t>
                      </w:r>
                    </w:p>
                    <w:p w14:paraId="6617ECF3" w14:textId="1AFA7C3A" w:rsidR="00B14787" w:rsidRDefault="00B14787" w:rsidP="00B063F0">
                      <w:pPr>
                        <w:pStyle w:val="Akapitzlist"/>
                        <w:numPr>
                          <w:ilvl w:val="0"/>
                          <w:numId w:val="54"/>
                        </w:numPr>
                        <w:ind w:left="426" w:hanging="284"/>
                        <w:rPr>
                          <w:lang w:val="pl-PL"/>
                        </w:rPr>
                      </w:pPr>
                      <w:r>
                        <w:rPr>
                          <w:lang w:val="pl-PL"/>
                        </w:rPr>
                        <w:t>planowania przestrzennego na poziomie lokalnym i regionalnym (twierdzi tak 58,33%  liderów społeczności lokalnej),</w:t>
                      </w:r>
                    </w:p>
                    <w:p w14:paraId="7FDF01BA" w14:textId="167C70EC" w:rsidR="00B14787" w:rsidRDefault="00B14787" w:rsidP="00B063F0">
                      <w:pPr>
                        <w:pStyle w:val="Akapitzlist"/>
                        <w:numPr>
                          <w:ilvl w:val="0"/>
                          <w:numId w:val="54"/>
                        </w:numPr>
                        <w:ind w:left="426" w:hanging="284"/>
                        <w:rPr>
                          <w:lang w:val="pl-PL"/>
                        </w:rPr>
                      </w:pPr>
                      <w:r>
                        <w:rPr>
                          <w:lang w:val="pl-PL"/>
                        </w:rPr>
                        <w:t>wspierania przedsiębiorczości oraz konkurencyjności lokalnych firm (według 61,11% liderów społeczności lokalnej),</w:t>
                      </w:r>
                    </w:p>
                    <w:p w14:paraId="13F4FE44" w14:textId="29DC8CFD" w:rsidR="00B14787" w:rsidRPr="00316957" w:rsidRDefault="00B14787" w:rsidP="00B063F0">
                      <w:pPr>
                        <w:pStyle w:val="Akapitzlist"/>
                        <w:numPr>
                          <w:ilvl w:val="0"/>
                          <w:numId w:val="54"/>
                        </w:numPr>
                        <w:ind w:left="426" w:hanging="284"/>
                        <w:rPr>
                          <w:lang w:val="pl-PL"/>
                        </w:rPr>
                      </w:pPr>
                      <w:r>
                        <w:rPr>
                          <w:lang w:val="pl-PL"/>
                        </w:rPr>
                        <w:t>realizacji infrastruktury sportowo-rekreacyjnej i turystycznej (według 66,67% liderów społeczności lokalnej), drogowej (według 86,11% liderów społeczności lokalnej) oraz infrastruktury kultury (według 72,22% liderów społeczności lokalnej),</w:t>
                      </w:r>
                    </w:p>
                    <w:p w14:paraId="2BCD2476" w14:textId="0D198B2F" w:rsidR="00B14787" w:rsidRDefault="00B14787" w:rsidP="00B063F0">
                      <w:pPr>
                        <w:pStyle w:val="Akapitzlist"/>
                        <w:numPr>
                          <w:ilvl w:val="0"/>
                          <w:numId w:val="54"/>
                        </w:numPr>
                        <w:ind w:left="426" w:hanging="284"/>
                        <w:rPr>
                          <w:lang w:val="pl-PL"/>
                        </w:rPr>
                      </w:pPr>
                      <w:r>
                        <w:rPr>
                          <w:lang w:val="pl-PL"/>
                        </w:rPr>
                        <w:t>budowania sieci szkół i instytucji edukacyjnych (według 77,78% liderów społeczności lokalnej),</w:t>
                      </w:r>
                    </w:p>
                    <w:p w14:paraId="3B61091C" w14:textId="17819E8B" w:rsidR="00B14787" w:rsidRPr="00CB6F84" w:rsidRDefault="00B14787" w:rsidP="00B063F0">
                      <w:pPr>
                        <w:pStyle w:val="Akapitzlist"/>
                        <w:numPr>
                          <w:ilvl w:val="0"/>
                          <w:numId w:val="54"/>
                        </w:numPr>
                        <w:ind w:left="426" w:hanging="284"/>
                        <w:rPr>
                          <w:lang w:val="pl-PL"/>
                        </w:rPr>
                      </w:pPr>
                      <w:r>
                        <w:rPr>
                          <w:lang w:val="pl-PL"/>
                        </w:rPr>
                        <w:t>wspierania systemu opieki zdrowotnej (według 61,11% liderów społeczności lokalnej).</w:t>
                      </w:r>
                      <w:r w:rsidRPr="00CB6F84">
                        <w:rPr>
                          <w:lang w:val="pl-PL"/>
                        </w:rPr>
                        <w:br/>
                      </w:r>
                    </w:p>
                  </w:txbxContent>
                </v:textbox>
              </v:shape>
            </w:pict>
          </mc:Fallback>
        </mc:AlternateContent>
      </w:r>
    </w:p>
    <w:p w14:paraId="05AA1711" w14:textId="320F5673" w:rsidR="00CB6F84" w:rsidRDefault="00CB6F84" w:rsidP="00CB6F84">
      <w:pPr>
        <w:rPr>
          <w:lang w:val="pl-PL"/>
        </w:rPr>
      </w:pPr>
    </w:p>
    <w:p w14:paraId="117449E1" w14:textId="3542F6E2" w:rsidR="00CB6F84" w:rsidRDefault="00CB6F84" w:rsidP="00CB6F84">
      <w:pPr>
        <w:rPr>
          <w:lang w:val="pl-PL"/>
        </w:rPr>
      </w:pPr>
    </w:p>
    <w:p w14:paraId="65061424" w14:textId="353F9354" w:rsidR="00CB6F84" w:rsidRDefault="00CB6F84" w:rsidP="00CB6F84">
      <w:pPr>
        <w:rPr>
          <w:lang w:val="pl-PL"/>
        </w:rPr>
      </w:pPr>
    </w:p>
    <w:p w14:paraId="6303C6B8" w14:textId="22EB6C71" w:rsidR="00CB6F84" w:rsidRDefault="00CB6F84" w:rsidP="00CB6F84">
      <w:pPr>
        <w:rPr>
          <w:lang w:val="pl-PL"/>
        </w:rPr>
      </w:pPr>
    </w:p>
    <w:p w14:paraId="3CABFE99" w14:textId="2D52FB5D" w:rsidR="00CB6F84" w:rsidRDefault="00CB6F84" w:rsidP="00CB6F84">
      <w:pPr>
        <w:rPr>
          <w:lang w:val="pl-PL"/>
        </w:rPr>
      </w:pPr>
    </w:p>
    <w:p w14:paraId="6381F912" w14:textId="0C3D2306" w:rsidR="00CB6F84" w:rsidRDefault="00CB6F84" w:rsidP="00CB6F84">
      <w:pPr>
        <w:rPr>
          <w:lang w:val="pl-PL"/>
        </w:rPr>
      </w:pPr>
    </w:p>
    <w:p w14:paraId="20755DD8" w14:textId="6094AEAE" w:rsidR="00CB6F84" w:rsidRDefault="00CB6F84" w:rsidP="00CB6F84">
      <w:pPr>
        <w:rPr>
          <w:lang w:val="pl-PL"/>
        </w:rPr>
      </w:pPr>
    </w:p>
    <w:p w14:paraId="59B820C0" w14:textId="5AAC3EDD" w:rsidR="00CB6F84" w:rsidRPr="009B403E" w:rsidRDefault="00CB6F84" w:rsidP="00316957">
      <w:pPr>
        <w:ind w:left="0"/>
        <w:rPr>
          <w:lang w:val="pl-PL"/>
        </w:rPr>
      </w:pPr>
    </w:p>
    <w:p w14:paraId="7B90BB35" w14:textId="4F69159B" w:rsidR="001E162D" w:rsidRPr="00690E7F" w:rsidRDefault="0066264B" w:rsidP="00733091">
      <w:pPr>
        <w:pStyle w:val="Nagwek3"/>
        <w:spacing w:after="240"/>
        <w:rPr>
          <w:lang w:val="en-US"/>
        </w:rPr>
      </w:pPr>
      <w:bookmarkStart w:id="97" w:name="_Toc69725441"/>
      <w:r w:rsidRPr="0066264B">
        <w:rPr>
          <w:lang w:val="en-US"/>
        </w:rPr>
        <w:t>Podsumowani</w:t>
      </w:r>
      <w:r>
        <w:rPr>
          <w:lang w:val="en-US"/>
        </w:rPr>
        <w:t>e</w:t>
      </w:r>
      <w:bookmarkEnd w:id="97"/>
    </w:p>
    <w:p w14:paraId="3A2920B1" w14:textId="1B937059" w:rsidR="00CC33B5" w:rsidRPr="00733091" w:rsidRDefault="00CC33B5" w:rsidP="00C177E4">
      <w:pPr>
        <w:rPr>
          <w:lang w:val="pl-PL" w:eastAsia="pl-PL"/>
        </w:rPr>
      </w:pPr>
      <w:r w:rsidRPr="00733091">
        <w:rPr>
          <w:lang w:val="pl-PL" w:eastAsia="pl-PL"/>
        </w:rPr>
        <w:t>Analiza poszczególnych obszarów, tworzących wymiar społeczny wykazała istnienie zestawionych w tabeli poniżej zjawisk, potencjałów, mocnych stron i deficytów Południowych Mazur.</w:t>
      </w:r>
      <w:r w:rsidR="00C177E4">
        <w:rPr>
          <w:lang w:val="pl-PL" w:eastAsia="pl-PL"/>
        </w:rPr>
        <w:br/>
      </w:r>
      <w:r w:rsidRPr="00733091">
        <w:rPr>
          <w:lang w:val="pl-PL" w:eastAsia="pl-PL"/>
        </w:rPr>
        <w:t>Wyniki analizy w obszarze instytucjonalnym wyróżniono w tabeli kolorem niebieskim.</w:t>
      </w:r>
    </w:p>
    <w:p w14:paraId="0087B197" w14:textId="28859A86" w:rsidR="00BD3D54" w:rsidRDefault="00CC33B5" w:rsidP="002E24A9">
      <w:pPr>
        <w:pStyle w:val="Legenda"/>
      </w:pPr>
      <w:bookmarkStart w:id="98" w:name="_Toc69723263"/>
      <w:r>
        <w:t>Tabela</w:t>
      </w:r>
      <w:r w:rsidRPr="00D22080">
        <w:t xml:space="preserve"> </w:t>
      </w:r>
      <w:r w:rsidR="00733091">
        <w:fldChar w:fldCharType="begin"/>
      </w:r>
      <w:r w:rsidR="00733091">
        <w:instrText xml:space="preserve"> SEQ Tabela \* ARABIC </w:instrText>
      </w:r>
      <w:r w:rsidR="00733091">
        <w:fldChar w:fldCharType="separate"/>
      </w:r>
      <w:r w:rsidR="00B14787">
        <w:rPr>
          <w:noProof/>
        </w:rPr>
        <w:t>14</w:t>
      </w:r>
      <w:r w:rsidR="00733091">
        <w:rPr>
          <w:noProof/>
        </w:rPr>
        <w:fldChar w:fldCharType="end"/>
      </w:r>
      <w:r w:rsidRPr="00D22080">
        <w:t xml:space="preserve">: </w:t>
      </w:r>
      <w:r>
        <w:t>Podsumowanie diagnozy - wymiar</w:t>
      </w:r>
      <w:r w:rsidRPr="00D22080">
        <w:t xml:space="preserve"> społeczny</w:t>
      </w:r>
      <w:bookmarkEnd w:id="98"/>
    </w:p>
    <w:tbl>
      <w:tblPr>
        <w:tblStyle w:val="CWD"/>
        <w:tblW w:w="9209" w:type="dxa"/>
        <w:tblLook w:val="04A0" w:firstRow="1" w:lastRow="0" w:firstColumn="1" w:lastColumn="0" w:noHBand="0" w:noVBand="1"/>
      </w:tblPr>
      <w:tblGrid>
        <w:gridCol w:w="2547"/>
        <w:gridCol w:w="6662"/>
      </w:tblGrid>
      <w:tr w:rsidR="004E50FF" w14:paraId="4A8978F7" w14:textId="77777777" w:rsidTr="0053183F">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547" w:type="dxa"/>
          </w:tcPr>
          <w:p w14:paraId="36F042E8" w14:textId="04940DFF" w:rsidR="004E50FF" w:rsidRDefault="004E50FF" w:rsidP="004E50FF">
            <w:pPr>
              <w:ind w:left="0"/>
            </w:pPr>
            <w:r w:rsidRPr="003E4F22">
              <w:t>Obszar analizy</w:t>
            </w:r>
          </w:p>
        </w:tc>
        <w:tc>
          <w:tcPr>
            <w:tcW w:w="6662" w:type="dxa"/>
          </w:tcPr>
          <w:p w14:paraId="3A437FC5" w14:textId="3EE997CC" w:rsidR="004E50FF" w:rsidRDefault="004E50FF" w:rsidP="004E50FF">
            <w:pPr>
              <w:ind w:left="0"/>
              <w:cnfStyle w:val="100000000000" w:firstRow="1" w:lastRow="0" w:firstColumn="0" w:lastColumn="0" w:oddVBand="0" w:evenVBand="0" w:oddHBand="0" w:evenHBand="0" w:firstRowFirstColumn="0" w:firstRowLastColumn="0" w:lastRowFirstColumn="0" w:lastRowLastColumn="0"/>
            </w:pPr>
            <w:r w:rsidRPr="003E4F22">
              <w:t xml:space="preserve">Zjawiska </w:t>
            </w:r>
          </w:p>
        </w:tc>
      </w:tr>
      <w:tr w:rsidR="004E50FF" w:rsidRPr="0053183F" w14:paraId="74E68E14" w14:textId="77777777" w:rsidTr="0053183F">
        <w:tc>
          <w:tcPr>
            <w:cnfStyle w:val="001000000000" w:firstRow="0" w:lastRow="0" w:firstColumn="1" w:lastColumn="0" w:oddVBand="0" w:evenVBand="0" w:oddHBand="0" w:evenHBand="0" w:firstRowFirstColumn="0" w:firstRowLastColumn="0" w:lastRowFirstColumn="0" w:lastRowLastColumn="0"/>
            <w:tcW w:w="2547" w:type="dxa"/>
          </w:tcPr>
          <w:p w14:paraId="16F271C0" w14:textId="5C71C73C" w:rsidR="004E50FF" w:rsidRDefault="004E50FF" w:rsidP="004E50FF">
            <w:pPr>
              <w:ind w:left="0"/>
            </w:pPr>
            <w:r w:rsidRPr="00DC1E8B">
              <w:t>Demografia</w:t>
            </w:r>
          </w:p>
        </w:tc>
        <w:tc>
          <w:tcPr>
            <w:tcW w:w="6662" w:type="dxa"/>
          </w:tcPr>
          <w:p w14:paraId="401C2BD6" w14:textId="11534386" w:rsidR="004E50FF" w:rsidRPr="005118ED" w:rsidRDefault="004E50FF" w:rsidP="00B063F0">
            <w:pPr>
              <w:pStyle w:val="elementgraficznytabela"/>
              <w:numPr>
                <w:ilvl w:val="0"/>
                <w:numId w:val="26"/>
              </w:numPr>
              <w:spacing w:after="240"/>
              <w:contextualSpacing/>
              <w:cnfStyle w:val="000000000000" w:firstRow="0" w:lastRow="0" w:firstColumn="0" w:lastColumn="0" w:oddVBand="0" w:evenVBand="0" w:oddHBand="0" w:evenHBand="0" w:firstRowFirstColumn="0" w:firstRowLastColumn="0" w:lastRowFirstColumn="0" w:lastRowLastColumn="0"/>
            </w:pPr>
            <w:r w:rsidRPr="005118ED">
              <w:t xml:space="preserve">Spadek liczby mieszkańców </w:t>
            </w:r>
            <w:r>
              <w:t xml:space="preserve">o większym natężeniu niż </w:t>
            </w:r>
            <w:r w:rsidR="006E1AF6">
              <w:br/>
            </w:r>
            <w:r>
              <w:t>w regionie, w tym mieszkańców w wieku produkcyjnym mobilnym i w wieku 29-34 lata</w:t>
            </w:r>
          </w:p>
          <w:p w14:paraId="13CA8CD5" w14:textId="77777777" w:rsidR="004E50FF" w:rsidRPr="001F5C3A" w:rsidRDefault="004E50FF" w:rsidP="00B063F0">
            <w:pPr>
              <w:pStyle w:val="elementgraficznytabela"/>
              <w:numPr>
                <w:ilvl w:val="0"/>
                <w:numId w:val="26"/>
              </w:numPr>
              <w:spacing w:after="240"/>
              <w:contextualSpacing/>
              <w:cnfStyle w:val="000000000000" w:firstRow="0" w:lastRow="0" w:firstColumn="0" w:lastColumn="0" w:oddVBand="0" w:evenVBand="0" w:oddHBand="0" w:evenHBand="0" w:firstRowFirstColumn="0" w:firstRowLastColumn="0" w:lastRowFirstColumn="0" w:lastRowLastColumn="0"/>
            </w:pPr>
            <w:r w:rsidRPr="001F5C3A">
              <w:t>Niekorzystana struktura wiekowa mieszkańców</w:t>
            </w:r>
          </w:p>
          <w:p w14:paraId="5C8983EB" w14:textId="77777777" w:rsidR="004E50FF" w:rsidRDefault="004E50FF" w:rsidP="00B063F0">
            <w:pPr>
              <w:pStyle w:val="elementgraficznytabela"/>
              <w:numPr>
                <w:ilvl w:val="0"/>
                <w:numId w:val="26"/>
              </w:numPr>
              <w:spacing w:after="240"/>
              <w:contextualSpacing/>
              <w:cnfStyle w:val="000000000000" w:firstRow="0" w:lastRow="0" w:firstColumn="0" w:lastColumn="0" w:oddVBand="0" w:evenVBand="0" w:oddHBand="0" w:evenHBand="0" w:firstRowFirstColumn="0" w:firstRowLastColumn="0" w:lastRowFirstColumn="0" w:lastRowLastColumn="0"/>
            </w:pPr>
            <w:r w:rsidRPr="001F5C3A">
              <w:t>Starzenie się społeczeństwa</w:t>
            </w:r>
          </w:p>
          <w:p w14:paraId="2D806F2C" w14:textId="425221EE" w:rsidR="0053183F" w:rsidRDefault="004E50FF" w:rsidP="00B063F0">
            <w:pPr>
              <w:pStyle w:val="elementgraficznytabela"/>
              <w:numPr>
                <w:ilvl w:val="0"/>
                <w:numId w:val="26"/>
              </w:numPr>
              <w:spacing w:after="240"/>
              <w:contextualSpacing/>
              <w:cnfStyle w:val="000000000000" w:firstRow="0" w:lastRow="0" w:firstColumn="0" w:lastColumn="0" w:oddVBand="0" w:evenVBand="0" w:oddHBand="0" w:evenHBand="0" w:firstRowFirstColumn="0" w:firstRowLastColumn="0" w:lastRowFirstColumn="0" w:lastRowLastColumn="0"/>
            </w:pPr>
            <w:r>
              <w:t xml:space="preserve">Ujemne saldo migracji, </w:t>
            </w:r>
            <w:r w:rsidR="006E1AF6">
              <w:br/>
            </w:r>
            <w:r>
              <w:t>szczególnie ludzi młodych w wieku 15-34 lata</w:t>
            </w:r>
          </w:p>
          <w:p w14:paraId="6E029A4E" w14:textId="64084D0A" w:rsidR="004E50FF" w:rsidRDefault="004E50FF" w:rsidP="00B063F0">
            <w:pPr>
              <w:pStyle w:val="elementgraficznytabela"/>
              <w:numPr>
                <w:ilvl w:val="0"/>
                <w:numId w:val="26"/>
              </w:numPr>
              <w:spacing w:after="240"/>
              <w:contextualSpacing/>
              <w:cnfStyle w:val="000000000000" w:firstRow="0" w:lastRow="0" w:firstColumn="0" w:lastColumn="0" w:oddVBand="0" w:evenVBand="0" w:oddHBand="0" w:evenHBand="0" w:firstRowFirstColumn="0" w:firstRowLastColumn="0" w:lastRowFirstColumn="0" w:lastRowLastColumn="0"/>
            </w:pPr>
            <w:r>
              <w:t>Ujemny przyrost naturalny</w:t>
            </w:r>
          </w:p>
        </w:tc>
      </w:tr>
      <w:tr w:rsidR="004E50FF" w:rsidRPr="00176303" w14:paraId="15966498" w14:textId="77777777" w:rsidTr="0053183F">
        <w:tc>
          <w:tcPr>
            <w:cnfStyle w:val="001000000000" w:firstRow="0" w:lastRow="0" w:firstColumn="1" w:lastColumn="0" w:oddVBand="0" w:evenVBand="0" w:oddHBand="0" w:evenHBand="0" w:firstRowFirstColumn="0" w:firstRowLastColumn="0" w:lastRowFirstColumn="0" w:lastRowLastColumn="0"/>
            <w:tcW w:w="2547" w:type="dxa"/>
          </w:tcPr>
          <w:p w14:paraId="4BE59D43" w14:textId="13F5232A" w:rsidR="004E50FF" w:rsidRPr="004E50FF" w:rsidRDefault="004E50FF" w:rsidP="004E50FF">
            <w:pPr>
              <w:ind w:left="0"/>
              <w:rPr>
                <w:lang w:val="pl-PL"/>
              </w:rPr>
            </w:pPr>
            <w:r w:rsidRPr="004E50FF">
              <w:rPr>
                <w:lang w:val="pl-PL"/>
              </w:rPr>
              <w:lastRenderedPageBreak/>
              <w:t>Dostępność i jakość usług i infrastruktury</w:t>
            </w:r>
          </w:p>
        </w:tc>
        <w:tc>
          <w:tcPr>
            <w:tcW w:w="6662" w:type="dxa"/>
          </w:tcPr>
          <w:p w14:paraId="226AA26A" w14:textId="77777777" w:rsidR="004E50FF" w:rsidRDefault="004E50FF" w:rsidP="00B063F0">
            <w:pPr>
              <w:pStyle w:val="elementgraficznytabela"/>
              <w:numPr>
                <w:ilvl w:val="0"/>
                <w:numId w:val="27"/>
              </w:numPr>
              <w:spacing w:after="240"/>
              <w:contextualSpacing/>
              <w:cnfStyle w:val="000000000000" w:firstRow="0" w:lastRow="0" w:firstColumn="0" w:lastColumn="0" w:oddVBand="0" w:evenVBand="0" w:oddHBand="0" w:evenHBand="0" w:firstRowFirstColumn="0" w:firstRowLastColumn="0" w:lastRowFirstColumn="0" w:lastRowLastColumn="0"/>
            </w:pPr>
            <w:r>
              <w:t>Zwiększająca się liczba osób podejmujących aktywność fizyczną</w:t>
            </w:r>
          </w:p>
          <w:p w14:paraId="6FE58423" w14:textId="77777777" w:rsidR="004E50FF" w:rsidRDefault="004E50FF" w:rsidP="00B063F0">
            <w:pPr>
              <w:pStyle w:val="elementgraficznytabela"/>
              <w:numPr>
                <w:ilvl w:val="0"/>
                <w:numId w:val="27"/>
              </w:numPr>
              <w:spacing w:after="240"/>
              <w:contextualSpacing/>
              <w:cnfStyle w:val="000000000000" w:firstRow="0" w:lastRow="0" w:firstColumn="0" w:lastColumn="0" w:oddVBand="0" w:evenVBand="0" w:oddHBand="0" w:evenHBand="0" w:firstRowFirstColumn="0" w:firstRowLastColumn="0" w:lastRowFirstColumn="0" w:lastRowLastColumn="0"/>
            </w:pPr>
            <w:r>
              <w:t>Rozwój infrastruktury wypoczynowo-rekreacyjnej</w:t>
            </w:r>
          </w:p>
          <w:p w14:paraId="530B256E" w14:textId="77777777" w:rsidR="004E50FF" w:rsidRDefault="004E50FF" w:rsidP="00B063F0">
            <w:pPr>
              <w:pStyle w:val="elementgraficznytabela"/>
              <w:numPr>
                <w:ilvl w:val="0"/>
                <w:numId w:val="27"/>
              </w:numPr>
              <w:spacing w:after="240"/>
              <w:contextualSpacing/>
              <w:cnfStyle w:val="000000000000" w:firstRow="0" w:lastRow="0" w:firstColumn="0" w:lastColumn="0" w:oddVBand="0" w:evenVBand="0" w:oddHBand="0" w:evenHBand="0" w:firstRowFirstColumn="0" w:firstRowLastColumn="0" w:lastRowFirstColumn="0" w:lastRowLastColumn="0"/>
            </w:pPr>
            <w:r>
              <w:t>Brak instytucji i oferty kultury wysokiej</w:t>
            </w:r>
          </w:p>
          <w:p w14:paraId="6DA7CA65" w14:textId="77777777" w:rsidR="004E50FF" w:rsidRDefault="004E50FF" w:rsidP="00B063F0">
            <w:pPr>
              <w:pStyle w:val="elementgraficznytabela"/>
              <w:numPr>
                <w:ilvl w:val="0"/>
                <w:numId w:val="27"/>
              </w:numPr>
              <w:spacing w:after="240"/>
              <w:contextualSpacing/>
              <w:cnfStyle w:val="000000000000" w:firstRow="0" w:lastRow="0" w:firstColumn="0" w:lastColumn="0" w:oddVBand="0" w:evenVBand="0" w:oddHBand="0" w:evenHBand="0" w:firstRowFirstColumn="0" w:firstRowLastColumn="0" w:lastRowFirstColumn="0" w:lastRowLastColumn="0"/>
            </w:pPr>
            <w:r>
              <w:t>Niska dostępność do usług wychowawczych (przedszkola)</w:t>
            </w:r>
          </w:p>
          <w:p w14:paraId="590C71F0" w14:textId="77777777" w:rsidR="004E50FF" w:rsidRDefault="004E50FF" w:rsidP="00B063F0">
            <w:pPr>
              <w:pStyle w:val="elementgraficznytabela"/>
              <w:numPr>
                <w:ilvl w:val="0"/>
                <w:numId w:val="27"/>
              </w:numPr>
              <w:spacing w:after="240"/>
              <w:contextualSpacing/>
              <w:cnfStyle w:val="000000000000" w:firstRow="0" w:lastRow="0" w:firstColumn="0" w:lastColumn="0" w:oddVBand="0" w:evenVBand="0" w:oddHBand="0" w:evenHBand="0" w:firstRowFirstColumn="0" w:firstRowLastColumn="0" w:lastRowFirstColumn="0" w:lastRowLastColumn="0"/>
            </w:pPr>
            <w:r>
              <w:t>Dobra dostępność do usług edukacyjnych (szkoły podstawowe i ponadpodstawowe)</w:t>
            </w:r>
          </w:p>
          <w:p w14:paraId="4D7BD7BB" w14:textId="77777777" w:rsidR="004E50FF" w:rsidRDefault="004E50FF" w:rsidP="00B063F0">
            <w:pPr>
              <w:pStyle w:val="elementgraficznytabela"/>
              <w:numPr>
                <w:ilvl w:val="0"/>
                <w:numId w:val="27"/>
              </w:numPr>
              <w:spacing w:after="240"/>
              <w:contextualSpacing/>
              <w:cnfStyle w:val="000000000000" w:firstRow="0" w:lastRow="0" w:firstColumn="0" w:lastColumn="0" w:oddVBand="0" w:evenVBand="0" w:oddHBand="0" w:evenHBand="0" w:firstRowFirstColumn="0" w:firstRowLastColumn="0" w:lastRowFirstColumn="0" w:lastRowLastColumn="0"/>
            </w:pPr>
            <w:r>
              <w:t>Niski współczynnik skolaryzacji</w:t>
            </w:r>
          </w:p>
          <w:p w14:paraId="42CEE0E4" w14:textId="1A21AFDA" w:rsidR="004E50FF" w:rsidRPr="0053183F" w:rsidRDefault="004E50FF" w:rsidP="00B063F0">
            <w:pPr>
              <w:pStyle w:val="elementgraficznytabela"/>
              <w:numPr>
                <w:ilvl w:val="0"/>
                <w:numId w:val="27"/>
              </w:numPr>
              <w:spacing w:after="240"/>
              <w:contextualSpacing/>
              <w:cnfStyle w:val="000000000000" w:firstRow="0" w:lastRow="0" w:firstColumn="0" w:lastColumn="0" w:oddVBand="0" w:evenVBand="0" w:oddHBand="0" w:evenHBand="0" w:firstRowFirstColumn="0" w:firstRowLastColumn="0" w:lastRowFirstColumn="0" w:lastRowLastColumn="0"/>
            </w:pPr>
            <w:r>
              <w:t>Niski poziom nauczania w szkołach podstawowych i ponadpodstawowych</w:t>
            </w:r>
          </w:p>
        </w:tc>
      </w:tr>
      <w:tr w:rsidR="004E50FF" w14:paraId="3A677ABD" w14:textId="77777777" w:rsidTr="0053183F">
        <w:tc>
          <w:tcPr>
            <w:cnfStyle w:val="001000000000" w:firstRow="0" w:lastRow="0" w:firstColumn="1" w:lastColumn="0" w:oddVBand="0" w:evenVBand="0" w:oddHBand="0" w:evenHBand="0" w:firstRowFirstColumn="0" w:firstRowLastColumn="0" w:lastRowFirstColumn="0" w:lastRowLastColumn="0"/>
            <w:tcW w:w="2547" w:type="dxa"/>
          </w:tcPr>
          <w:p w14:paraId="459DE5EC" w14:textId="3E52B7FB" w:rsidR="004E50FF" w:rsidRPr="004E50FF" w:rsidRDefault="004E50FF" w:rsidP="004E50FF">
            <w:pPr>
              <w:ind w:left="0"/>
              <w:rPr>
                <w:lang w:val="pl-PL"/>
              </w:rPr>
            </w:pPr>
            <w:r w:rsidRPr="004E50FF">
              <w:rPr>
                <w:lang w:val="pl-PL"/>
              </w:rPr>
              <w:t>Dostępność i jakość zasobów mieszkaniowych</w:t>
            </w:r>
          </w:p>
        </w:tc>
        <w:tc>
          <w:tcPr>
            <w:tcW w:w="6662" w:type="dxa"/>
          </w:tcPr>
          <w:p w14:paraId="57141331" w14:textId="77777777" w:rsidR="004E50FF" w:rsidRDefault="004E50FF" w:rsidP="00B063F0">
            <w:pPr>
              <w:pStyle w:val="elementgraficznytabela"/>
              <w:numPr>
                <w:ilvl w:val="0"/>
                <w:numId w:val="27"/>
              </w:numPr>
              <w:spacing w:after="240"/>
              <w:contextualSpacing/>
              <w:cnfStyle w:val="000000000000" w:firstRow="0" w:lastRow="0" w:firstColumn="0" w:lastColumn="0" w:oddVBand="0" w:evenVBand="0" w:oddHBand="0" w:evenHBand="0" w:firstRowFirstColumn="0" w:firstRowLastColumn="0" w:lastRowFirstColumn="0" w:lastRowLastColumn="0"/>
            </w:pPr>
            <w:r>
              <w:t>Wysoka jakość zasobów mieszkaniowych</w:t>
            </w:r>
          </w:p>
          <w:p w14:paraId="558A6C3E" w14:textId="63DA573B" w:rsidR="006E1AF6" w:rsidRPr="006E1AF6" w:rsidRDefault="004E50FF" w:rsidP="00B063F0">
            <w:pPr>
              <w:pStyle w:val="elementgraficznytabela"/>
              <w:numPr>
                <w:ilvl w:val="0"/>
                <w:numId w:val="27"/>
              </w:numPr>
              <w:spacing w:after="240"/>
              <w:contextualSpacing/>
              <w:cnfStyle w:val="000000000000" w:firstRow="0" w:lastRow="0" w:firstColumn="0" w:lastColumn="0" w:oddVBand="0" w:evenVBand="0" w:oddHBand="0" w:evenHBand="0" w:firstRowFirstColumn="0" w:firstRowLastColumn="0" w:lastRowFirstColumn="0" w:lastRowLastColumn="0"/>
            </w:pPr>
            <w:r>
              <w:t>Niska atrakcyjność mieszkaniowa obszaru</w:t>
            </w:r>
          </w:p>
        </w:tc>
      </w:tr>
      <w:tr w:rsidR="004E50FF" w14:paraId="0F100CCB" w14:textId="77777777" w:rsidTr="0053183F">
        <w:tc>
          <w:tcPr>
            <w:cnfStyle w:val="001000000000" w:firstRow="0" w:lastRow="0" w:firstColumn="1" w:lastColumn="0" w:oddVBand="0" w:evenVBand="0" w:oddHBand="0" w:evenHBand="0" w:firstRowFirstColumn="0" w:firstRowLastColumn="0" w:lastRowFirstColumn="0" w:lastRowLastColumn="0"/>
            <w:tcW w:w="2547" w:type="dxa"/>
          </w:tcPr>
          <w:p w14:paraId="2EDC73F0" w14:textId="0668FB18" w:rsidR="004E50FF" w:rsidRDefault="004E50FF" w:rsidP="004E50FF">
            <w:pPr>
              <w:ind w:left="0"/>
            </w:pPr>
            <w:r>
              <w:t>Bezpieczeństwo mieszkańców</w:t>
            </w:r>
          </w:p>
        </w:tc>
        <w:tc>
          <w:tcPr>
            <w:tcW w:w="6662" w:type="dxa"/>
          </w:tcPr>
          <w:p w14:paraId="7E49B157" w14:textId="77777777" w:rsidR="004E50FF" w:rsidRPr="000F5251" w:rsidRDefault="004E50FF" w:rsidP="00B063F0">
            <w:pPr>
              <w:pStyle w:val="elementgraficznytabela"/>
              <w:numPr>
                <w:ilvl w:val="0"/>
                <w:numId w:val="27"/>
              </w:numPr>
              <w:spacing w:after="240"/>
              <w:contextualSpacing/>
              <w:cnfStyle w:val="000000000000" w:firstRow="0" w:lastRow="0" w:firstColumn="0" w:lastColumn="0" w:oddVBand="0" w:evenVBand="0" w:oddHBand="0" w:evenHBand="0" w:firstRowFirstColumn="0" w:firstRowLastColumn="0" w:lastRowFirstColumn="0" w:lastRowLastColumn="0"/>
            </w:pPr>
            <w:r>
              <w:t>Stosunkowo niski</w:t>
            </w:r>
            <w:r w:rsidRPr="000F5251">
              <w:t xml:space="preserve"> poziom przestępczości i wysoki poziom  wykrywalności </w:t>
            </w:r>
            <w:r>
              <w:t>przestępstw</w:t>
            </w:r>
          </w:p>
          <w:p w14:paraId="6C255A1A" w14:textId="77777777" w:rsidR="004E50FF" w:rsidRDefault="004E50FF" w:rsidP="00B063F0">
            <w:pPr>
              <w:pStyle w:val="elementgraficznytabela"/>
              <w:numPr>
                <w:ilvl w:val="0"/>
                <w:numId w:val="27"/>
              </w:numPr>
              <w:spacing w:after="240"/>
              <w:contextualSpacing/>
              <w:cnfStyle w:val="000000000000" w:firstRow="0" w:lastRow="0" w:firstColumn="0" w:lastColumn="0" w:oddVBand="0" w:evenVBand="0" w:oddHBand="0" w:evenHBand="0" w:firstRowFirstColumn="0" w:firstRowLastColumn="0" w:lastRowFirstColumn="0" w:lastRowLastColumn="0"/>
            </w:pPr>
            <w:r>
              <w:t>Niska, ale wzrastająca dostępność do podstawowych usług zdrowotnych</w:t>
            </w:r>
          </w:p>
          <w:p w14:paraId="6FFE8F41" w14:textId="77777777" w:rsidR="004E50FF" w:rsidRDefault="004E50FF" w:rsidP="00B063F0">
            <w:pPr>
              <w:pStyle w:val="elementgraficznytabela"/>
              <w:numPr>
                <w:ilvl w:val="0"/>
                <w:numId w:val="27"/>
              </w:numPr>
              <w:spacing w:after="240"/>
              <w:contextualSpacing/>
              <w:cnfStyle w:val="000000000000" w:firstRow="0" w:lastRow="0" w:firstColumn="0" w:lastColumn="0" w:oddVBand="0" w:evenVBand="0" w:oddHBand="0" w:evenHBand="0" w:firstRowFirstColumn="0" w:firstRowLastColumn="0" w:lastRowFirstColumn="0" w:lastRowLastColumn="0"/>
            </w:pPr>
            <w:r>
              <w:t>Niska dostępność specjalistycznych i wysokospecjalistycznych usług zdrowotnych</w:t>
            </w:r>
          </w:p>
          <w:p w14:paraId="0DFF1B0D" w14:textId="77777777" w:rsidR="0053183F" w:rsidRDefault="004E50FF" w:rsidP="00B063F0">
            <w:pPr>
              <w:pStyle w:val="elementgraficznytabela"/>
              <w:numPr>
                <w:ilvl w:val="0"/>
                <w:numId w:val="27"/>
              </w:numPr>
              <w:spacing w:after="240"/>
              <w:contextualSpacing/>
              <w:cnfStyle w:val="000000000000" w:firstRow="0" w:lastRow="0" w:firstColumn="0" w:lastColumn="0" w:oddVBand="0" w:evenVBand="0" w:oddHBand="0" w:evenHBand="0" w:firstRowFirstColumn="0" w:firstRowLastColumn="0" w:lastRowFirstColumn="0" w:lastRowLastColumn="0"/>
            </w:pPr>
            <w:r>
              <w:t>Zmniejszające się wydatki JST na ochronę zdrowia</w:t>
            </w:r>
          </w:p>
          <w:p w14:paraId="5A587868" w14:textId="1782BFA7" w:rsidR="004E50FF" w:rsidRDefault="004E50FF" w:rsidP="00B063F0">
            <w:pPr>
              <w:pStyle w:val="elementgraficznytabela"/>
              <w:numPr>
                <w:ilvl w:val="0"/>
                <w:numId w:val="27"/>
              </w:numPr>
              <w:spacing w:after="240"/>
              <w:contextualSpacing/>
              <w:cnfStyle w:val="000000000000" w:firstRow="0" w:lastRow="0" w:firstColumn="0" w:lastColumn="0" w:oddVBand="0" w:evenVBand="0" w:oddHBand="0" w:evenHBand="0" w:firstRowFirstColumn="0" w:firstRowLastColumn="0" w:lastRowFirstColumn="0" w:lastRowLastColumn="0"/>
            </w:pPr>
            <w:r>
              <w:t>Niedoinwestowanie szpitali powiatowych</w:t>
            </w:r>
          </w:p>
        </w:tc>
      </w:tr>
      <w:tr w:rsidR="004E50FF" w:rsidRPr="00176303" w14:paraId="73425526" w14:textId="77777777" w:rsidTr="0053183F">
        <w:tc>
          <w:tcPr>
            <w:cnfStyle w:val="001000000000" w:firstRow="0" w:lastRow="0" w:firstColumn="1" w:lastColumn="0" w:oddVBand="0" w:evenVBand="0" w:oddHBand="0" w:evenHBand="0" w:firstRowFirstColumn="0" w:firstRowLastColumn="0" w:lastRowFirstColumn="0" w:lastRowLastColumn="0"/>
            <w:tcW w:w="2547" w:type="dxa"/>
            <w:vMerge w:val="restart"/>
          </w:tcPr>
          <w:p w14:paraId="36BB98BD" w14:textId="04757235" w:rsidR="004E50FF" w:rsidRPr="004E50FF" w:rsidRDefault="004E50FF" w:rsidP="004E50FF">
            <w:pPr>
              <w:ind w:left="0"/>
              <w:rPr>
                <w:lang w:val="pl-PL"/>
              </w:rPr>
            </w:pPr>
            <w:r w:rsidRPr="004E50FF">
              <w:rPr>
                <w:lang w:val="pl-PL"/>
              </w:rPr>
              <w:t>Zasoby instytucjonalne, aktywność i integracja społeczna</w:t>
            </w:r>
          </w:p>
        </w:tc>
        <w:tc>
          <w:tcPr>
            <w:tcW w:w="6662" w:type="dxa"/>
          </w:tcPr>
          <w:p w14:paraId="5DEB5B40" w14:textId="77777777" w:rsidR="004E50FF" w:rsidRDefault="004E50FF" w:rsidP="00B063F0">
            <w:pPr>
              <w:pStyle w:val="elementgraficznytabela"/>
              <w:numPr>
                <w:ilvl w:val="0"/>
                <w:numId w:val="27"/>
              </w:numPr>
              <w:spacing w:after="240"/>
              <w:contextualSpacing/>
              <w:cnfStyle w:val="000000000000" w:firstRow="0" w:lastRow="0" w:firstColumn="0" w:lastColumn="0" w:oddVBand="0" w:evenVBand="0" w:oddHBand="0" w:evenHBand="0" w:firstRowFirstColumn="0" w:firstRowLastColumn="0" w:lastRowFirstColumn="0" w:lastRowLastColumn="0"/>
            </w:pPr>
            <w:r>
              <w:t>Niski poziom integracji społecznej mieszkańców</w:t>
            </w:r>
          </w:p>
          <w:p w14:paraId="2918984B" w14:textId="77777777" w:rsidR="004E50FF" w:rsidRPr="003C78E2" w:rsidRDefault="004E50FF" w:rsidP="00B063F0">
            <w:pPr>
              <w:pStyle w:val="elementgraficznytabela"/>
              <w:numPr>
                <w:ilvl w:val="0"/>
                <w:numId w:val="27"/>
              </w:numPr>
              <w:spacing w:after="240"/>
              <w:contextualSpacing/>
              <w:cnfStyle w:val="000000000000" w:firstRow="0" w:lastRow="0" w:firstColumn="0" w:lastColumn="0" w:oddVBand="0" w:evenVBand="0" w:oddHBand="0" w:evenHBand="0" w:firstRowFirstColumn="0" w:firstRowLastColumn="0" w:lastRowFirstColumn="0" w:lastRowLastColumn="0"/>
            </w:pPr>
            <w:r>
              <w:t>Wysoki, ale zmniejszający się odsetek osób korzystających z pomocy społecznej</w:t>
            </w:r>
          </w:p>
          <w:p w14:paraId="2F973A42" w14:textId="77777777" w:rsidR="004E50FF" w:rsidRDefault="004E50FF" w:rsidP="00B063F0">
            <w:pPr>
              <w:pStyle w:val="elementgraficznytabela"/>
              <w:numPr>
                <w:ilvl w:val="0"/>
                <w:numId w:val="27"/>
              </w:numPr>
              <w:spacing w:after="240"/>
              <w:contextualSpacing/>
              <w:cnfStyle w:val="000000000000" w:firstRow="0" w:lastRow="0" w:firstColumn="0" w:lastColumn="0" w:oddVBand="0" w:evenVBand="0" w:oddHBand="0" w:evenHBand="0" w:firstRowFirstColumn="0" w:firstRowLastColumn="0" w:lastRowFirstColumn="0" w:lastRowLastColumn="0"/>
            </w:pPr>
            <w:r>
              <w:t>Niski (mimo wzrostu liczby organizacji społecznych) poziom aktywności społecznej mieszkańców</w:t>
            </w:r>
          </w:p>
          <w:p w14:paraId="57A2B49E" w14:textId="77777777" w:rsidR="004E50FF" w:rsidRDefault="004E50FF" w:rsidP="00B063F0">
            <w:pPr>
              <w:pStyle w:val="elementgraficznytabela"/>
              <w:numPr>
                <w:ilvl w:val="0"/>
                <w:numId w:val="27"/>
              </w:numPr>
              <w:spacing w:after="240"/>
              <w:contextualSpacing/>
              <w:cnfStyle w:val="000000000000" w:firstRow="0" w:lastRow="0" w:firstColumn="0" w:lastColumn="0" w:oddVBand="0" w:evenVBand="0" w:oddHBand="0" w:evenHBand="0" w:firstRowFirstColumn="0" w:firstRowLastColumn="0" w:lastRowFirstColumn="0" w:lastRowLastColumn="0"/>
            </w:pPr>
            <w:r w:rsidRPr="0019247F">
              <w:t>Wzrost liczby organizacji społecznych oraz wysokości dotacji na ich działalność</w:t>
            </w:r>
          </w:p>
          <w:p w14:paraId="55DF5164" w14:textId="17F7E58C" w:rsidR="004E50FF" w:rsidRDefault="004E50FF" w:rsidP="00B063F0">
            <w:pPr>
              <w:pStyle w:val="elementgraficznytabela"/>
              <w:numPr>
                <w:ilvl w:val="0"/>
                <w:numId w:val="27"/>
              </w:numPr>
              <w:spacing w:after="240"/>
              <w:contextualSpacing/>
              <w:cnfStyle w:val="000000000000" w:firstRow="0" w:lastRow="0" w:firstColumn="0" w:lastColumn="0" w:oddVBand="0" w:evenVBand="0" w:oddHBand="0" w:evenHBand="0" w:firstRowFirstColumn="0" w:firstRowLastColumn="0" w:lastRowFirstColumn="0" w:lastRowLastColumn="0"/>
            </w:pPr>
            <w:r w:rsidRPr="004E50FF">
              <w:rPr>
                <w:rFonts w:cstheme="minorHAnsi"/>
                <w:szCs w:val="24"/>
              </w:rPr>
              <w:t>Więzi społeczne i tożsamość lokalna</w:t>
            </w:r>
          </w:p>
        </w:tc>
      </w:tr>
      <w:tr w:rsidR="004E50FF" w:rsidRPr="004E50FF" w14:paraId="471037D9" w14:textId="77777777" w:rsidTr="0053183F">
        <w:tc>
          <w:tcPr>
            <w:cnfStyle w:val="001000000000" w:firstRow="0" w:lastRow="0" w:firstColumn="1" w:lastColumn="0" w:oddVBand="0" w:evenVBand="0" w:oddHBand="0" w:evenHBand="0" w:firstRowFirstColumn="0" w:firstRowLastColumn="0" w:lastRowFirstColumn="0" w:lastRowLastColumn="0"/>
            <w:tcW w:w="2547" w:type="dxa"/>
            <w:vMerge/>
          </w:tcPr>
          <w:p w14:paraId="75C78782" w14:textId="77777777" w:rsidR="004E50FF" w:rsidRPr="004E50FF" w:rsidRDefault="004E50FF" w:rsidP="004E50FF">
            <w:pPr>
              <w:ind w:left="0"/>
              <w:rPr>
                <w:lang w:val="pl-PL"/>
              </w:rPr>
            </w:pPr>
          </w:p>
        </w:tc>
        <w:tc>
          <w:tcPr>
            <w:tcW w:w="6662" w:type="dxa"/>
            <w:shd w:val="clear" w:color="auto" w:fill="D9E2F3" w:themeFill="accent1" w:themeFillTint="33"/>
          </w:tcPr>
          <w:p w14:paraId="78DBAFA6" w14:textId="77777777" w:rsidR="004E50FF" w:rsidRDefault="004E50FF" w:rsidP="00B063F0">
            <w:pPr>
              <w:pStyle w:val="elementgraficznytabela"/>
              <w:numPr>
                <w:ilvl w:val="0"/>
                <w:numId w:val="27"/>
              </w:numPr>
              <w:spacing w:after="240"/>
              <w:contextualSpacing/>
              <w:cnfStyle w:val="000000000000" w:firstRow="0" w:lastRow="0" w:firstColumn="0" w:lastColumn="0" w:oddVBand="0" w:evenVBand="0" w:oddHBand="0" w:evenHBand="0" w:firstRowFirstColumn="0" w:firstRowLastColumn="0" w:lastRowFirstColumn="0" w:lastRowLastColumn="0"/>
            </w:pPr>
            <w:r>
              <w:t>Wzrastające kwalifikacje urzędników</w:t>
            </w:r>
          </w:p>
          <w:p w14:paraId="1EEE64C0" w14:textId="77777777" w:rsidR="004E50FF" w:rsidRDefault="004E50FF" w:rsidP="00B063F0">
            <w:pPr>
              <w:pStyle w:val="elementgraficznytabela"/>
              <w:numPr>
                <w:ilvl w:val="0"/>
                <w:numId w:val="27"/>
              </w:numPr>
              <w:spacing w:after="240"/>
              <w:contextualSpacing/>
              <w:cnfStyle w:val="000000000000" w:firstRow="0" w:lastRow="0" w:firstColumn="0" w:lastColumn="0" w:oddVBand="0" w:evenVBand="0" w:oddHBand="0" w:evenHBand="0" w:firstRowFirstColumn="0" w:firstRowLastColumn="0" w:lastRowFirstColumn="0" w:lastRowLastColumn="0"/>
            </w:pPr>
            <w:r>
              <w:t>Brak integracji baz danych i niski poziom cyfryzacji Urzędów</w:t>
            </w:r>
          </w:p>
          <w:p w14:paraId="3A9BCD87" w14:textId="77777777" w:rsidR="004E50FF" w:rsidRPr="00E43257" w:rsidRDefault="004E50FF" w:rsidP="00B063F0">
            <w:pPr>
              <w:pStyle w:val="elementgraficznytabela"/>
              <w:numPr>
                <w:ilvl w:val="0"/>
                <w:numId w:val="27"/>
              </w:numPr>
              <w:spacing w:after="240"/>
              <w:contextualSpacing/>
              <w:cnfStyle w:val="000000000000" w:firstRow="0" w:lastRow="0" w:firstColumn="0" w:lastColumn="0" w:oddVBand="0" w:evenVBand="0" w:oddHBand="0" w:evenHBand="0" w:firstRowFirstColumn="0" w:firstRowLastColumn="0" w:lastRowFirstColumn="0" w:lastRowLastColumn="0"/>
            </w:pPr>
            <w:r w:rsidRPr="00E43257">
              <w:t>Silne przywództwo</w:t>
            </w:r>
          </w:p>
          <w:p w14:paraId="06287B3B" w14:textId="77777777" w:rsidR="004E50FF" w:rsidRPr="00E43257" w:rsidRDefault="004E50FF" w:rsidP="00B063F0">
            <w:pPr>
              <w:pStyle w:val="elementgraficznytabela"/>
              <w:numPr>
                <w:ilvl w:val="0"/>
                <w:numId w:val="27"/>
              </w:numPr>
              <w:spacing w:after="240"/>
              <w:contextualSpacing/>
              <w:cnfStyle w:val="000000000000" w:firstRow="0" w:lastRow="0" w:firstColumn="0" w:lastColumn="0" w:oddVBand="0" w:evenVBand="0" w:oddHBand="0" w:evenHBand="0" w:firstRowFirstColumn="0" w:firstRowLastColumn="0" w:lastRowFirstColumn="0" w:lastRowLastColumn="0"/>
            </w:pPr>
            <w:r w:rsidRPr="00E43257">
              <w:t>Model kultury organizacyjnej Partnerstwa</w:t>
            </w:r>
          </w:p>
          <w:p w14:paraId="5A0C28F9" w14:textId="77777777" w:rsidR="004E50FF" w:rsidRPr="00E43257" w:rsidRDefault="004E50FF" w:rsidP="00B063F0">
            <w:pPr>
              <w:pStyle w:val="elementgraficznytabela"/>
              <w:numPr>
                <w:ilvl w:val="0"/>
                <w:numId w:val="27"/>
              </w:numPr>
              <w:spacing w:after="240"/>
              <w:contextualSpacing/>
              <w:cnfStyle w:val="000000000000" w:firstRow="0" w:lastRow="0" w:firstColumn="0" w:lastColumn="0" w:oddVBand="0" w:evenVBand="0" w:oddHBand="0" w:evenHBand="0" w:firstRowFirstColumn="0" w:firstRowLastColumn="0" w:lastRowFirstColumn="0" w:lastRowLastColumn="0"/>
            </w:pPr>
            <w:r w:rsidRPr="00E43257">
              <w:t>(dążenie do wzmocnienia kultury klanowej i adhokracyjnej</w:t>
            </w:r>
            <w:r>
              <w:t>-kreacyjnej</w:t>
            </w:r>
            <w:r w:rsidRPr="00E43257">
              <w:t>)</w:t>
            </w:r>
          </w:p>
          <w:p w14:paraId="1F8CCE8C" w14:textId="77777777" w:rsidR="004E50FF" w:rsidRPr="00E43257" w:rsidRDefault="004E50FF" w:rsidP="00B063F0">
            <w:pPr>
              <w:pStyle w:val="elementgraficznytabela"/>
              <w:numPr>
                <w:ilvl w:val="0"/>
                <w:numId w:val="27"/>
              </w:numPr>
              <w:spacing w:after="240"/>
              <w:contextualSpacing/>
              <w:cnfStyle w:val="000000000000" w:firstRow="0" w:lastRow="0" w:firstColumn="0" w:lastColumn="0" w:oddVBand="0" w:evenVBand="0" w:oddHBand="0" w:evenHBand="0" w:firstRowFirstColumn="0" w:firstRowLastColumn="0" w:lastRowFirstColumn="0" w:lastRowLastColumn="0"/>
            </w:pPr>
            <w:r w:rsidRPr="00E43257">
              <w:t>Zdolność do współpracy (doświadczenia we współpracy)</w:t>
            </w:r>
          </w:p>
          <w:p w14:paraId="2BDD5BEF" w14:textId="77777777" w:rsidR="0053183F" w:rsidRDefault="004E50FF" w:rsidP="00B063F0">
            <w:pPr>
              <w:pStyle w:val="elementgraficznytabela"/>
              <w:numPr>
                <w:ilvl w:val="0"/>
                <w:numId w:val="27"/>
              </w:numPr>
              <w:spacing w:after="240"/>
              <w:contextualSpacing/>
              <w:cnfStyle w:val="000000000000" w:firstRow="0" w:lastRow="0" w:firstColumn="0" w:lastColumn="0" w:oddVBand="0" w:evenVBand="0" w:oddHBand="0" w:evenHBand="0" w:firstRowFirstColumn="0" w:firstRowLastColumn="0" w:lastRowFirstColumn="0" w:lastRowLastColumn="0"/>
            </w:pPr>
            <w:r w:rsidRPr="00E43257">
              <w:t>Otwartość na zmiany</w:t>
            </w:r>
          </w:p>
          <w:p w14:paraId="02A6762C" w14:textId="58937431" w:rsidR="004E50FF" w:rsidRPr="0053183F" w:rsidRDefault="004E50FF" w:rsidP="00B063F0">
            <w:pPr>
              <w:pStyle w:val="elementgraficznytabela"/>
              <w:numPr>
                <w:ilvl w:val="0"/>
                <w:numId w:val="27"/>
              </w:numPr>
              <w:spacing w:after="240"/>
              <w:contextualSpacing/>
              <w:cnfStyle w:val="000000000000" w:firstRow="0" w:lastRow="0" w:firstColumn="0" w:lastColumn="0" w:oddVBand="0" w:evenVBand="0" w:oddHBand="0" w:evenHBand="0" w:firstRowFirstColumn="0" w:firstRowLastColumn="0" w:lastRowFirstColumn="0" w:lastRowLastColumn="0"/>
            </w:pPr>
            <w:r>
              <w:t>Stabilność polityczna</w:t>
            </w:r>
          </w:p>
        </w:tc>
      </w:tr>
    </w:tbl>
    <w:p w14:paraId="2FF82077" w14:textId="661CBB62" w:rsidR="004142AE" w:rsidRDefault="00CC33B5" w:rsidP="00D66672">
      <w:pPr>
        <w:pStyle w:val="podpiselementu"/>
        <w:spacing w:after="240"/>
      </w:pPr>
      <w:r w:rsidRPr="00D22080">
        <w:t>Źródło: opracowanie własn</w:t>
      </w:r>
      <w:r>
        <w:t>e</w:t>
      </w:r>
    </w:p>
    <w:p w14:paraId="774D9D74" w14:textId="779E58D5" w:rsidR="0053183F" w:rsidRDefault="0053183F" w:rsidP="0053183F"/>
    <w:p w14:paraId="10C2E096" w14:textId="65F0F74A" w:rsidR="0053183F" w:rsidRDefault="0053183F" w:rsidP="0053183F"/>
    <w:p w14:paraId="684BB7C8" w14:textId="46498EDC" w:rsidR="0053183F" w:rsidRDefault="0053183F" w:rsidP="0053183F"/>
    <w:p w14:paraId="0EFA6225" w14:textId="747F1B33" w:rsidR="0053183F" w:rsidRDefault="0053183F" w:rsidP="0053183F"/>
    <w:p w14:paraId="4B436139" w14:textId="79683451" w:rsidR="0053183F" w:rsidRDefault="0053183F" w:rsidP="0053183F"/>
    <w:p w14:paraId="2DABFAF7" w14:textId="255E0B43" w:rsidR="0053183F" w:rsidRDefault="0053183F" w:rsidP="0053183F"/>
    <w:p w14:paraId="23E2C330" w14:textId="31B7D4EB" w:rsidR="0053183F" w:rsidRDefault="0053183F" w:rsidP="0053183F"/>
    <w:p w14:paraId="74700EC3" w14:textId="14CEE438" w:rsidR="0053183F" w:rsidRDefault="0053183F" w:rsidP="0053183F"/>
    <w:p w14:paraId="6016000C" w14:textId="07697D74" w:rsidR="0053183F" w:rsidRDefault="0053183F" w:rsidP="0053183F"/>
    <w:p w14:paraId="74FE78C5" w14:textId="350AB4DF" w:rsidR="0053183F" w:rsidRDefault="0053183F" w:rsidP="0053183F"/>
    <w:p w14:paraId="76C9A0E8" w14:textId="3A1CA25E" w:rsidR="0053183F" w:rsidRDefault="0053183F" w:rsidP="0053183F"/>
    <w:p w14:paraId="778DB18F" w14:textId="1618B371" w:rsidR="0053183F" w:rsidRDefault="0053183F" w:rsidP="0053183F"/>
    <w:p w14:paraId="4CA8BEF5" w14:textId="77777777" w:rsidR="0053183F" w:rsidRPr="0053183F" w:rsidRDefault="0053183F" w:rsidP="0053183F"/>
    <w:p w14:paraId="66F4D358" w14:textId="205A5D33" w:rsidR="001E162D" w:rsidRPr="00733091" w:rsidRDefault="00DA2A56" w:rsidP="00733091">
      <w:pPr>
        <w:pStyle w:val="Nagwek2"/>
        <w:spacing w:before="120"/>
        <w:rPr>
          <w:lang w:val="pl-PL"/>
        </w:rPr>
      </w:pPr>
      <w:bookmarkStart w:id="99" w:name="_Toc69725442"/>
      <w:r w:rsidRPr="00733091">
        <w:rPr>
          <w:lang w:val="pl-PL"/>
        </w:rPr>
        <w:lastRenderedPageBreak/>
        <w:t>Analiza pogłębiona obszaru Partnerstwa - wymiar gospodarczy</w:t>
      </w:r>
      <w:bookmarkEnd w:id="99"/>
    </w:p>
    <w:p w14:paraId="00416FC4" w14:textId="226F5CDA" w:rsidR="00CC33B5" w:rsidRPr="00733091" w:rsidRDefault="00CC33B5" w:rsidP="00663515">
      <w:pPr>
        <w:rPr>
          <w:rFonts w:ascii="Calibri" w:eastAsia="Calibri" w:hAnsi="Calibri" w:cs="Calibri"/>
          <w:lang w:val="pl-PL"/>
        </w:rPr>
      </w:pPr>
      <w:r w:rsidRPr="00733091">
        <w:rPr>
          <w:lang w:val="pl-PL"/>
        </w:rPr>
        <w:t xml:space="preserve">Potencjał i konkurencyjność lokalnej gospodarki wyznacza możliwości rozwojowe Partnerstwa oraz decyduje o sytuacji ekonomicznej jego mieszkańców. Na kondycję gospodarki obszaru Partnerstwa wpływa wiele powiązanych ze sobą czynników, </w:t>
      </w:r>
      <w:r w:rsidR="006E1AF6">
        <w:rPr>
          <w:lang w:val="pl-PL"/>
        </w:rPr>
        <w:br/>
      </w:r>
      <w:r w:rsidRPr="00733091">
        <w:rPr>
          <w:lang w:val="pl-PL"/>
        </w:rPr>
        <w:t xml:space="preserve">w tym: stopień przedsiębiorczości i aktywność gospodarcza mieszkańców, aktywność instytucji otoczenia biznesu, dostępność usług doradczych </w:t>
      </w:r>
      <w:r w:rsidRPr="00733091">
        <w:rPr>
          <w:lang w:val="pl-PL"/>
        </w:rPr>
        <w:br/>
        <w:t>i finansowych.</w:t>
      </w:r>
      <w:r w:rsidRPr="00733091">
        <w:rPr>
          <w:rFonts w:ascii="Calibri" w:eastAsia="Calibri" w:hAnsi="Calibri" w:cs="Calibri"/>
          <w:lang w:val="pl-PL"/>
        </w:rPr>
        <w:t xml:space="preserve"> Aktywność gospodarcza mieszkańców przekłada się na liczbę i kondycję lokalnych firm oraz wyznacza możliwości dochodowe gospodarstw domowych i instytucji samorządowych. Dostępność i wysoka jakość usług doradczych wspiera konkurencyjność lokalnej gospodarki</w:t>
      </w:r>
      <w:r w:rsidR="00A0313D">
        <w:rPr>
          <w:rFonts w:ascii="Calibri" w:eastAsia="Calibri" w:hAnsi="Calibri" w:cs="Calibri"/>
          <w:lang w:val="pl-PL"/>
        </w:rPr>
        <w:t>,</w:t>
      </w:r>
      <w:r w:rsidRPr="00733091">
        <w:rPr>
          <w:rFonts w:ascii="Calibri" w:eastAsia="Calibri" w:hAnsi="Calibri" w:cs="Calibri"/>
          <w:lang w:val="pl-PL"/>
        </w:rPr>
        <w:t xml:space="preserve"> dostępność do usług finansowych umożliwia pozyskanie funduszy niezbędnych do stabilnego prowadzenia działalności operacyjnej oraz finansowania projektów inwestycyjnych.</w:t>
      </w:r>
    </w:p>
    <w:p w14:paraId="69697290" w14:textId="77777777" w:rsidR="00CC33B5" w:rsidRPr="00733091" w:rsidRDefault="00CC33B5" w:rsidP="00733091">
      <w:pPr>
        <w:rPr>
          <w:rFonts w:ascii="Calibri" w:eastAsia="Calibri" w:hAnsi="Calibri" w:cs="Calibri"/>
          <w:lang w:val="pl-PL"/>
        </w:rPr>
      </w:pPr>
      <w:r w:rsidRPr="00733091">
        <w:rPr>
          <w:rFonts w:ascii="Calibri" w:eastAsia="Calibri" w:hAnsi="Calibri" w:cs="Calibri"/>
          <w:lang w:val="pl-PL"/>
        </w:rPr>
        <w:t>Lokalna gospodarka rozwija się, jeśli dysponuje odpowiednimi zasobami, w tym przestrzenią przygotowaną do prowadzenia działalności produkcyjnej i usługowej oraz odpowiednimi zasobami ludzkimi.</w:t>
      </w:r>
    </w:p>
    <w:p w14:paraId="43C80C12" w14:textId="2549CA26" w:rsidR="00CC33B5" w:rsidRPr="00733091" w:rsidRDefault="00CC33B5" w:rsidP="00663515">
      <w:pPr>
        <w:rPr>
          <w:lang w:val="pl-PL"/>
        </w:rPr>
      </w:pPr>
      <w:r w:rsidRPr="00733091">
        <w:rPr>
          <w:lang w:val="pl-PL"/>
        </w:rPr>
        <w:t>Istotnym czynnikiem wpływającym na rozwój gospodarczy jest również lokalny rynek pracy i kształtująca go sytuacja demograficzna (zmiany w funkcjonalnych grupach ludności) oraz jakość kapitału ludzkiego (w tym poziom wykształcenia pracowników).</w:t>
      </w:r>
    </w:p>
    <w:p w14:paraId="6C83F20B" w14:textId="57709D3A" w:rsidR="00CC33B5" w:rsidRDefault="00CC33B5" w:rsidP="00733091">
      <w:pPr>
        <w:rPr>
          <w:rFonts w:eastAsia="Times New Roman" w:cstheme="minorHAnsi"/>
          <w:lang w:val="pl-PL" w:eastAsia="pl-PL"/>
        </w:rPr>
      </w:pPr>
      <w:r w:rsidRPr="00733091">
        <w:rPr>
          <w:rFonts w:eastAsia="Times New Roman" w:cstheme="minorHAnsi"/>
          <w:lang w:val="pl-PL" w:eastAsia="pl-PL"/>
        </w:rPr>
        <w:t>Diagnoza w wymiarze gospodarczym objęła 4 obszary, wpływające na ogólną sytuację rozwojową Partnerstwa: potencjał i konkurencyjność lokalnej gospodarki, rynek pracy i kwalifikacje siły roboczej, potencjał ekonomiczny społeczności lokalnej i zdolność Partnerstwa do finansowania rozwoju (schemat poniżej).</w:t>
      </w:r>
    </w:p>
    <w:p w14:paraId="164CADEA" w14:textId="77777777" w:rsidR="0053183F" w:rsidRPr="00733091" w:rsidRDefault="0053183F" w:rsidP="00733091">
      <w:pPr>
        <w:rPr>
          <w:rFonts w:eastAsia="Times New Roman" w:cstheme="minorHAnsi"/>
          <w:lang w:val="pl-PL" w:eastAsia="pl-PL"/>
        </w:rPr>
      </w:pPr>
    </w:p>
    <w:p w14:paraId="1CE9723B" w14:textId="2E4879FA" w:rsidR="00CC33B5" w:rsidRPr="00733091" w:rsidRDefault="00CC33B5" w:rsidP="002E24A9">
      <w:pPr>
        <w:pStyle w:val="Legenda"/>
        <w:rPr>
          <w:rFonts w:eastAsia="Times New Roman" w:cstheme="minorHAnsi"/>
          <w:color w:val="333333"/>
          <w:lang w:val="pl-PL" w:eastAsia="pl-PL"/>
        </w:rPr>
      </w:pPr>
      <w:bookmarkStart w:id="100" w:name="_Toc67904486"/>
      <w:bookmarkStart w:id="101" w:name="_Toc67909158"/>
      <w:bookmarkStart w:id="102" w:name="_Toc68113514"/>
      <w:r w:rsidRPr="00733091">
        <w:rPr>
          <w:lang w:val="pl-PL"/>
        </w:rPr>
        <w:t xml:space="preserve">Rysunek </w:t>
      </w:r>
      <w:r w:rsidR="00733091">
        <w:fldChar w:fldCharType="begin"/>
      </w:r>
      <w:r w:rsidR="00733091" w:rsidRPr="00733091">
        <w:rPr>
          <w:lang w:val="pl-PL"/>
        </w:rPr>
        <w:instrText xml:space="preserve"> SEQ Rysunek \* ARABIC </w:instrText>
      </w:r>
      <w:r w:rsidR="00733091">
        <w:fldChar w:fldCharType="separate"/>
      </w:r>
      <w:r w:rsidR="00B14787">
        <w:rPr>
          <w:noProof/>
          <w:lang w:val="pl-PL"/>
        </w:rPr>
        <w:t>6</w:t>
      </w:r>
      <w:r w:rsidR="00733091">
        <w:rPr>
          <w:noProof/>
        </w:rPr>
        <w:fldChar w:fldCharType="end"/>
      </w:r>
      <w:r w:rsidRPr="00733091">
        <w:rPr>
          <w:lang w:val="pl-PL"/>
        </w:rPr>
        <w:t>: Wymiar gospodarczy diagnozy Południowych Mazur</w:t>
      </w:r>
      <w:bookmarkEnd w:id="100"/>
      <w:bookmarkEnd w:id="101"/>
      <w:bookmarkEnd w:id="102"/>
    </w:p>
    <w:p w14:paraId="42CFFA01" w14:textId="3259537E" w:rsidR="00CC33B5" w:rsidRPr="00733091" w:rsidRDefault="00663515" w:rsidP="00733091">
      <w:pPr>
        <w:pStyle w:val="podpiselementu"/>
        <w:spacing w:after="240"/>
        <w:rPr>
          <w:lang w:val="pl-PL" w:eastAsia="pl-PL"/>
        </w:rPr>
      </w:pPr>
      <w:r>
        <w:rPr>
          <w:noProof/>
          <w:color w:val="333333"/>
          <w:lang w:eastAsia="pl-PL"/>
        </w:rPr>
        <mc:AlternateContent>
          <mc:Choice Requires="wps">
            <w:drawing>
              <wp:anchor distT="0" distB="0" distL="114300" distR="114300" simplePos="0" relativeHeight="251658259" behindDoc="0" locked="0" layoutInCell="1" allowOverlap="1" wp14:anchorId="55A5AE8E" wp14:editId="02CBAC0A">
                <wp:simplePos x="0" y="0"/>
                <wp:positionH relativeFrom="column">
                  <wp:posOffset>3458845</wp:posOffset>
                </wp:positionH>
                <wp:positionV relativeFrom="paragraph">
                  <wp:posOffset>165735</wp:posOffset>
                </wp:positionV>
                <wp:extent cx="1447800" cy="1371600"/>
                <wp:effectExtent l="0" t="0" r="19050" b="19050"/>
                <wp:wrapNone/>
                <wp:docPr id="25" name="Owal 25"/>
                <wp:cNvGraphicFramePr/>
                <a:graphic xmlns:a="http://schemas.openxmlformats.org/drawingml/2006/main">
                  <a:graphicData uri="http://schemas.microsoft.com/office/word/2010/wordprocessingShape">
                    <wps:wsp>
                      <wps:cNvSpPr/>
                      <wps:spPr>
                        <a:xfrm>
                          <a:off x="0" y="0"/>
                          <a:ext cx="1447800" cy="1371600"/>
                        </a:xfrm>
                        <a:prstGeom prst="ellipse">
                          <a:avLst/>
                        </a:prstGeom>
                        <a:solidFill>
                          <a:schemeClr val="accent4">
                            <a:lumMod val="20000"/>
                            <a:lumOff val="8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646735" w14:textId="36D91026" w:rsidR="00B14787" w:rsidRPr="004E1C1B" w:rsidRDefault="00B14787" w:rsidP="00663515">
                            <w:pPr>
                              <w:ind w:left="0" w:firstLine="142"/>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r w:rsidRPr="004E1C1B">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WYMIAR GOSPODARCZY</w:t>
                            </w:r>
                          </w:p>
                          <w:p w14:paraId="5A93A72A" w14:textId="77777777" w:rsidR="00B14787" w:rsidRDefault="00B14787" w:rsidP="00663515">
                            <w:pPr>
                              <w:ind w:left="0" w:firstLine="142"/>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5A5AE8E" id="Owal 25" o:spid="_x0000_s1042" style="position:absolute;margin-left:272.35pt;margin-top:13.05pt;width:114pt;height:108pt;z-index:2516582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" fillcolor="#fff2cc [663]" strokecolor="black [3213]">
                <v:stroke joinstyle="miter"/>
                <v:textbox>
                  <w:txbxContent>
                    <w:p w14:paraId="3B646735" w14:textId="36D91026" w:rsidR="00B14787" w:rsidRPr="004E1C1B" w:rsidRDefault="00B14787" w:rsidP="00663515">
                      <w:pPr>
                        <w:ind w:left="0" w:firstLine="142"/>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r w:rsidRPr="004E1C1B">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WYMIAR GOSPODARCZY</w:t>
                      </w:r>
                    </w:p>
                    <w:p w14:paraId="5A93A72A" w14:textId="77777777" w:rsidR="00B14787" w:rsidRDefault="00B14787" w:rsidP="00663515">
                      <w:pPr>
                        <w:ind w:left="0" w:firstLine="142"/>
                      </w:pPr>
                    </w:p>
                  </w:txbxContent>
                </v:textbox>
              </v:oval>
            </w:pict>
          </mc:Fallback>
        </mc:AlternateContent>
      </w:r>
      <w:r w:rsidR="00CC33B5">
        <w:rPr>
          <w:noProof/>
          <w:color w:val="333333"/>
          <w:lang w:eastAsia="pl-PL"/>
        </w:rPr>
        <w:drawing>
          <wp:inline distT="0" distB="0" distL="0" distR="0" wp14:anchorId="6DFF93B6" wp14:editId="5F9CCFF1">
            <wp:extent cx="5814060" cy="1722120"/>
            <wp:effectExtent l="0" t="0" r="15240" b="0"/>
            <wp:docPr id="27" name="Diagram 27" descr="schemat wskazujący obszary w wymiarze gospodarczym"/>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4" r:lo="rId105" r:qs="rId106" r:cs="rId107"/>
              </a:graphicData>
            </a:graphic>
          </wp:inline>
        </w:drawing>
      </w:r>
      <w:r w:rsidR="00CC33B5" w:rsidRPr="00733091">
        <w:rPr>
          <w:color w:val="333333"/>
          <w:lang w:val="pl-PL" w:eastAsia="pl-PL"/>
        </w:rPr>
        <w:br/>
      </w:r>
      <w:r w:rsidR="00CC33B5" w:rsidRPr="00733091">
        <w:rPr>
          <w:lang w:val="pl-PL" w:eastAsia="pl-PL"/>
        </w:rPr>
        <w:t>Źródło: opracowanie własne w oparciu o https://</w:t>
      </w:r>
      <w:r w:rsidR="00CC33B5" w:rsidRPr="00733091">
        <w:rPr>
          <w:lang w:val="pl-PL"/>
        </w:rPr>
        <w:t>partnerstwa.monitorrozwoju.pl</w:t>
      </w:r>
    </w:p>
    <w:p w14:paraId="43E359F0" w14:textId="77777777" w:rsidR="00CC33B5" w:rsidRPr="00733091" w:rsidRDefault="00CC33B5" w:rsidP="00663515">
      <w:pPr>
        <w:ind w:left="0"/>
        <w:contextualSpacing/>
        <w:textAlignment w:val="baseline"/>
        <w:rPr>
          <w:rFonts w:eastAsia="Times New Roman" w:cstheme="minorHAnsi"/>
          <w:color w:val="333333"/>
          <w:sz w:val="18"/>
          <w:szCs w:val="18"/>
          <w:lang w:val="pl-PL" w:eastAsia="pl-PL"/>
        </w:rPr>
      </w:pPr>
    </w:p>
    <w:p w14:paraId="03FE3504" w14:textId="77777777" w:rsidR="00CC33B5" w:rsidRPr="00733091" w:rsidRDefault="00CC33B5" w:rsidP="00733091">
      <w:pPr>
        <w:contextualSpacing/>
        <w:textAlignment w:val="baseline"/>
        <w:rPr>
          <w:rFonts w:eastAsia="Times New Roman" w:cstheme="minorHAnsi"/>
          <w:color w:val="333333"/>
          <w:lang w:val="pl-PL" w:eastAsia="pl-PL"/>
        </w:rPr>
      </w:pPr>
    </w:p>
    <w:p w14:paraId="4A449259" w14:textId="6D88E4C4" w:rsidR="00CC33B5" w:rsidRPr="00733091" w:rsidRDefault="00CC33B5" w:rsidP="00733091">
      <w:pPr>
        <w:rPr>
          <w:lang w:val="pl-PL"/>
        </w:rPr>
      </w:pPr>
      <w:r w:rsidRPr="00733091">
        <w:rPr>
          <w:lang w:val="pl-PL"/>
        </w:rPr>
        <w:t>Syntetyczny wskaźnik</w:t>
      </w:r>
      <w:r>
        <w:rPr>
          <w:rStyle w:val="Odwoanieprzypisudolnego"/>
          <w:color w:val="000000" w:themeColor="text1"/>
        </w:rPr>
        <w:footnoteReference w:id="70"/>
      </w:r>
      <w:r w:rsidRPr="00733091">
        <w:rPr>
          <w:lang w:val="pl-PL"/>
        </w:rPr>
        <w:t xml:space="preserve"> rozwoju Partnerstwa w wymiarze gospodarczym, uwzględniający sytuację Południowych Mazur w ww. obszarach w badanym okresie (2015-2019) wahał się, uzyskując wartości ujemne. W latach 2015-2018 nastąpiła korzystna zmian wysokości wskaźnika; trudniejszy był rok 2019. Dynamika wzrostu </w:t>
      </w:r>
      <w:r w:rsidR="006E1AF6">
        <w:rPr>
          <w:lang w:val="pl-PL"/>
        </w:rPr>
        <w:t xml:space="preserve">wskaźnika </w:t>
      </w:r>
      <w:r w:rsidRPr="00733091">
        <w:rPr>
          <w:lang w:val="pl-PL"/>
        </w:rPr>
        <w:t xml:space="preserve">w badanym okresie (2015-2019) była </w:t>
      </w:r>
      <w:r w:rsidR="006E1AF6">
        <w:rPr>
          <w:lang w:val="pl-PL"/>
        </w:rPr>
        <w:t>nieznacznie dodatnia</w:t>
      </w:r>
      <w:r w:rsidRPr="00733091">
        <w:rPr>
          <w:lang w:val="pl-PL"/>
        </w:rPr>
        <w:t xml:space="preserve">. </w:t>
      </w:r>
      <w:r w:rsidR="006E1AF6">
        <w:rPr>
          <w:lang w:val="pl-PL"/>
        </w:rPr>
        <w:br/>
      </w:r>
      <w:r w:rsidRPr="00733091">
        <w:rPr>
          <w:lang w:val="pl-PL"/>
        </w:rPr>
        <w:t xml:space="preserve">Wartości wskaźnika syntetycznego wskazują na </w:t>
      </w:r>
      <w:r w:rsidRPr="00733091">
        <w:rPr>
          <w:b/>
          <w:bCs/>
          <w:lang w:val="pl-PL"/>
        </w:rPr>
        <w:t xml:space="preserve">niekorzystną, ale stosunkowo stabilną (niepogarszającą się) </w:t>
      </w:r>
      <w:r w:rsidRPr="00733091">
        <w:rPr>
          <w:lang w:val="pl-PL"/>
        </w:rPr>
        <w:t>sytuację gospodarczą Partnerstwa.</w:t>
      </w:r>
    </w:p>
    <w:p w14:paraId="373D1A4A" w14:textId="5AEAEE0A" w:rsidR="00CC33B5" w:rsidRPr="00663515" w:rsidRDefault="00CC33B5" w:rsidP="00663515">
      <w:pPr>
        <w:rPr>
          <w:lang w:val="pl-PL"/>
        </w:rPr>
      </w:pPr>
      <w:r w:rsidRPr="00733091">
        <w:rPr>
          <w:lang w:val="pl-PL"/>
        </w:rPr>
        <w:t>Negatywny wpływ na wartość wskaźnika miała pogarszająca się sytuacja na rynku pracy, będąca jego konsekwencją sytuacja majątkowa mieszkańców, a także malejący potencjał i konkurencyjność gospodarki lokalnej.</w:t>
      </w:r>
    </w:p>
    <w:p w14:paraId="3BA25F8A" w14:textId="77850527" w:rsidR="006E1AF6" w:rsidRDefault="007D776B" w:rsidP="006E1AF6">
      <w:pPr>
        <w:pStyle w:val="Legenda"/>
        <w:rPr>
          <w:noProof/>
          <w:lang w:val="pl-PL"/>
        </w:rPr>
      </w:pPr>
      <w:bookmarkStart w:id="103" w:name="_Toc69723193"/>
      <w:r w:rsidRPr="00733091">
        <w:rPr>
          <w:lang w:val="pl-PL"/>
        </w:rPr>
        <w:t xml:space="preserve">Wykres </w:t>
      </w:r>
      <w:r w:rsidR="00733091">
        <w:fldChar w:fldCharType="begin"/>
      </w:r>
      <w:r w:rsidR="00733091" w:rsidRPr="00733091">
        <w:rPr>
          <w:lang w:val="pl-PL"/>
        </w:rPr>
        <w:instrText xml:space="preserve"> SEQ Wykres \* ARABIC </w:instrText>
      </w:r>
      <w:r w:rsidR="00733091">
        <w:fldChar w:fldCharType="separate"/>
      </w:r>
      <w:r w:rsidR="00B14787">
        <w:rPr>
          <w:noProof/>
          <w:lang w:val="pl-PL"/>
        </w:rPr>
        <w:t>35</w:t>
      </w:r>
      <w:r w:rsidR="00733091">
        <w:rPr>
          <w:noProof/>
        </w:rPr>
        <w:fldChar w:fldCharType="end"/>
      </w:r>
      <w:r w:rsidRPr="00733091">
        <w:rPr>
          <w:lang w:val="pl-PL"/>
        </w:rPr>
        <w:t xml:space="preserve">: </w:t>
      </w:r>
      <w:r w:rsidR="00CC33B5" w:rsidRPr="00733091">
        <w:rPr>
          <w:noProof/>
          <w:lang w:val="pl-PL"/>
        </w:rPr>
        <w:t>Wskaźnik rozwoju Partnerstwa- wymiar gospodarczy</w:t>
      </w:r>
      <w:bookmarkEnd w:id="103"/>
    </w:p>
    <w:p w14:paraId="633892C5" w14:textId="61C300DD" w:rsidR="00CC33B5" w:rsidRPr="006E1AF6" w:rsidRDefault="006E1AF6" w:rsidP="006E1AF6">
      <w:pPr>
        <w:ind w:left="0"/>
        <w:jc w:val="both"/>
        <w:rPr>
          <w:lang w:val="pl-PL"/>
        </w:rPr>
      </w:pPr>
      <w:r>
        <w:rPr>
          <w:noProof/>
        </w:rPr>
        <w:drawing>
          <wp:inline distT="0" distB="0" distL="0" distR="0" wp14:anchorId="43B61203" wp14:editId="0DC22C0A">
            <wp:extent cx="5759450" cy="3455670"/>
            <wp:effectExtent l="19050" t="19050" r="12700" b="11430"/>
            <wp:docPr id="78" name="Obraz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9">
                      <a:extLst>
                        <a:ext uri="{BEBA8EAE-BF5A-486C-A8C5-ECC9F3942E4B}">
                          <a14:imgProps xmlns:a14="http://schemas.microsoft.com/office/drawing/2010/main">
                            <a14:imgLayer r:embed="rId110">
                              <a14:imgEffect>
                                <a14:saturation sat="33000"/>
                              </a14:imgEffect>
                            </a14:imgLayer>
                          </a14:imgProps>
                        </a:ext>
                        <a:ext uri="{28A0092B-C50C-407E-A947-70E740481C1C}">
                          <a14:useLocalDpi xmlns:a14="http://schemas.microsoft.com/office/drawing/2010/main" val="0"/>
                        </a:ext>
                      </a:extLst>
                    </a:blip>
                    <a:srcRect/>
                    <a:stretch>
                      <a:fillRect/>
                    </a:stretch>
                  </pic:blipFill>
                  <pic:spPr bwMode="auto">
                    <a:xfrm>
                      <a:off x="0" y="0"/>
                      <a:ext cx="5759450" cy="3455670"/>
                    </a:xfrm>
                    <a:prstGeom prst="rect">
                      <a:avLst/>
                    </a:prstGeom>
                    <a:noFill/>
                    <a:ln>
                      <a:solidFill>
                        <a:schemeClr val="tx2"/>
                      </a:solidFill>
                    </a:ln>
                  </pic:spPr>
                </pic:pic>
              </a:graphicData>
            </a:graphic>
          </wp:inline>
        </w:drawing>
      </w:r>
      <w:r w:rsidR="00CC33B5" w:rsidRPr="00733091">
        <w:rPr>
          <w:rFonts w:eastAsia="Times New Roman" w:cstheme="minorHAnsi"/>
          <w:color w:val="333333"/>
          <w:lang w:val="pl-PL" w:eastAsia="pl-PL"/>
        </w:rPr>
        <w:br/>
      </w:r>
      <w:r w:rsidR="00CC33B5" w:rsidRPr="00EA1F4A">
        <w:rPr>
          <w:rFonts w:asciiTheme="majorHAnsi" w:hAnsiTheme="majorHAnsi" w:cstheme="majorHAnsi"/>
          <w:szCs w:val="24"/>
          <w:lang w:val="pl-PL"/>
        </w:rPr>
        <w:t>Źródło: opracowanie ZMP na podstawie</w:t>
      </w:r>
      <w:r w:rsidRPr="00EA1F4A">
        <w:rPr>
          <w:rFonts w:asciiTheme="majorHAnsi" w:hAnsiTheme="majorHAnsi" w:cstheme="majorHAnsi"/>
          <w:szCs w:val="24"/>
          <w:lang w:val="pl-PL"/>
        </w:rPr>
        <w:t xml:space="preserve"> </w:t>
      </w:r>
      <w:r w:rsidR="00CC33B5" w:rsidRPr="00EA1F4A">
        <w:rPr>
          <w:rFonts w:asciiTheme="majorHAnsi" w:hAnsiTheme="majorHAnsi" w:cstheme="majorHAnsi"/>
          <w:szCs w:val="24"/>
          <w:lang w:val="pl-PL"/>
        </w:rPr>
        <w:t>https://partnerstwa.monitorrozwoju.pl</w:t>
      </w:r>
      <w:r w:rsidR="00CC33B5" w:rsidRPr="00EA1F4A">
        <w:rPr>
          <w:rFonts w:asciiTheme="majorHAnsi" w:hAnsiTheme="majorHAnsi" w:cstheme="majorHAnsi"/>
          <w:color w:val="FFFFFF"/>
          <w:szCs w:val="24"/>
          <w:lang w:val="pl-PL"/>
        </w:rPr>
        <w:t>opiek</w:t>
      </w:r>
    </w:p>
    <w:p w14:paraId="62448D99" w14:textId="266F1221" w:rsidR="00CC33B5" w:rsidRPr="00733091" w:rsidRDefault="007D776B" w:rsidP="002E24A9">
      <w:pPr>
        <w:pStyle w:val="Legenda"/>
        <w:rPr>
          <w:lang w:val="pl-PL"/>
        </w:rPr>
      </w:pPr>
      <w:bookmarkStart w:id="104" w:name="_Toc69723194"/>
      <w:r w:rsidRPr="00733091">
        <w:rPr>
          <w:lang w:val="pl-PL"/>
        </w:rPr>
        <w:lastRenderedPageBreak/>
        <w:t xml:space="preserve">Wykres </w:t>
      </w:r>
      <w:r w:rsidR="00733091">
        <w:fldChar w:fldCharType="begin"/>
      </w:r>
      <w:r w:rsidR="00733091" w:rsidRPr="00733091">
        <w:rPr>
          <w:lang w:val="pl-PL"/>
        </w:rPr>
        <w:instrText xml:space="preserve"> SEQ Wykres \* ARABIC </w:instrText>
      </w:r>
      <w:r w:rsidR="00733091">
        <w:fldChar w:fldCharType="separate"/>
      </w:r>
      <w:r w:rsidR="00B14787">
        <w:rPr>
          <w:noProof/>
          <w:lang w:val="pl-PL"/>
        </w:rPr>
        <w:t>36</w:t>
      </w:r>
      <w:r w:rsidR="00733091">
        <w:rPr>
          <w:noProof/>
        </w:rPr>
        <w:fldChar w:fldCharType="end"/>
      </w:r>
      <w:r w:rsidRPr="00733091">
        <w:rPr>
          <w:lang w:val="pl-PL"/>
        </w:rPr>
        <w:t xml:space="preserve">: </w:t>
      </w:r>
      <w:r w:rsidR="00DD0997">
        <w:rPr>
          <w:lang w:val="pl-PL"/>
        </w:rPr>
        <w:t>Dynamika zmian w obszarach w latach 20115-2019</w:t>
      </w:r>
      <w:r w:rsidR="009879DD">
        <w:rPr>
          <w:lang w:val="pl-PL"/>
        </w:rPr>
        <w:t xml:space="preserve"> </w:t>
      </w:r>
      <w:r w:rsidR="00CC33B5" w:rsidRPr="00733091">
        <w:rPr>
          <w:noProof/>
          <w:lang w:val="pl-PL"/>
        </w:rPr>
        <w:t>– wymiar gospodarczy</w:t>
      </w:r>
      <w:bookmarkEnd w:id="104"/>
    </w:p>
    <w:p w14:paraId="733F1215" w14:textId="31135B8B" w:rsidR="00CC33B5" w:rsidRPr="009F2D1C" w:rsidRDefault="006E1AF6" w:rsidP="009F2D1C">
      <w:pPr>
        <w:pStyle w:val="podpiselementu"/>
        <w:spacing w:after="240"/>
        <w:rPr>
          <w:rFonts w:ascii="Segoe UI" w:hAnsi="Segoe UI" w:cs="Segoe UI"/>
          <w:color w:val="FFFFFF"/>
          <w:sz w:val="21"/>
          <w:szCs w:val="21"/>
          <w:lang w:val="pl-PL"/>
        </w:rPr>
      </w:pPr>
      <w:r>
        <w:rPr>
          <w:noProof/>
        </w:rPr>
        <w:drawing>
          <wp:inline distT="0" distB="0" distL="0" distR="0" wp14:anchorId="29FA87A9" wp14:editId="6D1E53A8">
            <wp:extent cx="5759450" cy="2377440"/>
            <wp:effectExtent l="19050" t="19050" r="12700" b="22860"/>
            <wp:docPr id="80" name="Obraz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759450" cy="2377440"/>
                    </a:xfrm>
                    <a:prstGeom prst="rect">
                      <a:avLst/>
                    </a:prstGeom>
                    <a:noFill/>
                    <a:ln>
                      <a:solidFill>
                        <a:schemeClr val="tx2"/>
                      </a:solidFill>
                    </a:ln>
                  </pic:spPr>
                </pic:pic>
              </a:graphicData>
            </a:graphic>
          </wp:inline>
        </w:drawing>
      </w:r>
      <w:r w:rsidR="00CC33B5" w:rsidRPr="00733091">
        <w:rPr>
          <w:lang w:val="pl-PL"/>
        </w:rPr>
        <w:br/>
        <w:t xml:space="preserve">Źródło: opracowanie ZMP na podstawie </w:t>
      </w:r>
      <w:r w:rsidR="009F2D1C" w:rsidRPr="00EA1F4A">
        <w:rPr>
          <w:lang w:val="pl-PL"/>
        </w:rPr>
        <w:t>https://partnerstwa.monitorrozwoju.pl</w:t>
      </w:r>
      <w:r w:rsidR="009F2D1C">
        <w:rPr>
          <w:rFonts w:ascii="Segoe UI" w:hAnsi="Segoe UI" w:cs="Segoe UI"/>
          <w:color w:val="FFFFFF"/>
          <w:sz w:val="21"/>
          <w:szCs w:val="21"/>
          <w:lang w:val="pl-PL"/>
        </w:rPr>
        <w:br/>
      </w:r>
    </w:p>
    <w:p w14:paraId="0C752927" w14:textId="7E137F4D" w:rsidR="001E162D" w:rsidRPr="00663515" w:rsidRDefault="0072577B" w:rsidP="00733091">
      <w:pPr>
        <w:pStyle w:val="Nagwek3"/>
        <w:spacing w:after="240"/>
        <w:rPr>
          <w:lang w:val="pl-PL"/>
        </w:rPr>
      </w:pPr>
      <w:bookmarkStart w:id="105" w:name="_Toc69725443"/>
      <w:r w:rsidRPr="00663515">
        <w:rPr>
          <w:lang w:val="pl-PL"/>
        </w:rPr>
        <w:t>Potencjał i konkurencyjność lokalnej gospodarki</w:t>
      </w:r>
      <w:bookmarkEnd w:id="105"/>
    </w:p>
    <w:p w14:paraId="637D3469" w14:textId="0102BD64" w:rsidR="00CC33B5" w:rsidRPr="009F2D1C" w:rsidRDefault="00CC33B5" w:rsidP="009F2D1C">
      <w:pPr>
        <w:rPr>
          <w:lang w:val="pl-PL"/>
        </w:rPr>
      </w:pPr>
      <w:r w:rsidRPr="00733091">
        <w:rPr>
          <w:lang w:val="pl-PL"/>
        </w:rPr>
        <w:t xml:space="preserve">Odpowiednia struktura gospodarki, dopasowana do lokalnych uwarunkowań </w:t>
      </w:r>
      <w:r w:rsidR="00EA1F4A">
        <w:rPr>
          <w:lang w:val="pl-PL"/>
        </w:rPr>
        <w:br/>
      </w:r>
      <w:r w:rsidRPr="00733091">
        <w:rPr>
          <w:lang w:val="pl-PL"/>
        </w:rPr>
        <w:t>i sytuacji rynkowej, zapewnia jej stabilność i odporność w okresie dekoniunktury. Jednocześnie, odpowiedni poziom inwestycji, zwłaszcza w badania i rozwój oraz nowoczesne rozwiązania technologiczne, wzmacnia jej konkurencyjność oraz pozwala tworzyć atrakcyjne, wysokopłatne miejsca pracy.</w:t>
      </w:r>
      <w:r w:rsidR="009F2D1C">
        <w:rPr>
          <w:lang w:val="pl-PL"/>
        </w:rPr>
        <w:br/>
      </w:r>
    </w:p>
    <w:p w14:paraId="0D590294" w14:textId="037F6A0F" w:rsidR="001E162D" w:rsidRPr="00690E7F" w:rsidRDefault="008864DF" w:rsidP="00733091">
      <w:pPr>
        <w:pStyle w:val="Nagwek4"/>
        <w:spacing w:before="120" w:after="240"/>
      </w:pPr>
      <w:r w:rsidRPr="008864DF">
        <w:t>Podmioty prowadzące działalność gospodarczą</w:t>
      </w:r>
    </w:p>
    <w:p w14:paraId="43E86A99" w14:textId="77777777" w:rsidR="00974649" w:rsidRDefault="00CC33B5" w:rsidP="00974649">
      <w:pPr>
        <w:rPr>
          <w:shd w:val="clear" w:color="auto" w:fill="FFFFFF"/>
          <w:lang w:val="pl-PL"/>
        </w:rPr>
      </w:pPr>
      <w:r w:rsidRPr="00733091">
        <w:rPr>
          <w:shd w:val="clear" w:color="auto" w:fill="FFFFFF"/>
          <w:lang w:val="pl-PL"/>
        </w:rPr>
        <w:t xml:space="preserve">Na obszarze Partnerstwa w roku 2019 w rejestrze REGON zarejestrowane były </w:t>
      </w:r>
      <w:r w:rsidRPr="00733091">
        <w:rPr>
          <w:b/>
          <w:bCs/>
          <w:shd w:val="clear" w:color="auto" w:fill="FFFFFF"/>
          <w:lang w:val="pl-PL"/>
        </w:rPr>
        <w:t>16.784 podmioty gospodarki narodowej,</w:t>
      </w:r>
      <w:r w:rsidRPr="00733091">
        <w:rPr>
          <w:shd w:val="clear" w:color="auto" w:fill="FFFFFF"/>
          <w:lang w:val="pl-PL"/>
        </w:rPr>
        <w:t xml:space="preserve"> z czego 75,04% (12.596) stanowiły osoby fizyczne prowadzące działalność gospodarczą.</w:t>
      </w:r>
    </w:p>
    <w:p w14:paraId="7D70BDBD" w14:textId="719D88D3" w:rsidR="00CC33B5" w:rsidRPr="00733091" w:rsidRDefault="00CC33B5" w:rsidP="00733091">
      <w:pPr>
        <w:rPr>
          <w:shd w:val="clear" w:color="auto" w:fill="FFFFFF"/>
          <w:lang w:val="pl-PL"/>
        </w:rPr>
      </w:pPr>
      <w:r w:rsidRPr="00733091">
        <w:rPr>
          <w:shd w:val="clear" w:color="auto" w:fill="FFFFFF"/>
          <w:lang w:val="pl-PL"/>
        </w:rPr>
        <w:t>Na terenie Południowych Mazur funkcjonowało w 2019 r. 16.074</w:t>
      </w:r>
      <w:r w:rsidR="00663515">
        <w:rPr>
          <w:shd w:val="clear" w:color="auto" w:fill="FFFFFF"/>
          <w:lang w:val="pl-PL"/>
        </w:rPr>
        <w:t xml:space="preserve"> </w:t>
      </w:r>
      <w:r w:rsidRPr="00733091">
        <w:rPr>
          <w:b/>
          <w:bCs/>
          <w:shd w:val="clear" w:color="auto" w:fill="FFFFFF"/>
          <w:lang w:val="pl-PL"/>
        </w:rPr>
        <w:t>mikroprzedsiębiorstwa</w:t>
      </w:r>
      <w:r w:rsidRPr="00733091">
        <w:rPr>
          <w:shd w:val="clear" w:color="auto" w:fill="FFFFFF"/>
          <w:lang w:val="pl-PL"/>
        </w:rPr>
        <w:t xml:space="preserve"> (zatrudniające 0-9 pracowników</w:t>
      </w:r>
      <w:r w:rsidR="0048506E">
        <w:rPr>
          <w:shd w:val="clear" w:color="auto" w:fill="FFFFFF"/>
          <w:lang w:val="pl-PL"/>
        </w:rPr>
        <w:t>), stanowiące 95,76% przedsiębiorców</w:t>
      </w:r>
      <w:r w:rsidRPr="00733091">
        <w:rPr>
          <w:shd w:val="clear" w:color="auto" w:fill="FFFFFF"/>
          <w:lang w:val="pl-PL"/>
        </w:rPr>
        <w:t xml:space="preserve">. Przedsiębiorstwa </w:t>
      </w:r>
      <w:r w:rsidRPr="00733091">
        <w:rPr>
          <w:b/>
          <w:bCs/>
          <w:shd w:val="clear" w:color="auto" w:fill="FFFFFF"/>
          <w:lang w:val="pl-PL"/>
        </w:rPr>
        <w:t xml:space="preserve">małe </w:t>
      </w:r>
      <w:r w:rsidRPr="00733091">
        <w:rPr>
          <w:shd w:val="clear" w:color="auto" w:fill="FFFFFF"/>
          <w:lang w:val="pl-PL"/>
        </w:rPr>
        <w:t xml:space="preserve">(zatrudniające 10-49 pracowników) stanowiły 3,32% przedsiębiorców zarejestrowanych w rejestrze REGON, </w:t>
      </w:r>
      <w:r w:rsidRPr="00733091">
        <w:rPr>
          <w:b/>
          <w:bCs/>
          <w:shd w:val="clear" w:color="auto" w:fill="FFFFFF"/>
          <w:lang w:val="pl-PL"/>
        </w:rPr>
        <w:t>średnie</w:t>
      </w:r>
      <w:r w:rsidRPr="00733091">
        <w:rPr>
          <w:shd w:val="clear" w:color="auto" w:fill="FFFFFF"/>
          <w:lang w:val="pl-PL"/>
        </w:rPr>
        <w:t xml:space="preserve"> (zatrudniające 50-249 pracowników) 0,87%, a duże (powyżej 250 pracowników) - 0,05%.</w:t>
      </w:r>
    </w:p>
    <w:p w14:paraId="692BFFD5" w14:textId="0842D9B4" w:rsidR="00CC33B5" w:rsidRPr="00733091" w:rsidRDefault="00CC33B5" w:rsidP="002E24A9">
      <w:pPr>
        <w:pStyle w:val="Legenda"/>
        <w:rPr>
          <w:lang w:val="pl-PL"/>
        </w:rPr>
      </w:pPr>
      <w:bookmarkStart w:id="106" w:name="_Toc69723264"/>
      <w:r w:rsidRPr="00733091">
        <w:rPr>
          <w:lang w:val="pl-PL"/>
        </w:rPr>
        <w:lastRenderedPageBreak/>
        <w:t xml:space="preserve">Tabela </w:t>
      </w:r>
      <w:r w:rsidR="00733091">
        <w:fldChar w:fldCharType="begin"/>
      </w:r>
      <w:r w:rsidR="00733091" w:rsidRPr="00733091">
        <w:rPr>
          <w:lang w:val="pl-PL"/>
        </w:rPr>
        <w:instrText xml:space="preserve"> SEQ Tabela \* ARABIC </w:instrText>
      </w:r>
      <w:r w:rsidR="00733091">
        <w:fldChar w:fldCharType="separate"/>
      </w:r>
      <w:r w:rsidR="00B14787">
        <w:rPr>
          <w:noProof/>
          <w:lang w:val="pl-PL"/>
        </w:rPr>
        <w:t>15</w:t>
      </w:r>
      <w:r w:rsidR="00733091">
        <w:rPr>
          <w:noProof/>
        </w:rPr>
        <w:fldChar w:fldCharType="end"/>
      </w:r>
      <w:r w:rsidRPr="00733091">
        <w:rPr>
          <w:lang w:val="pl-PL"/>
        </w:rPr>
        <w:t>.  Przedsiębiorcy według liczby osób zatrudnionych</w:t>
      </w:r>
      <w:bookmarkEnd w:id="106"/>
    </w:p>
    <w:tbl>
      <w:tblPr>
        <w:tblStyle w:val="CWD"/>
        <w:tblW w:w="5000" w:type="pct"/>
        <w:tblLook w:val="04A0" w:firstRow="1" w:lastRow="0" w:firstColumn="1" w:lastColumn="0" w:noHBand="0" w:noVBand="1"/>
      </w:tblPr>
      <w:tblGrid>
        <w:gridCol w:w="5665"/>
        <w:gridCol w:w="3395"/>
      </w:tblGrid>
      <w:tr w:rsidR="00CC33B5" w:rsidRPr="00567A73" w14:paraId="62C169A9" w14:textId="77777777" w:rsidTr="00C177E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65" w:type="dxa"/>
          </w:tcPr>
          <w:p w14:paraId="5802781A" w14:textId="77777777" w:rsidR="00CC33B5" w:rsidRPr="003C7BFF" w:rsidRDefault="00CC33B5" w:rsidP="00733091">
            <w:pPr>
              <w:pStyle w:val="elementgraficznytabela"/>
              <w:spacing w:after="240"/>
            </w:pPr>
            <w:r w:rsidRPr="003C7BFF">
              <w:t>Wielkość przedsiębiorców</w:t>
            </w:r>
          </w:p>
        </w:tc>
        <w:tc>
          <w:tcPr>
            <w:tcW w:w="3395" w:type="dxa"/>
          </w:tcPr>
          <w:p w14:paraId="71C66299" w14:textId="77777777" w:rsidR="00CC33B5" w:rsidRPr="003C7BFF" w:rsidRDefault="00CC33B5" w:rsidP="00733091">
            <w:pPr>
              <w:pStyle w:val="elementgraficznytabela"/>
              <w:spacing w:after="240"/>
              <w:cnfStyle w:val="100000000000" w:firstRow="1" w:lastRow="0" w:firstColumn="0" w:lastColumn="0" w:oddVBand="0" w:evenVBand="0" w:oddHBand="0" w:evenHBand="0" w:firstRowFirstColumn="0" w:firstRowLastColumn="0" w:lastRowFirstColumn="0" w:lastRowLastColumn="0"/>
            </w:pPr>
            <w:r w:rsidRPr="003C7BFF">
              <w:t>Liczba przedsiębiorców</w:t>
            </w:r>
          </w:p>
        </w:tc>
      </w:tr>
      <w:tr w:rsidR="00CC33B5" w:rsidRPr="00567A73" w14:paraId="0D2562E8" w14:textId="77777777" w:rsidTr="00C177E4">
        <w:trPr>
          <w:trHeight w:val="468"/>
        </w:trPr>
        <w:tc>
          <w:tcPr>
            <w:cnfStyle w:val="001000000000" w:firstRow="0" w:lastRow="0" w:firstColumn="1" w:lastColumn="0" w:oddVBand="0" w:evenVBand="0" w:oddHBand="0" w:evenHBand="0" w:firstRowFirstColumn="0" w:firstRowLastColumn="0" w:lastRowFirstColumn="0" w:lastRowLastColumn="0"/>
            <w:tcW w:w="5665" w:type="dxa"/>
          </w:tcPr>
          <w:p w14:paraId="30FF6FC2" w14:textId="77777777" w:rsidR="00CC33B5" w:rsidRPr="003C7BFF" w:rsidRDefault="00CC33B5" w:rsidP="00733091">
            <w:pPr>
              <w:pStyle w:val="elementgraficznytabela"/>
              <w:spacing w:after="240"/>
            </w:pPr>
            <w:r w:rsidRPr="003C7BFF">
              <w:t>Ogółem</w:t>
            </w:r>
          </w:p>
        </w:tc>
        <w:tc>
          <w:tcPr>
            <w:tcW w:w="3395" w:type="dxa"/>
          </w:tcPr>
          <w:p w14:paraId="526F2683" w14:textId="77777777" w:rsidR="00CC33B5" w:rsidRPr="003C7BFF" w:rsidRDefault="00CC33B5"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pPr>
            <w:r w:rsidRPr="003C7BFF">
              <w:t>16.784</w:t>
            </w:r>
          </w:p>
        </w:tc>
      </w:tr>
      <w:tr w:rsidR="00CC33B5" w:rsidRPr="00567A73" w14:paraId="484A1FC4" w14:textId="77777777" w:rsidTr="00C177E4">
        <w:tc>
          <w:tcPr>
            <w:cnfStyle w:val="001000000000" w:firstRow="0" w:lastRow="0" w:firstColumn="1" w:lastColumn="0" w:oddVBand="0" w:evenVBand="0" w:oddHBand="0" w:evenHBand="0" w:firstRowFirstColumn="0" w:firstRowLastColumn="0" w:lastRowFirstColumn="0" w:lastRowLastColumn="0"/>
            <w:tcW w:w="5665" w:type="dxa"/>
          </w:tcPr>
          <w:p w14:paraId="6E5026A9" w14:textId="77777777" w:rsidR="00CC33B5" w:rsidRPr="003C7BFF" w:rsidRDefault="00CC33B5" w:rsidP="00733091">
            <w:pPr>
              <w:pStyle w:val="elementgraficznytabela"/>
              <w:spacing w:after="240"/>
            </w:pPr>
            <w:r w:rsidRPr="003C7BFF">
              <w:t>Mikroprzedsiębiorstwa (0-9 zatrudnionych)</w:t>
            </w:r>
          </w:p>
        </w:tc>
        <w:tc>
          <w:tcPr>
            <w:tcW w:w="3395" w:type="dxa"/>
          </w:tcPr>
          <w:p w14:paraId="13E80D12" w14:textId="77777777" w:rsidR="00CC33B5" w:rsidRPr="003C7BFF" w:rsidRDefault="00CC33B5"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pPr>
            <w:r w:rsidRPr="003C7BFF">
              <w:t>16.074</w:t>
            </w:r>
          </w:p>
        </w:tc>
      </w:tr>
      <w:tr w:rsidR="00CC33B5" w:rsidRPr="00567A73" w14:paraId="092218B6" w14:textId="77777777" w:rsidTr="00C177E4">
        <w:tc>
          <w:tcPr>
            <w:cnfStyle w:val="001000000000" w:firstRow="0" w:lastRow="0" w:firstColumn="1" w:lastColumn="0" w:oddVBand="0" w:evenVBand="0" w:oddHBand="0" w:evenHBand="0" w:firstRowFirstColumn="0" w:firstRowLastColumn="0" w:lastRowFirstColumn="0" w:lastRowLastColumn="0"/>
            <w:tcW w:w="5665" w:type="dxa"/>
          </w:tcPr>
          <w:p w14:paraId="5EB16CD5" w14:textId="77777777" w:rsidR="00CC33B5" w:rsidRPr="003C7BFF" w:rsidRDefault="00CC33B5" w:rsidP="00733091">
            <w:pPr>
              <w:pStyle w:val="elementgraficznytabela"/>
              <w:spacing w:after="240"/>
            </w:pPr>
            <w:r w:rsidRPr="003C7BFF">
              <w:t>Małe przedsiębiorstwa (10-49 zatrudnionych</w:t>
            </w:r>
          </w:p>
        </w:tc>
        <w:tc>
          <w:tcPr>
            <w:tcW w:w="3395" w:type="dxa"/>
          </w:tcPr>
          <w:p w14:paraId="57A8FDEC" w14:textId="77777777" w:rsidR="00CC33B5" w:rsidRPr="003C7BFF" w:rsidRDefault="00CC33B5"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pPr>
            <w:r w:rsidRPr="003C7BFF">
              <w:t>557</w:t>
            </w:r>
          </w:p>
        </w:tc>
      </w:tr>
      <w:tr w:rsidR="00CC33B5" w:rsidRPr="00567A73" w14:paraId="1026D12F" w14:textId="77777777" w:rsidTr="00C177E4">
        <w:tc>
          <w:tcPr>
            <w:cnfStyle w:val="001000000000" w:firstRow="0" w:lastRow="0" w:firstColumn="1" w:lastColumn="0" w:oddVBand="0" w:evenVBand="0" w:oddHBand="0" w:evenHBand="0" w:firstRowFirstColumn="0" w:firstRowLastColumn="0" w:lastRowFirstColumn="0" w:lastRowLastColumn="0"/>
            <w:tcW w:w="5665" w:type="dxa"/>
          </w:tcPr>
          <w:p w14:paraId="7C1AA6A6" w14:textId="77777777" w:rsidR="00CC33B5" w:rsidRPr="003C7BFF" w:rsidRDefault="00CC33B5" w:rsidP="00733091">
            <w:pPr>
              <w:pStyle w:val="elementgraficznytabela"/>
              <w:spacing w:after="240"/>
            </w:pPr>
            <w:r w:rsidRPr="003C7BFF">
              <w:t>Średnie przedsiębiorstwa (50-249 zatrudnionych)</w:t>
            </w:r>
          </w:p>
        </w:tc>
        <w:tc>
          <w:tcPr>
            <w:tcW w:w="3395" w:type="dxa"/>
          </w:tcPr>
          <w:p w14:paraId="257838C6" w14:textId="77777777" w:rsidR="00CC33B5" w:rsidRPr="003C7BFF" w:rsidRDefault="00CC33B5"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pPr>
            <w:r w:rsidRPr="003C7BFF">
              <w:t>144</w:t>
            </w:r>
          </w:p>
        </w:tc>
      </w:tr>
      <w:tr w:rsidR="00CC33B5" w:rsidRPr="00567A73" w14:paraId="5F7BD662" w14:textId="77777777" w:rsidTr="00C177E4">
        <w:tc>
          <w:tcPr>
            <w:cnfStyle w:val="001000000000" w:firstRow="0" w:lastRow="0" w:firstColumn="1" w:lastColumn="0" w:oddVBand="0" w:evenVBand="0" w:oddHBand="0" w:evenHBand="0" w:firstRowFirstColumn="0" w:firstRowLastColumn="0" w:lastRowFirstColumn="0" w:lastRowLastColumn="0"/>
            <w:tcW w:w="5665" w:type="dxa"/>
          </w:tcPr>
          <w:p w14:paraId="3C33B5F7" w14:textId="77777777" w:rsidR="00CC33B5" w:rsidRPr="003C7BFF" w:rsidRDefault="00CC33B5" w:rsidP="00733091">
            <w:pPr>
              <w:pStyle w:val="elementgraficznytabela"/>
              <w:spacing w:after="240"/>
            </w:pPr>
            <w:r w:rsidRPr="003C7BFF">
              <w:t>Duże przedsiębiorstwa (powyżej 250 osób)</w:t>
            </w:r>
          </w:p>
        </w:tc>
        <w:tc>
          <w:tcPr>
            <w:tcW w:w="3395" w:type="dxa"/>
          </w:tcPr>
          <w:p w14:paraId="26D89FEC" w14:textId="77777777" w:rsidR="00CC33B5" w:rsidRPr="003C7BFF" w:rsidRDefault="00CC33B5"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pPr>
            <w:r w:rsidRPr="003C7BFF">
              <w:t>9</w:t>
            </w:r>
          </w:p>
        </w:tc>
      </w:tr>
    </w:tbl>
    <w:p w14:paraId="2CDC498A" w14:textId="77777777" w:rsidR="00CC33B5" w:rsidRPr="00733091" w:rsidRDefault="00CC33B5" w:rsidP="00733091">
      <w:pPr>
        <w:pStyle w:val="podpiselementu"/>
        <w:spacing w:after="240"/>
        <w:rPr>
          <w:rFonts w:ascii="Segoe UI" w:hAnsi="Segoe UI" w:cs="Segoe UI"/>
          <w:color w:val="FFFFFF"/>
          <w:sz w:val="21"/>
          <w:szCs w:val="21"/>
          <w:lang w:val="pl-PL"/>
        </w:rPr>
      </w:pPr>
      <w:r w:rsidRPr="00733091">
        <w:rPr>
          <w:lang w:val="pl-PL"/>
        </w:rPr>
        <w:t>Źródło: opracowanie własne na podstawie https://analizy.monitorrozwoju.pl</w:t>
      </w:r>
      <w:r w:rsidRPr="00733091">
        <w:rPr>
          <w:rFonts w:ascii="Segoe UI" w:hAnsi="Segoe UI" w:cs="Segoe UI"/>
          <w:color w:val="FFFFFF"/>
          <w:sz w:val="21"/>
          <w:szCs w:val="21"/>
          <w:lang w:val="pl-PL"/>
        </w:rPr>
        <w:t>opiek</w:t>
      </w:r>
    </w:p>
    <w:p w14:paraId="71E43AA7" w14:textId="69BA6ED2" w:rsidR="00B16F07" w:rsidRDefault="00CC33B5" w:rsidP="00B16F07">
      <w:pPr>
        <w:rPr>
          <w:lang w:val="pl-PL"/>
        </w:rPr>
      </w:pPr>
      <w:r w:rsidRPr="00733091">
        <w:rPr>
          <w:lang w:val="pl-PL"/>
        </w:rPr>
        <w:t xml:space="preserve">Obszar Południowych Mazur charakteryzuje się niskim poziomem przedsiębiorczości mieszkańców. W 2019 r. wskaźnik podmiotów gospodarczych wpisanych do rejestru REGON na 1 tys. ludności kształtował się na poziomie 5,0 i był niższy od średniej wojewódzkiej (5,9) i krajowej (7,2). W ciągu ostatnich 10 lat, pomimo niewielkich wahań wartości wskaźnika widoczna była jego spadkowa tendencja. </w:t>
      </w:r>
      <w:r w:rsidRPr="00733091">
        <w:rPr>
          <w:color w:val="333333"/>
          <w:shd w:val="clear" w:color="auto" w:fill="FFFFFF"/>
          <w:lang w:val="pl-PL"/>
        </w:rPr>
        <w:t xml:space="preserve">Oznacza </w:t>
      </w:r>
      <w:r w:rsidRPr="00733091">
        <w:rPr>
          <w:lang w:val="pl-PL"/>
        </w:rPr>
        <w:t xml:space="preserve">to </w:t>
      </w:r>
      <w:r w:rsidRPr="00733091">
        <w:rPr>
          <w:b/>
          <w:bCs/>
          <w:lang w:val="pl-PL"/>
        </w:rPr>
        <w:t xml:space="preserve">obniżający się poziom aktywności gospodarczej (przedsiębiorczości) mieszkańców </w:t>
      </w:r>
      <w:r w:rsidRPr="00733091">
        <w:rPr>
          <w:lang w:val="pl-PL"/>
        </w:rPr>
        <w:t>(wykres poniżej).</w:t>
      </w:r>
      <w:r w:rsidR="00974649">
        <w:rPr>
          <w:lang w:val="pl-PL"/>
        </w:rPr>
        <w:t xml:space="preserve"> </w:t>
      </w:r>
    </w:p>
    <w:p w14:paraId="54BE65FF" w14:textId="0D21EDA4" w:rsidR="00CC33B5" w:rsidRPr="00B16F07" w:rsidRDefault="007D776B" w:rsidP="00B16F07">
      <w:pPr>
        <w:rPr>
          <w:sz w:val="20"/>
          <w:szCs w:val="20"/>
          <w:lang w:val="pl-PL"/>
        </w:rPr>
      </w:pPr>
      <w:bookmarkStart w:id="107" w:name="_Toc69723195"/>
      <w:r w:rsidRPr="00B16F07">
        <w:rPr>
          <w:sz w:val="20"/>
          <w:szCs w:val="20"/>
          <w:lang w:val="pl-PL"/>
        </w:rPr>
        <w:t xml:space="preserve">Wykres </w:t>
      </w:r>
      <w:r w:rsidR="00733091" w:rsidRPr="00B16F07">
        <w:rPr>
          <w:sz w:val="20"/>
          <w:szCs w:val="20"/>
        </w:rPr>
        <w:fldChar w:fldCharType="begin"/>
      </w:r>
      <w:r w:rsidR="00733091" w:rsidRPr="00B16F07">
        <w:rPr>
          <w:sz w:val="20"/>
          <w:szCs w:val="20"/>
          <w:lang w:val="pl-PL"/>
        </w:rPr>
        <w:instrText xml:space="preserve"> SEQ Wykres \* ARABIC </w:instrText>
      </w:r>
      <w:r w:rsidR="00733091" w:rsidRPr="00B16F07">
        <w:rPr>
          <w:sz w:val="20"/>
          <w:szCs w:val="20"/>
        </w:rPr>
        <w:fldChar w:fldCharType="separate"/>
      </w:r>
      <w:r w:rsidR="00B14787">
        <w:rPr>
          <w:noProof/>
          <w:sz w:val="20"/>
          <w:szCs w:val="20"/>
          <w:lang w:val="pl-PL"/>
        </w:rPr>
        <w:t>37</w:t>
      </w:r>
      <w:r w:rsidR="00733091" w:rsidRPr="00B16F07">
        <w:rPr>
          <w:noProof/>
          <w:sz w:val="20"/>
          <w:szCs w:val="20"/>
        </w:rPr>
        <w:fldChar w:fldCharType="end"/>
      </w:r>
      <w:r w:rsidRPr="00B16F07">
        <w:rPr>
          <w:sz w:val="20"/>
          <w:szCs w:val="20"/>
          <w:lang w:val="pl-PL"/>
        </w:rPr>
        <w:t xml:space="preserve">: </w:t>
      </w:r>
      <w:r w:rsidR="00CC33B5" w:rsidRPr="00B16F07">
        <w:rPr>
          <w:sz w:val="20"/>
          <w:szCs w:val="20"/>
          <w:lang w:val="pl-PL"/>
        </w:rPr>
        <w:t>Zmiany liczby podmiotów wpisanych do rejestru REGON na tys. ludności w latach 2010-2019</w:t>
      </w:r>
      <w:bookmarkEnd w:id="107"/>
    </w:p>
    <w:p w14:paraId="0944D287" w14:textId="671BE8AD" w:rsidR="00CC33B5" w:rsidRPr="00663515" w:rsidRDefault="00CC33B5" w:rsidP="00663515">
      <w:pPr>
        <w:ind w:left="0"/>
        <w:rPr>
          <w:rFonts w:asciiTheme="majorHAnsi" w:hAnsiTheme="majorHAnsi" w:cstheme="majorHAnsi"/>
          <w:lang w:val="pl-PL"/>
        </w:rPr>
      </w:pPr>
      <w:r w:rsidRPr="00F25EBD">
        <w:rPr>
          <w:rFonts w:asciiTheme="majorHAnsi" w:hAnsiTheme="majorHAnsi" w:cstheme="majorHAnsi"/>
          <w:noProof/>
          <w:lang w:eastAsia="pl-PL"/>
        </w:rPr>
        <w:drawing>
          <wp:inline distT="0" distB="0" distL="0" distR="0" wp14:anchorId="112B5075" wp14:editId="7FB6103D">
            <wp:extent cx="5759450" cy="2506980"/>
            <wp:effectExtent l="0" t="0" r="12700" b="7620"/>
            <wp:docPr id="200" name="Wykres 200" descr="wykres liniowy odzwierciedlający zmiany liczby podmiotów wpisanych do rejestru REGON na tys. ludności w latach 2010-2019; kolorem niebieskim oznaczone są wskaźniki dla powiatu piskiego, pomarańczowym – powiatu działdowskiego, żółtym- powiatu nidzickiego, a zielonym - powiatu szczycieńskiego. Kolorem szarym oznaczone jest województwo warmińsko-mazurskie, czarnym - Polska">
              <a:extLst xmlns:a="http://schemas.openxmlformats.org/drawingml/2006/main">
                <a:ext uri="{FF2B5EF4-FFF2-40B4-BE49-F238E27FC236}">
                  <a16:creationId xmlns:a16="http://schemas.microsoft.com/office/drawing/2014/main" id="{C11ECF8A-9407-455F-B5F3-F413AE46668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r w:rsidRPr="00663515">
        <w:rPr>
          <w:rFonts w:asciiTheme="majorHAnsi" w:hAnsiTheme="majorHAnsi" w:cstheme="majorHAnsi"/>
          <w:lang w:val="pl-PL"/>
        </w:rPr>
        <w:t>Źródło: opracowanie własne na podstawie danych BDL.</w:t>
      </w:r>
    </w:p>
    <w:p w14:paraId="1BBDAC2A" w14:textId="77777777" w:rsidR="00CC33B5" w:rsidRPr="00567A73" w:rsidRDefault="00CC33B5" w:rsidP="00733091">
      <w:pPr>
        <w:pStyle w:val="rdo"/>
        <w:spacing w:before="120" w:after="240" w:line="276" w:lineRule="auto"/>
        <w:jc w:val="left"/>
        <w:rPr>
          <w:rFonts w:asciiTheme="minorHAnsi" w:hAnsiTheme="minorHAnsi" w:cstheme="minorHAnsi"/>
          <w:i w:val="0"/>
          <w:iCs/>
          <w:color w:val="44546A" w:themeColor="text2"/>
        </w:rPr>
      </w:pPr>
    </w:p>
    <w:p w14:paraId="2BF23F76" w14:textId="1FE2A995" w:rsidR="00B16F07" w:rsidRDefault="00B16F07" w:rsidP="00B16F07">
      <w:pPr>
        <w:rPr>
          <w:lang w:val="pl-PL"/>
        </w:rPr>
      </w:pPr>
      <w:r>
        <w:rPr>
          <w:lang w:val="pl-PL"/>
        </w:rPr>
        <w:lastRenderedPageBreak/>
        <w:t xml:space="preserve">Podkreślić także należy, że liczba podmiotów gospodarczych na 1 tys. mieszkańców na terenie Południowych Mazur w okresie 2015-2019 była niższa niż w grupie porównawczej (wskaźnik osiągał ujemne wartości), a spadkowa tendencja pogłębiała się od 2015 r. Pozytywnie na tym tle wyróżniały się: Świętajno, Szczytno i Pisz. </w:t>
      </w:r>
    </w:p>
    <w:p w14:paraId="6239B8B7" w14:textId="2CF41C66" w:rsidR="00CC33B5" w:rsidRPr="00733091" w:rsidRDefault="00CC33B5" w:rsidP="00EA3474">
      <w:pPr>
        <w:rPr>
          <w:lang w:val="pl-PL"/>
        </w:rPr>
      </w:pPr>
      <w:r w:rsidRPr="00733091">
        <w:rPr>
          <w:lang w:val="pl-PL"/>
        </w:rPr>
        <w:t xml:space="preserve">W okresie 2010-2019 liczba </w:t>
      </w:r>
      <w:r w:rsidRPr="00733091">
        <w:rPr>
          <w:u w:val="single"/>
          <w:lang w:val="pl-PL"/>
        </w:rPr>
        <w:t>nowo zarejestrowanych</w:t>
      </w:r>
      <w:r w:rsidRPr="00733091">
        <w:rPr>
          <w:lang w:val="pl-PL"/>
        </w:rPr>
        <w:t xml:space="preserve"> podmiotów w rejestrze REGON w ciągu kolejnych lat wahała się; jednakże z nieznaczną dynamiką dodatnią (liczba podmiotów w REGON wzrosła o 3,49%, tj z 1603 w 2010 r. do 1659 w 2019 r.)</w:t>
      </w:r>
      <w:r w:rsidR="00EA3474">
        <w:rPr>
          <w:lang w:val="pl-PL"/>
        </w:rPr>
        <w:t xml:space="preserve">. </w:t>
      </w:r>
      <w:r w:rsidRPr="00733091">
        <w:rPr>
          <w:lang w:val="pl-PL"/>
        </w:rPr>
        <w:t>Odmiennie niż dynamika zmian podmiotów zarejestrowanych kształtowała się dynamika zmian liczby podmiotów wykreślonych z rejestru REGON. Liczba podmiotów wykreślonych była w 2019 r. o 987 podmiotów niższa niż w 2010 r. (dynamika zmian w okresie 2009-2019 r. kształtowała się na poziomie -49,37%).</w:t>
      </w:r>
    </w:p>
    <w:p w14:paraId="720C9BAD" w14:textId="51D1FF7F" w:rsidR="00EA3474" w:rsidRDefault="00CC33B5" w:rsidP="00DA6726">
      <w:pPr>
        <w:rPr>
          <w:lang w:val="pl-PL"/>
        </w:rPr>
      </w:pPr>
      <w:r w:rsidRPr="00733091">
        <w:rPr>
          <w:lang w:val="pl-PL"/>
        </w:rPr>
        <w:t>Niekorzystnym zmianom uległ również udział nowo zarejestrowanych podmiotów sektora kreatywnego (zmniejszył się o 2,19% od 2010 r.), sektora przetwórstwa rolno-spożywczego (zmniejszył się o 39,42% od 2010 r.) i sektora medycznego (zmniejszył się o 48,66% w 2010 r.) w liczbie nowo zarejestrowanych podmiotów gospodarczych ogółem.</w:t>
      </w:r>
      <w:r w:rsidR="00DA6726">
        <w:rPr>
          <w:lang w:val="pl-PL"/>
        </w:rPr>
        <w:t xml:space="preserve"> </w:t>
      </w:r>
      <w:r w:rsidRPr="00733091">
        <w:rPr>
          <w:lang w:val="pl-PL"/>
        </w:rPr>
        <w:t>Wzrosła natomiast liczba podmiotów świadczących pomoc przedsiębiorcom – instytucji otoczenia biznesu (o 4,97%), co nie przełożyło się na wzrost aktywności gospodarczej mieszkańców Południowych Mazur.</w:t>
      </w:r>
      <w:r w:rsidR="00EA3474">
        <w:rPr>
          <w:lang w:val="pl-PL"/>
        </w:rPr>
        <w:br/>
      </w:r>
      <w:r w:rsidRPr="00733091">
        <w:rPr>
          <w:lang w:val="pl-PL"/>
        </w:rPr>
        <w:t>Zestawienie danych obrazujących opisane zmiany prezentuje tabela</w:t>
      </w:r>
      <w:r w:rsidR="00EA3474">
        <w:rPr>
          <w:lang w:val="pl-PL"/>
        </w:rPr>
        <w:t xml:space="preserve"> nr 16</w:t>
      </w:r>
      <w:r w:rsidRPr="00733091">
        <w:rPr>
          <w:lang w:val="pl-PL"/>
        </w:rPr>
        <w:t>.</w:t>
      </w:r>
    </w:p>
    <w:p w14:paraId="06FE1CF1" w14:textId="77777777" w:rsidR="00EA3474" w:rsidRDefault="00EA3474" w:rsidP="00EA3474">
      <w:pPr>
        <w:pStyle w:val="Akapitzlist"/>
        <w:numPr>
          <w:ilvl w:val="0"/>
          <w:numId w:val="0"/>
        </w:numPr>
        <w:ind w:left="851"/>
        <w:rPr>
          <w:lang w:val="pl-PL"/>
        </w:rPr>
      </w:pPr>
      <w:r w:rsidRPr="00EA3474">
        <w:rPr>
          <w:lang w:val="pl-PL"/>
        </w:rPr>
        <w:t>W ujęciu zbiorczym, w 2019 r. podmioty gospodarcze prowadziły działalność z sektorze:</w:t>
      </w:r>
    </w:p>
    <w:p w14:paraId="6F84A86E" w14:textId="77777777" w:rsidR="00EA3474" w:rsidRPr="00EA3474" w:rsidRDefault="00EA3474" w:rsidP="00B063F0">
      <w:pPr>
        <w:pStyle w:val="Akapitzlist"/>
        <w:numPr>
          <w:ilvl w:val="0"/>
          <w:numId w:val="53"/>
        </w:numPr>
        <w:ind w:left="1276" w:hanging="425"/>
        <w:rPr>
          <w:lang w:val="pl-PL"/>
        </w:rPr>
      </w:pPr>
      <w:r w:rsidRPr="00EA3474">
        <w:rPr>
          <w:rFonts w:cstheme="minorHAnsi"/>
          <w:lang w:val="pl-PL"/>
        </w:rPr>
        <w:t>handlu hurtowego i detalicznego; naprawie pojazdów samochodowych, włączając motocykle (sekcja G PKD - 18,6%) - w sekcji tej ponad połowa podmiotów (65,3%) przypadała na handel detaliczny (z wyłączeniem handlu detalicznego pojazdami samochodowymi);</w:t>
      </w:r>
    </w:p>
    <w:p w14:paraId="1988FB88" w14:textId="77777777" w:rsidR="00EA3474" w:rsidRPr="00EA3474" w:rsidRDefault="00EA3474" w:rsidP="00B063F0">
      <w:pPr>
        <w:pStyle w:val="Akapitzlist"/>
        <w:numPr>
          <w:ilvl w:val="0"/>
          <w:numId w:val="53"/>
        </w:numPr>
        <w:ind w:left="1276" w:hanging="425"/>
        <w:rPr>
          <w:lang w:val="pl-PL"/>
        </w:rPr>
      </w:pPr>
      <w:r w:rsidRPr="00EA3474">
        <w:rPr>
          <w:rFonts w:cstheme="minorHAnsi"/>
          <w:lang w:val="pl-PL"/>
        </w:rPr>
        <w:t>budownictwa (sekcja F –13,7%) - tu z kolei dominowały podmioty zgrupowane w dziale 47 tj. roboty budowlane specjalistyczne (67,6%);</w:t>
      </w:r>
    </w:p>
    <w:p w14:paraId="6A1A2220" w14:textId="77777777" w:rsidR="00EA3474" w:rsidRPr="00EA3474" w:rsidRDefault="00EA3474" w:rsidP="00B063F0">
      <w:pPr>
        <w:pStyle w:val="Akapitzlist"/>
        <w:numPr>
          <w:ilvl w:val="0"/>
          <w:numId w:val="53"/>
        </w:numPr>
        <w:ind w:left="1276" w:hanging="425"/>
        <w:rPr>
          <w:lang w:val="pl-PL"/>
        </w:rPr>
      </w:pPr>
      <w:r w:rsidRPr="00EA3474">
        <w:rPr>
          <w:rFonts w:cstheme="minorHAnsi"/>
          <w:lang w:val="pl-PL"/>
        </w:rPr>
        <w:t>przetwórstwa przemysłowego (sekcja C - 7,9%) - w przypadku tej sekcji większość podmiotów (51,8%) zgrupowana była w trzech z 24 działów, a w tym:</w:t>
      </w:r>
    </w:p>
    <w:p w14:paraId="34F23F4C" w14:textId="079C17F8" w:rsidR="00EA3474" w:rsidRPr="00EA3474" w:rsidRDefault="00EA3474" w:rsidP="00EA3474">
      <w:pPr>
        <w:pStyle w:val="Akapitzlist"/>
        <w:numPr>
          <w:ilvl w:val="0"/>
          <w:numId w:val="0"/>
        </w:numPr>
        <w:ind w:left="1276"/>
        <w:rPr>
          <w:lang w:val="pl-PL"/>
        </w:rPr>
      </w:pPr>
      <w:r>
        <w:rPr>
          <w:rFonts w:cstheme="minorHAnsi"/>
          <w:lang w:val="pl-PL"/>
        </w:rPr>
        <w:t>-</w:t>
      </w:r>
      <w:r w:rsidRPr="00EA3474">
        <w:rPr>
          <w:rFonts w:cstheme="minorHAnsi"/>
          <w:lang w:val="pl-PL"/>
        </w:rPr>
        <w:t>dziale 16 - produkcja wyrobów z drewna oraz korka, z wyłączeniem mebli; produkcja wyrobów ze słomy i materiałów używanych do wyplatania (21,5% jednostek z sekcji C),</w:t>
      </w:r>
    </w:p>
    <w:p w14:paraId="4C7315F5" w14:textId="77777777" w:rsidR="00EA3474" w:rsidRPr="00733091" w:rsidRDefault="00EA3474" w:rsidP="00B063F0">
      <w:pPr>
        <w:pStyle w:val="Akapitzlist"/>
        <w:numPr>
          <w:ilvl w:val="0"/>
          <w:numId w:val="18"/>
        </w:numPr>
        <w:ind w:left="1276" w:firstLine="0"/>
        <w:rPr>
          <w:rFonts w:cstheme="minorHAnsi"/>
          <w:lang w:val="pl-PL"/>
        </w:rPr>
      </w:pPr>
      <w:r w:rsidRPr="00733091">
        <w:rPr>
          <w:rFonts w:cstheme="minorHAnsi"/>
          <w:lang w:val="pl-PL"/>
        </w:rPr>
        <w:t>dziale 31 - produkcja mebli (16,1% jednostek sekcji C),</w:t>
      </w:r>
    </w:p>
    <w:p w14:paraId="761E3F8D" w14:textId="77777777" w:rsidR="00EA3474" w:rsidRPr="00733091" w:rsidRDefault="00EA3474" w:rsidP="00B063F0">
      <w:pPr>
        <w:pStyle w:val="Akapitzlist"/>
        <w:numPr>
          <w:ilvl w:val="0"/>
          <w:numId w:val="18"/>
        </w:numPr>
        <w:ind w:left="1276" w:firstLine="0"/>
        <w:rPr>
          <w:rFonts w:cstheme="minorHAnsi"/>
          <w:lang w:val="pl-PL"/>
        </w:rPr>
      </w:pPr>
      <w:r w:rsidRPr="00733091">
        <w:rPr>
          <w:rFonts w:cstheme="minorHAnsi"/>
          <w:lang w:val="pl-PL"/>
        </w:rPr>
        <w:t>dziale 25 - produkcja metalowych wyrobów gotowych, z wyłączeniem maszyn i urządzeń (14,3% jednostek sekcji C);</w:t>
      </w:r>
    </w:p>
    <w:p w14:paraId="16637EC4" w14:textId="2F172DEC" w:rsidR="00EA3474" w:rsidRPr="00663515" w:rsidRDefault="00EA3474" w:rsidP="00EA3474">
      <w:pPr>
        <w:rPr>
          <w:rFonts w:asciiTheme="majorHAnsi" w:hAnsiTheme="majorHAnsi" w:cstheme="majorHAnsi"/>
          <w:lang w:val="pl-PL"/>
        </w:rPr>
      </w:pPr>
      <w:r w:rsidRPr="00733091">
        <w:rPr>
          <w:rFonts w:cstheme="minorHAnsi"/>
          <w:lang w:val="pl-PL"/>
        </w:rPr>
        <w:lastRenderedPageBreak/>
        <w:t>pozostałej działalności usługowej (połączone sekcje S i T - 7,9%).</w:t>
      </w:r>
      <w:r>
        <w:rPr>
          <w:rFonts w:cstheme="minorHAnsi"/>
          <w:lang w:val="pl-PL"/>
        </w:rPr>
        <w:br/>
      </w:r>
      <w:r w:rsidRPr="00733091">
        <w:rPr>
          <w:lang w:val="pl-PL"/>
        </w:rPr>
        <w:t>Łącznie w sekcjach G, F, C oraz S i T PKD działało 48,10% przedsiębiorstw</w:t>
      </w:r>
      <w:r>
        <w:rPr>
          <w:rStyle w:val="Odwoanieprzypisudolnego"/>
          <w:rFonts w:cstheme="minorHAnsi"/>
        </w:rPr>
        <w:footnoteReference w:id="71"/>
      </w:r>
      <w:r w:rsidRPr="00733091">
        <w:rPr>
          <w:rFonts w:asciiTheme="majorHAnsi" w:hAnsiTheme="majorHAnsi" w:cstheme="majorHAnsi"/>
          <w:lang w:val="pl-PL"/>
        </w:rPr>
        <w:t>.</w:t>
      </w:r>
    </w:p>
    <w:p w14:paraId="003EDDF1" w14:textId="663F383C" w:rsidR="00B16F07" w:rsidRDefault="00B16F07" w:rsidP="00B16F07">
      <w:pPr>
        <w:rPr>
          <w:lang w:val="pl-PL"/>
        </w:rPr>
      </w:pPr>
      <w:r w:rsidRPr="00733091">
        <w:rPr>
          <w:lang w:val="pl-PL"/>
        </w:rPr>
        <w:t>W latach 2010-2019 największy przyrost odnotowała sekcja D - wytwarzanie i zaopatrywanie w energię elektryczną, gaz, parę wodną, gorącą wodę i powietrze do układów klimatyzacyjnych. Zjawisko to wystąpiło na wszystkich analizowanych poziomach, tj. zarówno w Południowych Mazurach (gdzie średnia zmiana wyniosła 178,8%, co oznaczało wzrost o 30 podmiotów w wartościach bezwzględnych), jak i przyjętych punktach odniesienia - w kraju (134,4%) i regionie (115,1%). W ujęciu bezwzględnym największy przyrost odnotowała sekcja F (budownictwo), w której liczba przedsiębiorstw zwiększyła się łącznie o 657 jednostek. Z kolei największa redukcja dotknęła sekcję G (handel hurtowy i detaliczny; naprawa pojazdów samochodowych, włączając motocykle), z której ubyły łącznie 622 podmioty.</w:t>
      </w:r>
    </w:p>
    <w:p w14:paraId="3A6DD808" w14:textId="6AE6EE5F" w:rsidR="00B16F07" w:rsidRDefault="00B16F07" w:rsidP="00B16F07">
      <w:pPr>
        <w:rPr>
          <w:lang w:val="pl-PL"/>
        </w:rPr>
      </w:pPr>
      <w:r>
        <w:rPr>
          <w:lang w:val="pl-PL"/>
        </w:rPr>
        <w:t xml:space="preserve">Struktura </w:t>
      </w:r>
      <w:r w:rsidR="00175616">
        <w:rPr>
          <w:lang w:val="pl-PL"/>
        </w:rPr>
        <w:t xml:space="preserve">gospodarcza na terenie Południowych Mazur jest korzystna – udział osób zatrudnionych w usługach do ogółu zatrudnionych w latach 2015-2019 był wyższy niż w grupie porównawczej (choć wartość wskaźnika w tym czasie wahała się, </w:t>
      </w:r>
      <w:r w:rsidR="00837706">
        <w:rPr>
          <w:lang w:val="pl-PL"/>
        </w:rPr>
        <w:br/>
      </w:r>
      <w:r w:rsidR="00175616">
        <w:rPr>
          <w:lang w:val="pl-PL"/>
        </w:rPr>
        <w:t xml:space="preserve">a dynamika zmian była ujemna). </w:t>
      </w:r>
    </w:p>
    <w:p w14:paraId="5061FC90" w14:textId="77777777" w:rsidR="00175616" w:rsidRPr="00733091" w:rsidRDefault="00175616" w:rsidP="00B16F07">
      <w:pPr>
        <w:rPr>
          <w:lang w:val="pl-PL"/>
        </w:rPr>
      </w:pPr>
    </w:p>
    <w:p w14:paraId="219A7CDC" w14:textId="77777777" w:rsidR="00EA3474" w:rsidRDefault="00EA3474" w:rsidP="00EA3474">
      <w:pPr>
        <w:ind w:left="0"/>
        <w:rPr>
          <w:lang w:val="pl-PL"/>
        </w:rPr>
      </w:pPr>
    </w:p>
    <w:p w14:paraId="3A3C6411" w14:textId="77777777" w:rsidR="00B16F07" w:rsidRDefault="00B16F07" w:rsidP="00EA3474">
      <w:pPr>
        <w:ind w:left="0"/>
        <w:rPr>
          <w:lang w:val="pl-PL"/>
        </w:rPr>
      </w:pPr>
    </w:p>
    <w:p w14:paraId="29D8A176" w14:textId="3EB4D42C" w:rsidR="00B16F07" w:rsidRPr="00EA3474" w:rsidRDefault="00B16F07" w:rsidP="00EA3474">
      <w:pPr>
        <w:ind w:left="0"/>
        <w:rPr>
          <w:lang w:val="pl-PL"/>
        </w:rPr>
        <w:sectPr w:rsidR="00B16F07" w:rsidRPr="00EA3474" w:rsidSect="00427A68">
          <w:pgSz w:w="11906" w:h="16838"/>
          <w:pgMar w:top="1418" w:right="1418" w:bottom="1701" w:left="1418" w:header="709" w:footer="709" w:gutter="0"/>
          <w:cols w:space="708"/>
          <w:docGrid w:linePitch="360"/>
        </w:sectPr>
      </w:pPr>
    </w:p>
    <w:p w14:paraId="6E502839" w14:textId="4B780562" w:rsidR="00CC33B5" w:rsidRPr="00733091" w:rsidRDefault="00CC33B5" w:rsidP="002E24A9">
      <w:pPr>
        <w:pStyle w:val="Legenda"/>
        <w:rPr>
          <w:i/>
          <w:shd w:val="clear" w:color="auto" w:fill="FFFFFF"/>
          <w:lang w:val="pl-PL"/>
        </w:rPr>
      </w:pPr>
      <w:bookmarkStart w:id="108" w:name="_Toc69723265"/>
      <w:r w:rsidRPr="00733091">
        <w:rPr>
          <w:lang w:val="pl-PL"/>
        </w:rPr>
        <w:lastRenderedPageBreak/>
        <w:t xml:space="preserve">Tabela </w:t>
      </w:r>
      <w:r w:rsidR="00733091">
        <w:fldChar w:fldCharType="begin"/>
      </w:r>
      <w:r w:rsidR="00733091" w:rsidRPr="00733091">
        <w:rPr>
          <w:lang w:val="pl-PL"/>
        </w:rPr>
        <w:instrText xml:space="preserve"> SEQ Tabela \* ARABIC </w:instrText>
      </w:r>
      <w:r w:rsidR="00733091">
        <w:fldChar w:fldCharType="separate"/>
      </w:r>
      <w:r w:rsidR="00B14787">
        <w:rPr>
          <w:noProof/>
          <w:lang w:val="pl-PL"/>
        </w:rPr>
        <w:t>16</w:t>
      </w:r>
      <w:r w:rsidR="00733091">
        <w:rPr>
          <w:noProof/>
        </w:rPr>
        <w:fldChar w:fldCharType="end"/>
      </w:r>
      <w:r w:rsidRPr="00733091">
        <w:rPr>
          <w:shd w:val="clear" w:color="auto" w:fill="FFFFFF"/>
          <w:lang w:val="pl-PL"/>
        </w:rPr>
        <w:t>: Wskaźniki przedsiębiorczości w Południowych Mazurach w latach 2010-2019</w:t>
      </w:r>
      <w:bookmarkEnd w:id="108"/>
    </w:p>
    <w:tbl>
      <w:tblPr>
        <w:tblStyle w:val="CWD"/>
        <w:tblpPr w:leftFromText="141" w:rightFromText="141" w:vertAnchor="text" w:tblpY="1"/>
        <w:tblOverlap w:val="never"/>
        <w:tblW w:w="5118" w:type="pct"/>
        <w:tblLook w:val="04A0" w:firstRow="1" w:lastRow="0" w:firstColumn="1" w:lastColumn="0" w:noHBand="0" w:noVBand="1"/>
      </w:tblPr>
      <w:tblGrid>
        <w:gridCol w:w="2406"/>
        <w:gridCol w:w="827"/>
        <w:gridCol w:w="1080"/>
        <w:gridCol w:w="1080"/>
        <w:gridCol w:w="1080"/>
        <w:gridCol w:w="1080"/>
        <w:gridCol w:w="1080"/>
        <w:gridCol w:w="1080"/>
        <w:gridCol w:w="1080"/>
        <w:gridCol w:w="1080"/>
        <w:gridCol w:w="1080"/>
        <w:gridCol w:w="1080"/>
      </w:tblGrid>
      <w:tr w:rsidR="00CC33B5" w:rsidRPr="006953B2" w14:paraId="6AE05B26" w14:textId="77777777" w:rsidTr="00EA3474">
        <w:trPr>
          <w:cnfStyle w:val="100000000000" w:firstRow="1" w:lastRow="0" w:firstColumn="0" w:lastColumn="0" w:oddVBand="0" w:evenVBand="0" w:oddHBand="0"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2405" w:type="dxa"/>
            <w:vMerge w:val="restart"/>
            <w:shd w:val="clear" w:color="auto" w:fill="FFC000"/>
          </w:tcPr>
          <w:p w14:paraId="46976ABC" w14:textId="33779307" w:rsidR="00CC33B5" w:rsidRPr="00D66672" w:rsidRDefault="00C177E4" w:rsidP="00663515">
            <w:pPr>
              <w:pStyle w:val="elementgraficznytabela"/>
              <w:spacing w:after="240"/>
              <w:jc w:val="center"/>
              <w:rPr>
                <w:rFonts w:cstheme="minorHAnsi"/>
                <w:szCs w:val="24"/>
              </w:rPr>
            </w:pPr>
            <w:r w:rsidRPr="00D66672">
              <w:rPr>
                <w:rFonts w:cstheme="minorHAnsi"/>
                <w:szCs w:val="24"/>
              </w:rPr>
              <w:t>Wskaźnik</w:t>
            </w:r>
          </w:p>
        </w:tc>
        <w:tc>
          <w:tcPr>
            <w:tcW w:w="827" w:type="dxa"/>
            <w:vMerge w:val="restart"/>
            <w:shd w:val="clear" w:color="auto" w:fill="FFC000"/>
          </w:tcPr>
          <w:p w14:paraId="39E6842A" w14:textId="77777777" w:rsidR="00CC33B5" w:rsidRPr="00D66672" w:rsidRDefault="00CC33B5" w:rsidP="00663515">
            <w:pPr>
              <w:pStyle w:val="elementgraficznytabela"/>
              <w:spacing w:after="240"/>
              <w:jc w:val="center"/>
              <w:cnfStyle w:val="100000000000" w:firstRow="1" w:lastRow="0" w:firstColumn="0" w:lastColumn="0" w:oddVBand="0" w:evenVBand="0" w:oddHBand="0" w:evenHBand="0" w:firstRowFirstColumn="0" w:firstRowLastColumn="0" w:lastRowFirstColumn="0" w:lastRowLastColumn="0"/>
              <w:rPr>
                <w:rFonts w:cstheme="minorHAnsi"/>
                <w:szCs w:val="24"/>
              </w:rPr>
            </w:pPr>
            <w:r w:rsidRPr="00D66672">
              <w:rPr>
                <w:rFonts w:cstheme="minorHAnsi"/>
                <w:szCs w:val="24"/>
              </w:rPr>
              <w:t>JST</w:t>
            </w:r>
          </w:p>
        </w:tc>
        <w:tc>
          <w:tcPr>
            <w:tcW w:w="10800" w:type="dxa"/>
            <w:gridSpan w:val="10"/>
            <w:shd w:val="clear" w:color="auto" w:fill="FFC000"/>
          </w:tcPr>
          <w:p w14:paraId="5B691F3D" w14:textId="77777777" w:rsidR="00CC33B5" w:rsidRPr="00D66672" w:rsidRDefault="00CC33B5" w:rsidP="00663515">
            <w:pPr>
              <w:pStyle w:val="elementgraficznytabela"/>
              <w:spacing w:after="240"/>
              <w:jc w:val="center"/>
              <w:cnfStyle w:val="100000000000" w:firstRow="1" w:lastRow="0" w:firstColumn="0" w:lastColumn="0" w:oddVBand="0" w:evenVBand="0" w:oddHBand="0" w:evenHBand="0" w:firstRowFirstColumn="0" w:firstRowLastColumn="0" w:lastRowFirstColumn="0" w:lastRowLastColumn="0"/>
              <w:rPr>
                <w:rFonts w:cstheme="minorHAnsi"/>
                <w:szCs w:val="24"/>
              </w:rPr>
            </w:pPr>
            <w:r w:rsidRPr="00D66672">
              <w:rPr>
                <w:rFonts w:cstheme="minorHAnsi"/>
                <w:szCs w:val="24"/>
              </w:rPr>
              <w:t>Lata</w:t>
            </w:r>
          </w:p>
        </w:tc>
      </w:tr>
      <w:tr w:rsidR="00CC33B5" w:rsidRPr="006953B2" w14:paraId="518AFCA3" w14:textId="77777777" w:rsidTr="00EA3474">
        <w:trPr>
          <w:trHeight w:val="230"/>
        </w:trPr>
        <w:tc>
          <w:tcPr>
            <w:cnfStyle w:val="001000000000" w:firstRow="0" w:lastRow="0" w:firstColumn="1" w:lastColumn="0" w:oddVBand="0" w:evenVBand="0" w:oddHBand="0" w:evenHBand="0" w:firstRowFirstColumn="0" w:firstRowLastColumn="0" w:lastRowFirstColumn="0" w:lastRowLastColumn="0"/>
            <w:tcW w:w="2405" w:type="dxa"/>
            <w:vMerge/>
            <w:shd w:val="clear" w:color="auto" w:fill="FFC000"/>
            <w:textDirection w:val="btLr"/>
          </w:tcPr>
          <w:p w14:paraId="3C15A18A" w14:textId="77777777" w:rsidR="00CC33B5" w:rsidRPr="00D66672" w:rsidRDefault="00CC33B5" w:rsidP="00733091">
            <w:pPr>
              <w:pStyle w:val="elementgraficznytabela"/>
              <w:spacing w:after="240"/>
              <w:rPr>
                <w:rFonts w:cstheme="minorHAnsi"/>
                <w:szCs w:val="24"/>
              </w:rPr>
            </w:pPr>
          </w:p>
        </w:tc>
        <w:tc>
          <w:tcPr>
            <w:tcW w:w="827" w:type="dxa"/>
            <w:vMerge/>
            <w:shd w:val="clear" w:color="auto" w:fill="FFC000"/>
            <w:textDirection w:val="btLr"/>
          </w:tcPr>
          <w:p w14:paraId="24E2F1CB" w14:textId="77777777" w:rsidR="00CC33B5" w:rsidRPr="00D66672" w:rsidRDefault="00CC33B5"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p>
        </w:tc>
        <w:tc>
          <w:tcPr>
            <w:tcW w:w="1080" w:type="dxa"/>
            <w:shd w:val="clear" w:color="auto" w:fill="FFC000"/>
          </w:tcPr>
          <w:p w14:paraId="3162B73D" w14:textId="77777777" w:rsidR="00CC33B5" w:rsidRPr="00D66672" w:rsidRDefault="00CC33B5" w:rsidP="00EA3474">
            <w:pPr>
              <w:pStyle w:val="elementgraficznytabela"/>
              <w:spacing w:after="240"/>
              <w:jc w:val="center"/>
              <w:cnfStyle w:val="000000000000" w:firstRow="0" w:lastRow="0" w:firstColumn="0" w:lastColumn="0" w:oddVBand="0" w:evenVBand="0" w:oddHBand="0" w:evenHBand="0" w:firstRowFirstColumn="0" w:firstRowLastColumn="0" w:lastRowFirstColumn="0" w:lastRowLastColumn="0"/>
              <w:rPr>
                <w:rFonts w:cstheme="minorHAnsi"/>
                <w:b/>
                <w:bCs/>
                <w:szCs w:val="24"/>
              </w:rPr>
            </w:pPr>
            <w:r w:rsidRPr="00D66672">
              <w:rPr>
                <w:rFonts w:cstheme="minorHAnsi"/>
                <w:b/>
                <w:bCs/>
                <w:szCs w:val="24"/>
              </w:rPr>
              <w:t>2010</w:t>
            </w:r>
          </w:p>
        </w:tc>
        <w:tc>
          <w:tcPr>
            <w:tcW w:w="1080" w:type="dxa"/>
            <w:shd w:val="clear" w:color="auto" w:fill="FFC000"/>
          </w:tcPr>
          <w:p w14:paraId="331C655E" w14:textId="77777777" w:rsidR="00CC33B5" w:rsidRPr="00D66672" w:rsidRDefault="00CC33B5" w:rsidP="00EA3474">
            <w:pPr>
              <w:pStyle w:val="elementgraficznytabela"/>
              <w:spacing w:after="240"/>
              <w:jc w:val="center"/>
              <w:cnfStyle w:val="000000000000" w:firstRow="0" w:lastRow="0" w:firstColumn="0" w:lastColumn="0" w:oddVBand="0" w:evenVBand="0" w:oddHBand="0" w:evenHBand="0" w:firstRowFirstColumn="0" w:firstRowLastColumn="0" w:lastRowFirstColumn="0" w:lastRowLastColumn="0"/>
              <w:rPr>
                <w:rFonts w:cstheme="minorHAnsi"/>
                <w:b/>
                <w:bCs/>
                <w:szCs w:val="24"/>
              </w:rPr>
            </w:pPr>
            <w:r w:rsidRPr="00D66672">
              <w:rPr>
                <w:rFonts w:cstheme="minorHAnsi"/>
                <w:b/>
                <w:bCs/>
                <w:szCs w:val="24"/>
              </w:rPr>
              <w:t>2011</w:t>
            </w:r>
          </w:p>
        </w:tc>
        <w:tc>
          <w:tcPr>
            <w:tcW w:w="1080" w:type="dxa"/>
            <w:shd w:val="clear" w:color="auto" w:fill="FFC000"/>
          </w:tcPr>
          <w:p w14:paraId="6369A88E" w14:textId="77777777" w:rsidR="00CC33B5" w:rsidRPr="00D66672" w:rsidRDefault="00CC33B5" w:rsidP="00EA3474">
            <w:pPr>
              <w:pStyle w:val="elementgraficznytabela"/>
              <w:spacing w:after="240"/>
              <w:jc w:val="center"/>
              <w:cnfStyle w:val="000000000000" w:firstRow="0" w:lastRow="0" w:firstColumn="0" w:lastColumn="0" w:oddVBand="0" w:evenVBand="0" w:oddHBand="0" w:evenHBand="0" w:firstRowFirstColumn="0" w:firstRowLastColumn="0" w:lastRowFirstColumn="0" w:lastRowLastColumn="0"/>
              <w:rPr>
                <w:rFonts w:cstheme="minorHAnsi"/>
                <w:b/>
                <w:bCs/>
                <w:szCs w:val="24"/>
              </w:rPr>
            </w:pPr>
            <w:r w:rsidRPr="00D66672">
              <w:rPr>
                <w:rFonts w:cstheme="minorHAnsi"/>
                <w:b/>
                <w:bCs/>
                <w:szCs w:val="24"/>
              </w:rPr>
              <w:t>2012</w:t>
            </w:r>
          </w:p>
        </w:tc>
        <w:tc>
          <w:tcPr>
            <w:tcW w:w="1080" w:type="dxa"/>
            <w:shd w:val="clear" w:color="auto" w:fill="FFC000"/>
          </w:tcPr>
          <w:p w14:paraId="67742E85" w14:textId="77777777" w:rsidR="00CC33B5" w:rsidRPr="00D66672" w:rsidRDefault="00CC33B5" w:rsidP="00EA3474">
            <w:pPr>
              <w:pStyle w:val="elementgraficznytabela"/>
              <w:spacing w:after="240"/>
              <w:jc w:val="center"/>
              <w:cnfStyle w:val="000000000000" w:firstRow="0" w:lastRow="0" w:firstColumn="0" w:lastColumn="0" w:oddVBand="0" w:evenVBand="0" w:oddHBand="0" w:evenHBand="0" w:firstRowFirstColumn="0" w:firstRowLastColumn="0" w:lastRowFirstColumn="0" w:lastRowLastColumn="0"/>
              <w:rPr>
                <w:rFonts w:cstheme="minorHAnsi"/>
                <w:b/>
                <w:bCs/>
                <w:szCs w:val="24"/>
              </w:rPr>
            </w:pPr>
            <w:r w:rsidRPr="00D66672">
              <w:rPr>
                <w:rFonts w:cstheme="minorHAnsi"/>
                <w:b/>
                <w:bCs/>
                <w:szCs w:val="24"/>
              </w:rPr>
              <w:t>2013</w:t>
            </w:r>
          </w:p>
        </w:tc>
        <w:tc>
          <w:tcPr>
            <w:tcW w:w="1080" w:type="dxa"/>
            <w:shd w:val="clear" w:color="auto" w:fill="FFC000"/>
          </w:tcPr>
          <w:p w14:paraId="6F298379" w14:textId="77777777" w:rsidR="00CC33B5" w:rsidRPr="00D66672" w:rsidRDefault="00CC33B5" w:rsidP="00EA3474">
            <w:pPr>
              <w:pStyle w:val="elementgraficznytabela"/>
              <w:spacing w:after="240"/>
              <w:jc w:val="center"/>
              <w:cnfStyle w:val="000000000000" w:firstRow="0" w:lastRow="0" w:firstColumn="0" w:lastColumn="0" w:oddVBand="0" w:evenVBand="0" w:oddHBand="0" w:evenHBand="0" w:firstRowFirstColumn="0" w:firstRowLastColumn="0" w:lastRowFirstColumn="0" w:lastRowLastColumn="0"/>
              <w:rPr>
                <w:rFonts w:cstheme="minorHAnsi"/>
                <w:b/>
                <w:bCs/>
                <w:szCs w:val="24"/>
              </w:rPr>
            </w:pPr>
            <w:r w:rsidRPr="00D66672">
              <w:rPr>
                <w:rFonts w:cstheme="minorHAnsi"/>
                <w:b/>
                <w:bCs/>
                <w:szCs w:val="24"/>
              </w:rPr>
              <w:t>2014</w:t>
            </w:r>
          </w:p>
        </w:tc>
        <w:tc>
          <w:tcPr>
            <w:tcW w:w="1080" w:type="dxa"/>
            <w:shd w:val="clear" w:color="auto" w:fill="FFC000"/>
          </w:tcPr>
          <w:p w14:paraId="26A5AD06" w14:textId="77777777" w:rsidR="00CC33B5" w:rsidRPr="00D66672" w:rsidRDefault="00CC33B5" w:rsidP="00EA3474">
            <w:pPr>
              <w:pStyle w:val="elementgraficznytabela"/>
              <w:spacing w:after="240"/>
              <w:jc w:val="center"/>
              <w:cnfStyle w:val="000000000000" w:firstRow="0" w:lastRow="0" w:firstColumn="0" w:lastColumn="0" w:oddVBand="0" w:evenVBand="0" w:oddHBand="0" w:evenHBand="0" w:firstRowFirstColumn="0" w:firstRowLastColumn="0" w:lastRowFirstColumn="0" w:lastRowLastColumn="0"/>
              <w:rPr>
                <w:rFonts w:cstheme="minorHAnsi"/>
                <w:b/>
                <w:bCs/>
                <w:szCs w:val="24"/>
              </w:rPr>
            </w:pPr>
            <w:r w:rsidRPr="00D66672">
              <w:rPr>
                <w:rFonts w:cstheme="minorHAnsi"/>
                <w:b/>
                <w:bCs/>
                <w:szCs w:val="24"/>
              </w:rPr>
              <w:t>2015</w:t>
            </w:r>
          </w:p>
        </w:tc>
        <w:tc>
          <w:tcPr>
            <w:tcW w:w="1080" w:type="dxa"/>
            <w:shd w:val="clear" w:color="auto" w:fill="FFC000"/>
          </w:tcPr>
          <w:p w14:paraId="3CEB8098" w14:textId="77777777" w:rsidR="00CC33B5" w:rsidRPr="00D66672" w:rsidRDefault="00CC33B5" w:rsidP="00EA3474">
            <w:pPr>
              <w:pStyle w:val="elementgraficznytabela"/>
              <w:spacing w:after="240"/>
              <w:jc w:val="center"/>
              <w:cnfStyle w:val="000000000000" w:firstRow="0" w:lastRow="0" w:firstColumn="0" w:lastColumn="0" w:oddVBand="0" w:evenVBand="0" w:oddHBand="0" w:evenHBand="0" w:firstRowFirstColumn="0" w:firstRowLastColumn="0" w:lastRowFirstColumn="0" w:lastRowLastColumn="0"/>
              <w:rPr>
                <w:rFonts w:cstheme="minorHAnsi"/>
                <w:b/>
                <w:bCs/>
                <w:szCs w:val="24"/>
              </w:rPr>
            </w:pPr>
            <w:r w:rsidRPr="00D66672">
              <w:rPr>
                <w:rFonts w:cstheme="minorHAnsi"/>
                <w:b/>
                <w:bCs/>
                <w:szCs w:val="24"/>
              </w:rPr>
              <w:t>2016</w:t>
            </w:r>
          </w:p>
        </w:tc>
        <w:tc>
          <w:tcPr>
            <w:tcW w:w="1080" w:type="dxa"/>
            <w:shd w:val="clear" w:color="auto" w:fill="FFC000"/>
          </w:tcPr>
          <w:p w14:paraId="31B110A6" w14:textId="77777777" w:rsidR="00CC33B5" w:rsidRPr="00D66672" w:rsidRDefault="00CC33B5" w:rsidP="00EA3474">
            <w:pPr>
              <w:pStyle w:val="elementgraficznytabela"/>
              <w:spacing w:after="240"/>
              <w:jc w:val="center"/>
              <w:cnfStyle w:val="000000000000" w:firstRow="0" w:lastRow="0" w:firstColumn="0" w:lastColumn="0" w:oddVBand="0" w:evenVBand="0" w:oddHBand="0" w:evenHBand="0" w:firstRowFirstColumn="0" w:firstRowLastColumn="0" w:lastRowFirstColumn="0" w:lastRowLastColumn="0"/>
              <w:rPr>
                <w:rFonts w:cstheme="minorHAnsi"/>
                <w:b/>
                <w:bCs/>
                <w:szCs w:val="24"/>
              </w:rPr>
            </w:pPr>
            <w:r w:rsidRPr="00D66672">
              <w:rPr>
                <w:rFonts w:cstheme="minorHAnsi"/>
                <w:b/>
                <w:bCs/>
                <w:szCs w:val="24"/>
              </w:rPr>
              <w:t>2017</w:t>
            </w:r>
          </w:p>
        </w:tc>
        <w:tc>
          <w:tcPr>
            <w:tcW w:w="1080" w:type="dxa"/>
            <w:shd w:val="clear" w:color="auto" w:fill="FFC000"/>
          </w:tcPr>
          <w:p w14:paraId="70D88A71" w14:textId="77777777" w:rsidR="00CC33B5" w:rsidRPr="00D66672" w:rsidRDefault="00CC33B5" w:rsidP="00EA3474">
            <w:pPr>
              <w:pStyle w:val="elementgraficznytabela"/>
              <w:spacing w:after="240"/>
              <w:jc w:val="center"/>
              <w:cnfStyle w:val="000000000000" w:firstRow="0" w:lastRow="0" w:firstColumn="0" w:lastColumn="0" w:oddVBand="0" w:evenVBand="0" w:oddHBand="0" w:evenHBand="0" w:firstRowFirstColumn="0" w:firstRowLastColumn="0" w:lastRowFirstColumn="0" w:lastRowLastColumn="0"/>
              <w:rPr>
                <w:rFonts w:cstheme="minorHAnsi"/>
                <w:b/>
                <w:bCs/>
                <w:szCs w:val="24"/>
              </w:rPr>
            </w:pPr>
            <w:r w:rsidRPr="00D66672">
              <w:rPr>
                <w:rFonts w:cstheme="minorHAnsi"/>
                <w:b/>
                <w:bCs/>
                <w:szCs w:val="24"/>
              </w:rPr>
              <w:t>2018</w:t>
            </w:r>
          </w:p>
        </w:tc>
        <w:tc>
          <w:tcPr>
            <w:tcW w:w="1080" w:type="dxa"/>
            <w:shd w:val="clear" w:color="auto" w:fill="FFC000"/>
          </w:tcPr>
          <w:p w14:paraId="3E43FE99" w14:textId="77777777" w:rsidR="00CC33B5" w:rsidRPr="00D66672" w:rsidRDefault="00CC33B5" w:rsidP="00EA3474">
            <w:pPr>
              <w:pStyle w:val="elementgraficznytabela"/>
              <w:spacing w:after="240"/>
              <w:jc w:val="center"/>
              <w:cnfStyle w:val="000000000000" w:firstRow="0" w:lastRow="0" w:firstColumn="0" w:lastColumn="0" w:oddVBand="0" w:evenVBand="0" w:oddHBand="0" w:evenHBand="0" w:firstRowFirstColumn="0" w:firstRowLastColumn="0" w:lastRowFirstColumn="0" w:lastRowLastColumn="0"/>
              <w:rPr>
                <w:rFonts w:cstheme="minorHAnsi"/>
                <w:b/>
                <w:bCs/>
                <w:szCs w:val="24"/>
              </w:rPr>
            </w:pPr>
            <w:r w:rsidRPr="00D66672">
              <w:rPr>
                <w:rFonts w:cstheme="minorHAnsi"/>
                <w:b/>
                <w:bCs/>
                <w:szCs w:val="24"/>
              </w:rPr>
              <w:t>2019</w:t>
            </w:r>
          </w:p>
        </w:tc>
      </w:tr>
      <w:tr w:rsidR="00CC33B5" w:rsidRPr="006953B2" w14:paraId="4BFDCFF4" w14:textId="77777777" w:rsidTr="00EA3474">
        <w:trPr>
          <w:trHeight w:val="80"/>
        </w:trPr>
        <w:tc>
          <w:tcPr>
            <w:cnfStyle w:val="001000000000" w:firstRow="0" w:lastRow="0" w:firstColumn="1" w:lastColumn="0" w:oddVBand="0" w:evenVBand="0" w:oddHBand="0" w:evenHBand="0" w:firstRowFirstColumn="0" w:firstRowLastColumn="0" w:lastRowFirstColumn="0" w:lastRowLastColumn="0"/>
            <w:tcW w:w="2405" w:type="dxa"/>
            <w:vMerge w:val="restart"/>
            <w:vAlign w:val="top"/>
          </w:tcPr>
          <w:p w14:paraId="5C0AD6E0" w14:textId="18CC9138" w:rsidR="00EA3474" w:rsidRPr="00D66672" w:rsidRDefault="00CC33B5" w:rsidP="00EA3474">
            <w:pPr>
              <w:pStyle w:val="elementgraficznytabela"/>
              <w:spacing w:after="240"/>
              <w:jc w:val="center"/>
              <w:rPr>
                <w:rFonts w:cstheme="minorHAnsi"/>
                <w:b w:val="0"/>
                <w:szCs w:val="24"/>
              </w:rPr>
            </w:pPr>
            <w:r w:rsidRPr="00D66672">
              <w:rPr>
                <w:rFonts w:cstheme="minorHAnsi"/>
                <w:szCs w:val="24"/>
              </w:rPr>
              <w:t>Instytucje otoczenia biznesu</w:t>
            </w:r>
          </w:p>
        </w:tc>
        <w:tc>
          <w:tcPr>
            <w:tcW w:w="827" w:type="dxa"/>
          </w:tcPr>
          <w:p w14:paraId="26E22B2A" w14:textId="77777777" w:rsidR="00CC33B5" w:rsidRPr="00D66672" w:rsidRDefault="00CC33B5" w:rsidP="00EA3474">
            <w:pPr>
              <w:pStyle w:val="elementgraficznytabela"/>
              <w:spacing w:after="240"/>
              <w:jc w:val="center"/>
              <w:cnfStyle w:val="000000000000" w:firstRow="0" w:lastRow="0" w:firstColumn="0" w:lastColumn="0" w:oddVBand="0" w:evenVBand="0" w:oddHBand="0" w:evenHBand="0" w:firstRowFirstColumn="0" w:firstRowLastColumn="0" w:lastRowFirstColumn="0" w:lastRowLastColumn="0"/>
              <w:rPr>
                <w:rFonts w:cstheme="minorHAnsi"/>
                <w:szCs w:val="24"/>
              </w:rPr>
            </w:pPr>
            <w:r w:rsidRPr="00D66672">
              <w:rPr>
                <w:rFonts w:cstheme="minorHAnsi"/>
                <w:szCs w:val="24"/>
              </w:rPr>
              <w:t>PM</w:t>
            </w:r>
          </w:p>
        </w:tc>
        <w:tc>
          <w:tcPr>
            <w:tcW w:w="1080" w:type="dxa"/>
          </w:tcPr>
          <w:p w14:paraId="4D9EB14A" w14:textId="77777777" w:rsidR="00CC33B5" w:rsidRPr="00D66672" w:rsidRDefault="00CC33B5"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r w:rsidRPr="00D66672">
              <w:rPr>
                <w:rFonts w:cstheme="minorHAnsi"/>
                <w:szCs w:val="24"/>
              </w:rPr>
              <w:t>889,55</w:t>
            </w:r>
          </w:p>
        </w:tc>
        <w:tc>
          <w:tcPr>
            <w:tcW w:w="1080" w:type="dxa"/>
          </w:tcPr>
          <w:p w14:paraId="5C044537" w14:textId="77777777" w:rsidR="00CC33B5" w:rsidRPr="00D66672" w:rsidRDefault="00CC33B5"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r w:rsidRPr="00D66672">
              <w:rPr>
                <w:rFonts w:cstheme="minorHAnsi"/>
                <w:szCs w:val="24"/>
              </w:rPr>
              <w:t>921,33</w:t>
            </w:r>
          </w:p>
        </w:tc>
        <w:tc>
          <w:tcPr>
            <w:tcW w:w="1080" w:type="dxa"/>
          </w:tcPr>
          <w:p w14:paraId="2AE026F3" w14:textId="77777777" w:rsidR="00CC33B5" w:rsidRPr="00D66672" w:rsidRDefault="00CC33B5"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r w:rsidRPr="00D66672">
              <w:rPr>
                <w:rFonts w:cstheme="minorHAnsi"/>
                <w:szCs w:val="24"/>
              </w:rPr>
              <w:t>922,45</w:t>
            </w:r>
          </w:p>
        </w:tc>
        <w:tc>
          <w:tcPr>
            <w:tcW w:w="1080" w:type="dxa"/>
          </w:tcPr>
          <w:p w14:paraId="7442F531" w14:textId="77777777" w:rsidR="00CC33B5" w:rsidRPr="00D66672" w:rsidRDefault="00CC33B5"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r w:rsidRPr="00D66672">
              <w:rPr>
                <w:rFonts w:cstheme="minorHAnsi"/>
                <w:szCs w:val="24"/>
              </w:rPr>
              <w:t>936,15</w:t>
            </w:r>
          </w:p>
        </w:tc>
        <w:tc>
          <w:tcPr>
            <w:tcW w:w="1080" w:type="dxa"/>
          </w:tcPr>
          <w:p w14:paraId="47C54C7D" w14:textId="77777777" w:rsidR="00CC33B5" w:rsidRPr="00D66672" w:rsidRDefault="00CC33B5"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r w:rsidRPr="00D66672">
              <w:rPr>
                <w:rFonts w:cstheme="minorHAnsi"/>
                <w:szCs w:val="24"/>
              </w:rPr>
              <w:t>927,20</w:t>
            </w:r>
          </w:p>
        </w:tc>
        <w:tc>
          <w:tcPr>
            <w:tcW w:w="1080" w:type="dxa"/>
          </w:tcPr>
          <w:p w14:paraId="771442A1" w14:textId="77777777" w:rsidR="00CC33B5" w:rsidRPr="00D66672" w:rsidRDefault="00CC33B5"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r w:rsidRPr="00D66672">
              <w:rPr>
                <w:rFonts w:cstheme="minorHAnsi"/>
                <w:szCs w:val="24"/>
              </w:rPr>
              <w:t>942,10</w:t>
            </w:r>
          </w:p>
        </w:tc>
        <w:tc>
          <w:tcPr>
            <w:tcW w:w="1080" w:type="dxa"/>
          </w:tcPr>
          <w:p w14:paraId="5F4D17EB" w14:textId="77777777" w:rsidR="00CC33B5" w:rsidRPr="00D66672" w:rsidRDefault="00CC33B5"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r w:rsidRPr="00D66672">
              <w:rPr>
                <w:rFonts w:cstheme="minorHAnsi"/>
                <w:szCs w:val="24"/>
              </w:rPr>
              <w:t>933,40</w:t>
            </w:r>
          </w:p>
        </w:tc>
        <w:tc>
          <w:tcPr>
            <w:tcW w:w="1080" w:type="dxa"/>
          </w:tcPr>
          <w:p w14:paraId="2B9B6EE9" w14:textId="77777777" w:rsidR="00CC33B5" w:rsidRPr="00D66672" w:rsidRDefault="00CC33B5"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r w:rsidRPr="00D66672">
              <w:rPr>
                <w:rFonts w:cstheme="minorHAnsi"/>
                <w:szCs w:val="24"/>
              </w:rPr>
              <w:t>927,80</w:t>
            </w:r>
          </w:p>
        </w:tc>
        <w:tc>
          <w:tcPr>
            <w:tcW w:w="1080" w:type="dxa"/>
          </w:tcPr>
          <w:p w14:paraId="04FAA0A3" w14:textId="77777777" w:rsidR="00CC33B5" w:rsidRPr="00D66672" w:rsidRDefault="00CC33B5"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r w:rsidRPr="00D66672">
              <w:rPr>
                <w:rFonts w:cstheme="minorHAnsi"/>
                <w:szCs w:val="24"/>
              </w:rPr>
              <w:t>932,55</w:t>
            </w:r>
          </w:p>
        </w:tc>
        <w:tc>
          <w:tcPr>
            <w:tcW w:w="1080" w:type="dxa"/>
          </w:tcPr>
          <w:p w14:paraId="1DF14557" w14:textId="77777777" w:rsidR="00CC33B5" w:rsidRPr="00D66672" w:rsidRDefault="00CC33B5"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r w:rsidRPr="00D66672">
              <w:rPr>
                <w:rFonts w:cstheme="minorHAnsi"/>
                <w:szCs w:val="24"/>
              </w:rPr>
              <w:t>933,80</w:t>
            </w:r>
          </w:p>
        </w:tc>
      </w:tr>
      <w:tr w:rsidR="00CC33B5" w:rsidRPr="006953B2" w14:paraId="39AFF44F" w14:textId="77777777" w:rsidTr="00EA3474">
        <w:trPr>
          <w:trHeight w:val="424"/>
        </w:trPr>
        <w:tc>
          <w:tcPr>
            <w:cnfStyle w:val="001000000000" w:firstRow="0" w:lastRow="0" w:firstColumn="1" w:lastColumn="0" w:oddVBand="0" w:evenVBand="0" w:oddHBand="0" w:evenHBand="0" w:firstRowFirstColumn="0" w:firstRowLastColumn="0" w:lastRowFirstColumn="0" w:lastRowLastColumn="0"/>
            <w:tcW w:w="2405" w:type="dxa"/>
            <w:vMerge/>
            <w:vAlign w:val="top"/>
          </w:tcPr>
          <w:p w14:paraId="631FAA11" w14:textId="77777777" w:rsidR="00CC33B5" w:rsidRPr="00D66672" w:rsidRDefault="00CC33B5" w:rsidP="00733091">
            <w:pPr>
              <w:pStyle w:val="elementgraficznytabela"/>
              <w:spacing w:after="240"/>
              <w:rPr>
                <w:rFonts w:cstheme="minorHAnsi"/>
                <w:szCs w:val="24"/>
              </w:rPr>
            </w:pPr>
          </w:p>
        </w:tc>
        <w:tc>
          <w:tcPr>
            <w:tcW w:w="827" w:type="dxa"/>
          </w:tcPr>
          <w:p w14:paraId="50CC33A1" w14:textId="2B7D3377" w:rsidR="00CC33B5" w:rsidRPr="00D66672" w:rsidRDefault="00CC33B5" w:rsidP="00EA3474">
            <w:pPr>
              <w:pStyle w:val="elementgraficznytabela"/>
              <w:spacing w:after="240"/>
              <w:jc w:val="center"/>
              <w:cnfStyle w:val="000000000000" w:firstRow="0" w:lastRow="0" w:firstColumn="0" w:lastColumn="0" w:oddVBand="0" w:evenVBand="0" w:oddHBand="0" w:evenHBand="0" w:firstRowFirstColumn="0" w:firstRowLastColumn="0" w:lastRowFirstColumn="0" w:lastRowLastColumn="0"/>
              <w:rPr>
                <w:rFonts w:cstheme="minorHAnsi"/>
                <w:szCs w:val="24"/>
              </w:rPr>
            </w:pPr>
            <w:r w:rsidRPr="00D66672">
              <w:rPr>
                <w:rFonts w:cstheme="minorHAnsi"/>
                <w:szCs w:val="24"/>
              </w:rPr>
              <w:t>WM</w:t>
            </w:r>
          </w:p>
        </w:tc>
        <w:tc>
          <w:tcPr>
            <w:tcW w:w="1080" w:type="dxa"/>
          </w:tcPr>
          <w:p w14:paraId="44E57F14" w14:textId="77777777" w:rsidR="00CC33B5" w:rsidRPr="00D66672" w:rsidRDefault="00CC33B5"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r w:rsidRPr="00D66672">
              <w:rPr>
                <w:rFonts w:cstheme="minorHAnsi"/>
                <w:szCs w:val="24"/>
              </w:rPr>
              <w:t>1157,4</w:t>
            </w:r>
          </w:p>
        </w:tc>
        <w:tc>
          <w:tcPr>
            <w:tcW w:w="1080" w:type="dxa"/>
          </w:tcPr>
          <w:p w14:paraId="33490911" w14:textId="77777777" w:rsidR="00CC33B5" w:rsidRPr="00D66672" w:rsidRDefault="00CC33B5"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r w:rsidRPr="00D66672">
              <w:rPr>
                <w:rFonts w:cstheme="minorHAnsi"/>
                <w:szCs w:val="24"/>
              </w:rPr>
              <w:t>1190,8</w:t>
            </w:r>
          </w:p>
        </w:tc>
        <w:tc>
          <w:tcPr>
            <w:tcW w:w="1080" w:type="dxa"/>
          </w:tcPr>
          <w:p w14:paraId="13EDB31C" w14:textId="77777777" w:rsidR="00CC33B5" w:rsidRPr="00D66672" w:rsidRDefault="00CC33B5"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r w:rsidRPr="00D66672">
              <w:rPr>
                <w:rFonts w:cstheme="minorHAnsi"/>
                <w:szCs w:val="24"/>
              </w:rPr>
              <w:t>1197,8</w:t>
            </w:r>
          </w:p>
        </w:tc>
        <w:tc>
          <w:tcPr>
            <w:tcW w:w="1080" w:type="dxa"/>
          </w:tcPr>
          <w:p w14:paraId="20FCFC29" w14:textId="77777777" w:rsidR="00CC33B5" w:rsidRPr="00D66672" w:rsidRDefault="00CC33B5"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r w:rsidRPr="00D66672">
              <w:rPr>
                <w:rFonts w:cstheme="minorHAnsi"/>
                <w:szCs w:val="24"/>
              </w:rPr>
              <w:t>1199,9</w:t>
            </w:r>
          </w:p>
        </w:tc>
        <w:tc>
          <w:tcPr>
            <w:tcW w:w="1080" w:type="dxa"/>
          </w:tcPr>
          <w:p w14:paraId="24627335" w14:textId="77777777" w:rsidR="00CC33B5" w:rsidRPr="00D66672" w:rsidRDefault="00CC33B5"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r w:rsidRPr="00D66672">
              <w:rPr>
                <w:rFonts w:cstheme="minorHAnsi"/>
                <w:szCs w:val="24"/>
              </w:rPr>
              <w:t>1203,4</w:t>
            </w:r>
          </w:p>
        </w:tc>
        <w:tc>
          <w:tcPr>
            <w:tcW w:w="1080" w:type="dxa"/>
          </w:tcPr>
          <w:p w14:paraId="6FEA8893" w14:textId="77777777" w:rsidR="00CC33B5" w:rsidRPr="00D66672" w:rsidRDefault="00CC33B5"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r w:rsidRPr="00D66672">
              <w:rPr>
                <w:rFonts w:cstheme="minorHAnsi"/>
                <w:szCs w:val="24"/>
              </w:rPr>
              <w:t>1210,7</w:t>
            </w:r>
          </w:p>
        </w:tc>
        <w:tc>
          <w:tcPr>
            <w:tcW w:w="1080" w:type="dxa"/>
          </w:tcPr>
          <w:p w14:paraId="138664D1" w14:textId="77777777" w:rsidR="00CC33B5" w:rsidRPr="00D66672" w:rsidRDefault="00CC33B5"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r w:rsidRPr="00D66672">
              <w:rPr>
                <w:rFonts w:cstheme="minorHAnsi"/>
                <w:szCs w:val="24"/>
              </w:rPr>
              <w:t>1212,8</w:t>
            </w:r>
          </w:p>
        </w:tc>
        <w:tc>
          <w:tcPr>
            <w:tcW w:w="1080" w:type="dxa"/>
          </w:tcPr>
          <w:p w14:paraId="25D671AE" w14:textId="77777777" w:rsidR="00CC33B5" w:rsidRPr="00D66672" w:rsidRDefault="00CC33B5"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r w:rsidRPr="00D66672">
              <w:rPr>
                <w:rFonts w:cstheme="minorHAnsi"/>
                <w:szCs w:val="24"/>
              </w:rPr>
              <w:t>1208,0</w:t>
            </w:r>
          </w:p>
        </w:tc>
        <w:tc>
          <w:tcPr>
            <w:tcW w:w="1080" w:type="dxa"/>
          </w:tcPr>
          <w:p w14:paraId="2ED3EC31" w14:textId="77777777" w:rsidR="00CC33B5" w:rsidRPr="00D66672" w:rsidRDefault="00CC33B5"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r w:rsidRPr="00D66672">
              <w:rPr>
                <w:rFonts w:cstheme="minorHAnsi"/>
                <w:szCs w:val="24"/>
              </w:rPr>
              <w:t>1207,7</w:t>
            </w:r>
          </w:p>
        </w:tc>
        <w:tc>
          <w:tcPr>
            <w:tcW w:w="1080" w:type="dxa"/>
          </w:tcPr>
          <w:p w14:paraId="1318CE53" w14:textId="77777777" w:rsidR="00CC33B5" w:rsidRPr="00D66672" w:rsidRDefault="00CC33B5"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r w:rsidRPr="00D66672">
              <w:rPr>
                <w:rFonts w:cstheme="minorHAnsi"/>
                <w:szCs w:val="24"/>
              </w:rPr>
              <w:t>1185,6</w:t>
            </w:r>
          </w:p>
        </w:tc>
      </w:tr>
      <w:tr w:rsidR="00CC33B5" w:rsidRPr="006953B2" w14:paraId="3731A814" w14:textId="77777777" w:rsidTr="00EA3474">
        <w:trPr>
          <w:trHeight w:val="278"/>
        </w:trPr>
        <w:tc>
          <w:tcPr>
            <w:cnfStyle w:val="001000000000" w:firstRow="0" w:lastRow="0" w:firstColumn="1" w:lastColumn="0" w:oddVBand="0" w:evenVBand="0" w:oddHBand="0" w:evenHBand="0" w:firstRowFirstColumn="0" w:firstRowLastColumn="0" w:lastRowFirstColumn="0" w:lastRowLastColumn="0"/>
            <w:tcW w:w="2405" w:type="dxa"/>
            <w:vMerge w:val="restart"/>
            <w:vAlign w:val="top"/>
          </w:tcPr>
          <w:p w14:paraId="2E3C5058" w14:textId="0048C417" w:rsidR="00CC33B5" w:rsidRPr="00D66672" w:rsidRDefault="00CC33B5" w:rsidP="004142AE">
            <w:pPr>
              <w:pStyle w:val="elementgraficznytabela"/>
              <w:spacing w:after="240"/>
              <w:jc w:val="center"/>
              <w:rPr>
                <w:rFonts w:cstheme="minorHAnsi"/>
                <w:szCs w:val="24"/>
              </w:rPr>
            </w:pPr>
            <w:r w:rsidRPr="00D66672">
              <w:rPr>
                <w:rFonts w:cstheme="minorHAnsi"/>
                <w:szCs w:val="24"/>
              </w:rPr>
              <w:t>Udział podmiotów sektora kreatywnego</w:t>
            </w:r>
            <w:r w:rsidR="00EA3474" w:rsidRPr="00D66672">
              <w:rPr>
                <w:rFonts w:cstheme="minorHAnsi"/>
                <w:szCs w:val="24"/>
              </w:rPr>
              <w:t xml:space="preserve"> w liczbie podmiotów</w:t>
            </w:r>
          </w:p>
        </w:tc>
        <w:tc>
          <w:tcPr>
            <w:tcW w:w="827" w:type="dxa"/>
          </w:tcPr>
          <w:p w14:paraId="5AE30B0C" w14:textId="77777777" w:rsidR="00CC33B5" w:rsidRPr="00D66672" w:rsidRDefault="00CC33B5" w:rsidP="00EA3474">
            <w:pPr>
              <w:pStyle w:val="elementgraficznytabela"/>
              <w:spacing w:after="240"/>
              <w:jc w:val="center"/>
              <w:cnfStyle w:val="000000000000" w:firstRow="0" w:lastRow="0" w:firstColumn="0" w:lastColumn="0" w:oddVBand="0" w:evenVBand="0" w:oddHBand="0" w:evenHBand="0" w:firstRowFirstColumn="0" w:firstRowLastColumn="0" w:lastRowFirstColumn="0" w:lastRowLastColumn="0"/>
              <w:rPr>
                <w:rFonts w:cstheme="minorHAnsi"/>
                <w:szCs w:val="24"/>
              </w:rPr>
            </w:pPr>
            <w:r w:rsidRPr="00D66672">
              <w:rPr>
                <w:rFonts w:cstheme="minorHAnsi"/>
                <w:szCs w:val="24"/>
              </w:rPr>
              <w:t>PM</w:t>
            </w:r>
          </w:p>
        </w:tc>
        <w:tc>
          <w:tcPr>
            <w:tcW w:w="1080" w:type="dxa"/>
          </w:tcPr>
          <w:p w14:paraId="532BA559" w14:textId="77777777" w:rsidR="00CC33B5" w:rsidRPr="00D66672" w:rsidRDefault="00CC33B5"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r w:rsidRPr="00D66672">
              <w:rPr>
                <w:rFonts w:cstheme="minorHAnsi"/>
                <w:szCs w:val="24"/>
              </w:rPr>
              <w:t>4,44</w:t>
            </w:r>
          </w:p>
        </w:tc>
        <w:tc>
          <w:tcPr>
            <w:tcW w:w="1080" w:type="dxa"/>
          </w:tcPr>
          <w:p w14:paraId="4C7326F1" w14:textId="77777777" w:rsidR="00CC33B5" w:rsidRPr="00D66672" w:rsidRDefault="00CC33B5"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r w:rsidRPr="00D66672">
              <w:rPr>
                <w:rFonts w:cstheme="minorHAnsi"/>
                <w:szCs w:val="24"/>
              </w:rPr>
              <w:t>3,90</w:t>
            </w:r>
          </w:p>
        </w:tc>
        <w:tc>
          <w:tcPr>
            <w:tcW w:w="1080" w:type="dxa"/>
          </w:tcPr>
          <w:p w14:paraId="78A9BCB2" w14:textId="77777777" w:rsidR="00CC33B5" w:rsidRPr="00D66672" w:rsidRDefault="00CC33B5"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r w:rsidRPr="00D66672">
              <w:rPr>
                <w:rFonts w:cstheme="minorHAnsi"/>
                <w:szCs w:val="24"/>
              </w:rPr>
              <w:t>3,56</w:t>
            </w:r>
          </w:p>
        </w:tc>
        <w:tc>
          <w:tcPr>
            <w:tcW w:w="1080" w:type="dxa"/>
          </w:tcPr>
          <w:p w14:paraId="22B8EE01" w14:textId="77777777" w:rsidR="00CC33B5" w:rsidRPr="00D66672" w:rsidRDefault="00CC33B5"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r w:rsidRPr="00D66672">
              <w:rPr>
                <w:rFonts w:cstheme="minorHAnsi"/>
                <w:szCs w:val="24"/>
              </w:rPr>
              <w:t>4,54</w:t>
            </w:r>
          </w:p>
        </w:tc>
        <w:tc>
          <w:tcPr>
            <w:tcW w:w="1080" w:type="dxa"/>
          </w:tcPr>
          <w:p w14:paraId="2B8F6139" w14:textId="77777777" w:rsidR="00CC33B5" w:rsidRPr="00D66672" w:rsidRDefault="00CC33B5"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r w:rsidRPr="00D66672">
              <w:rPr>
                <w:rFonts w:cstheme="minorHAnsi"/>
                <w:szCs w:val="24"/>
              </w:rPr>
              <w:t>4,52</w:t>
            </w:r>
          </w:p>
        </w:tc>
        <w:tc>
          <w:tcPr>
            <w:tcW w:w="1080" w:type="dxa"/>
          </w:tcPr>
          <w:p w14:paraId="36919EC6" w14:textId="77777777" w:rsidR="00CC33B5" w:rsidRPr="00D66672" w:rsidRDefault="00CC33B5"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r w:rsidRPr="00D66672">
              <w:rPr>
                <w:rFonts w:cstheme="minorHAnsi"/>
                <w:szCs w:val="24"/>
              </w:rPr>
              <w:t>4,45</w:t>
            </w:r>
          </w:p>
        </w:tc>
        <w:tc>
          <w:tcPr>
            <w:tcW w:w="1080" w:type="dxa"/>
          </w:tcPr>
          <w:p w14:paraId="0B84EE52" w14:textId="77777777" w:rsidR="00CC33B5" w:rsidRPr="00D66672" w:rsidRDefault="00CC33B5"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r w:rsidRPr="00D66672">
              <w:rPr>
                <w:rFonts w:cstheme="minorHAnsi"/>
                <w:szCs w:val="24"/>
              </w:rPr>
              <w:t>3,11</w:t>
            </w:r>
          </w:p>
        </w:tc>
        <w:tc>
          <w:tcPr>
            <w:tcW w:w="1080" w:type="dxa"/>
          </w:tcPr>
          <w:p w14:paraId="05B771D8" w14:textId="77777777" w:rsidR="00CC33B5" w:rsidRPr="00D66672" w:rsidRDefault="00CC33B5"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r w:rsidRPr="00D66672">
              <w:rPr>
                <w:rFonts w:cstheme="minorHAnsi"/>
                <w:szCs w:val="24"/>
              </w:rPr>
              <w:t>5,33</w:t>
            </w:r>
          </w:p>
        </w:tc>
        <w:tc>
          <w:tcPr>
            <w:tcW w:w="1080" w:type="dxa"/>
          </w:tcPr>
          <w:p w14:paraId="69972BD4" w14:textId="77777777" w:rsidR="00CC33B5" w:rsidRPr="00D66672" w:rsidRDefault="00CC33B5"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r w:rsidRPr="00D66672">
              <w:rPr>
                <w:rFonts w:cstheme="minorHAnsi"/>
                <w:szCs w:val="24"/>
              </w:rPr>
              <w:t>4,47</w:t>
            </w:r>
          </w:p>
        </w:tc>
        <w:tc>
          <w:tcPr>
            <w:tcW w:w="1080" w:type="dxa"/>
          </w:tcPr>
          <w:p w14:paraId="67796557" w14:textId="77777777" w:rsidR="00CC33B5" w:rsidRPr="00D66672" w:rsidRDefault="00CC33B5"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r w:rsidRPr="00D66672">
              <w:rPr>
                <w:rFonts w:cstheme="minorHAnsi"/>
                <w:szCs w:val="24"/>
              </w:rPr>
              <w:t>4,34</w:t>
            </w:r>
          </w:p>
        </w:tc>
      </w:tr>
      <w:tr w:rsidR="00CC33B5" w:rsidRPr="006953B2" w14:paraId="3351FA5E" w14:textId="77777777" w:rsidTr="00EA3474">
        <w:trPr>
          <w:trHeight w:val="855"/>
        </w:trPr>
        <w:tc>
          <w:tcPr>
            <w:cnfStyle w:val="001000000000" w:firstRow="0" w:lastRow="0" w:firstColumn="1" w:lastColumn="0" w:oddVBand="0" w:evenVBand="0" w:oddHBand="0" w:evenHBand="0" w:firstRowFirstColumn="0" w:firstRowLastColumn="0" w:lastRowFirstColumn="0" w:lastRowLastColumn="0"/>
            <w:tcW w:w="2405" w:type="dxa"/>
            <w:vMerge/>
            <w:vAlign w:val="top"/>
          </w:tcPr>
          <w:p w14:paraId="0709C935" w14:textId="77777777" w:rsidR="00CC33B5" w:rsidRPr="00D66672" w:rsidRDefault="00CC33B5" w:rsidP="004142AE">
            <w:pPr>
              <w:pStyle w:val="elementgraficznytabela"/>
              <w:spacing w:after="240"/>
              <w:jc w:val="center"/>
              <w:rPr>
                <w:rFonts w:cstheme="minorHAnsi"/>
                <w:szCs w:val="24"/>
              </w:rPr>
            </w:pPr>
          </w:p>
        </w:tc>
        <w:tc>
          <w:tcPr>
            <w:tcW w:w="827" w:type="dxa"/>
          </w:tcPr>
          <w:p w14:paraId="1D78A3BD" w14:textId="7D2C1DB7" w:rsidR="00CC33B5" w:rsidRPr="00D66672" w:rsidRDefault="00CC33B5" w:rsidP="00EA3474">
            <w:pPr>
              <w:pStyle w:val="elementgraficznytabela"/>
              <w:spacing w:after="240"/>
              <w:jc w:val="center"/>
              <w:cnfStyle w:val="000000000000" w:firstRow="0" w:lastRow="0" w:firstColumn="0" w:lastColumn="0" w:oddVBand="0" w:evenVBand="0" w:oddHBand="0" w:evenHBand="0" w:firstRowFirstColumn="0" w:firstRowLastColumn="0" w:lastRowFirstColumn="0" w:lastRowLastColumn="0"/>
              <w:rPr>
                <w:rFonts w:cstheme="minorHAnsi"/>
                <w:szCs w:val="24"/>
              </w:rPr>
            </w:pPr>
            <w:r w:rsidRPr="00D66672">
              <w:rPr>
                <w:rFonts w:cstheme="minorHAnsi"/>
                <w:szCs w:val="24"/>
              </w:rPr>
              <w:t>WM</w:t>
            </w:r>
          </w:p>
        </w:tc>
        <w:tc>
          <w:tcPr>
            <w:tcW w:w="1080" w:type="dxa"/>
          </w:tcPr>
          <w:p w14:paraId="382E46F4" w14:textId="77777777" w:rsidR="00CC33B5" w:rsidRPr="00D66672" w:rsidRDefault="00CC33B5"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r w:rsidRPr="00D66672">
              <w:rPr>
                <w:rFonts w:cstheme="minorHAnsi"/>
                <w:szCs w:val="24"/>
              </w:rPr>
              <w:t>5,59</w:t>
            </w:r>
          </w:p>
        </w:tc>
        <w:tc>
          <w:tcPr>
            <w:tcW w:w="1080" w:type="dxa"/>
          </w:tcPr>
          <w:p w14:paraId="6264C871" w14:textId="77777777" w:rsidR="00CC33B5" w:rsidRPr="00D66672" w:rsidRDefault="00CC33B5"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r w:rsidRPr="00D66672">
              <w:rPr>
                <w:rFonts w:cstheme="minorHAnsi"/>
                <w:szCs w:val="24"/>
              </w:rPr>
              <w:t>4,72</w:t>
            </w:r>
          </w:p>
        </w:tc>
        <w:tc>
          <w:tcPr>
            <w:tcW w:w="1080" w:type="dxa"/>
          </w:tcPr>
          <w:p w14:paraId="4F6A9408" w14:textId="77777777" w:rsidR="00CC33B5" w:rsidRPr="00D66672" w:rsidRDefault="00CC33B5"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r w:rsidRPr="00D66672">
              <w:rPr>
                <w:rFonts w:cstheme="minorHAnsi"/>
                <w:szCs w:val="24"/>
              </w:rPr>
              <w:t>5,00</w:t>
            </w:r>
          </w:p>
        </w:tc>
        <w:tc>
          <w:tcPr>
            <w:tcW w:w="1080" w:type="dxa"/>
          </w:tcPr>
          <w:p w14:paraId="46BDCFD9" w14:textId="77777777" w:rsidR="00CC33B5" w:rsidRPr="00D66672" w:rsidRDefault="00CC33B5"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r w:rsidRPr="00D66672">
              <w:rPr>
                <w:rFonts w:cstheme="minorHAnsi"/>
                <w:szCs w:val="24"/>
              </w:rPr>
              <w:t>5,10</w:t>
            </w:r>
          </w:p>
        </w:tc>
        <w:tc>
          <w:tcPr>
            <w:tcW w:w="1080" w:type="dxa"/>
          </w:tcPr>
          <w:p w14:paraId="7ADB829B" w14:textId="77777777" w:rsidR="00CC33B5" w:rsidRPr="00D66672" w:rsidRDefault="00CC33B5"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r w:rsidRPr="00D66672">
              <w:rPr>
                <w:rFonts w:cstheme="minorHAnsi"/>
                <w:szCs w:val="24"/>
              </w:rPr>
              <w:t>5,50</w:t>
            </w:r>
          </w:p>
        </w:tc>
        <w:tc>
          <w:tcPr>
            <w:tcW w:w="1080" w:type="dxa"/>
          </w:tcPr>
          <w:p w14:paraId="522E7F26" w14:textId="77777777" w:rsidR="00CC33B5" w:rsidRPr="00D66672" w:rsidRDefault="00CC33B5"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r w:rsidRPr="00D66672">
              <w:rPr>
                <w:rFonts w:cstheme="minorHAnsi"/>
                <w:szCs w:val="24"/>
              </w:rPr>
              <w:t>5,54</w:t>
            </w:r>
          </w:p>
        </w:tc>
        <w:tc>
          <w:tcPr>
            <w:tcW w:w="1080" w:type="dxa"/>
          </w:tcPr>
          <w:p w14:paraId="5CD0C4F9" w14:textId="77777777" w:rsidR="00CC33B5" w:rsidRPr="00D66672" w:rsidRDefault="00CC33B5"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r w:rsidRPr="00D66672">
              <w:rPr>
                <w:rFonts w:cstheme="minorHAnsi"/>
                <w:szCs w:val="24"/>
              </w:rPr>
              <w:t>5,52</w:t>
            </w:r>
          </w:p>
        </w:tc>
        <w:tc>
          <w:tcPr>
            <w:tcW w:w="1080" w:type="dxa"/>
          </w:tcPr>
          <w:p w14:paraId="50215B13" w14:textId="77777777" w:rsidR="00CC33B5" w:rsidRPr="00D66672" w:rsidRDefault="00CC33B5"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r w:rsidRPr="00D66672">
              <w:rPr>
                <w:rFonts w:cstheme="minorHAnsi"/>
                <w:szCs w:val="24"/>
              </w:rPr>
              <w:t>5,72</w:t>
            </w:r>
          </w:p>
        </w:tc>
        <w:tc>
          <w:tcPr>
            <w:tcW w:w="1080" w:type="dxa"/>
          </w:tcPr>
          <w:p w14:paraId="2AAFC0D8" w14:textId="77777777" w:rsidR="00CC33B5" w:rsidRPr="00D66672" w:rsidRDefault="00CC33B5"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r w:rsidRPr="00D66672">
              <w:rPr>
                <w:rFonts w:cstheme="minorHAnsi"/>
                <w:szCs w:val="24"/>
              </w:rPr>
              <w:t>5,65</w:t>
            </w:r>
          </w:p>
        </w:tc>
        <w:tc>
          <w:tcPr>
            <w:tcW w:w="1080" w:type="dxa"/>
          </w:tcPr>
          <w:p w14:paraId="3385E940" w14:textId="77777777" w:rsidR="00CC33B5" w:rsidRPr="00D66672" w:rsidRDefault="00CC33B5"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r w:rsidRPr="00D66672">
              <w:rPr>
                <w:rFonts w:cstheme="minorHAnsi"/>
                <w:szCs w:val="24"/>
              </w:rPr>
              <w:t>5,56</w:t>
            </w:r>
          </w:p>
        </w:tc>
      </w:tr>
      <w:tr w:rsidR="00CC33B5" w:rsidRPr="006953B2" w14:paraId="5F88591E" w14:textId="77777777" w:rsidTr="00EA3474">
        <w:trPr>
          <w:trHeight w:val="425"/>
        </w:trPr>
        <w:tc>
          <w:tcPr>
            <w:cnfStyle w:val="001000000000" w:firstRow="0" w:lastRow="0" w:firstColumn="1" w:lastColumn="0" w:oddVBand="0" w:evenVBand="0" w:oddHBand="0" w:evenHBand="0" w:firstRowFirstColumn="0" w:firstRowLastColumn="0" w:lastRowFirstColumn="0" w:lastRowLastColumn="0"/>
            <w:tcW w:w="2405" w:type="dxa"/>
            <w:vMerge w:val="restart"/>
            <w:vAlign w:val="top"/>
          </w:tcPr>
          <w:p w14:paraId="6AFEB1E0" w14:textId="26420EB7" w:rsidR="00CC33B5" w:rsidRPr="00D66672" w:rsidRDefault="00CC33B5" w:rsidP="004142AE">
            <w:pPr>
              <w:pStyle w:val="elementgraficznytabela"/>
              <w:spacing w:before="100" w:beforeAutospacing="1" w:after="100" w:afterAutospacing="1" w:line="240" w:lineRule="auto"/>
              <w:contextualSpacing/>
              <w:jc w:val="center"/>
              <w:rPr>
                <w:rFonts w:cstheme="minorHAnsi"/>
                <w:szCs w:val="24"/>
              </w:rPr>
            </w:pPr>
            <w:r w:rsidRPr="00D66672">
              <w:rPr>
                <w:rFonts w:cstheme="minorHAnsi"/>
                <w:szCs w:val="24"/>
              </w:rPr>
              <w:t>Udział podmiotów sektora przetwórstwa rolno-spożywczeg</w:t>
            </w:r>
            <w:r w:rsidR="00EA3474" w:rsidRPr="00D66672">
              <w:rPr>
                <w:rFonts w:cstheme="minorHAnsi"/>
                <w:szCs w:val="24"/>
              </w:rPr>
              <w:t>o w liczbie podmiotów</w:t>
            </w:r>
          </w:p>
        </w:tc>
        <w:tc>
          <w:tcPr>
            <w:tcW w:w="827" w:type="dxa"/>
          </w:tcPr>
          <w:p w14:paraId="47FAD463" w14:textId="77777777" w:rsidR="00CC33B5" w:rsidRPr="00D66672" w:rsidRDefault="00CC33B5" w:rsidP="00EA3474">
            <w:pPr>
              <w:pStyle w:val="elementgraficznytabela"/>
              <w:spacing w:after="240"/>
              <w:jc w:val="center"/>
              <w:cnfStyle w:val="000000000000" w:firstRow="0" w:lastRow="0" w:firstColumn="0" w:lastColumn="0" w:oddVBand="0" w:evenVBand="0" w:oddHBand="0" w:evenHBand="0" w:firstRowFirstColumn="0" w:firstRowLastColumn="0" w:lastRowFirstColumn="0" w:lastRowLastColumn="0"/>
              <w:rPr>
                <w:rFonts w:cstheme="minorHAnsi"/>
                <w:szCs w:val="24"/>
              </w:rPr>
            </w:pPr>
            <w:r w:rsidRPr="00D66672">
              <w:rPr>
                <w:rFonts w:cstheme="minorHAnsi"/>
                <w:szCs w:val="24"/>
              </w:rPr>
              <w:t>PM</w:t>
            </w:r>
          </w:p>
        </w:tc>
        <w:tc>
          <w:tcPr>
            <w:tcW w:w="1080" w:type="dxa"/>
          </w:tcPr>
          <w:p w14:paraId="7CB2B719" w14:textId="77777777" w:rsidR="00CC33B5" w:rsidRPr="00D66672" w:rsidRDefault="00CC33B5"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r w:rsidRPr="00D66672">
              <w:rPr>
                <w:rFonts w:cstheme="minorHAnsi"/>
                <w:szCs w:val="24"/>
              </w:rPr>
              <w:t>0,52</w:t>
            </w:r>
          </w:p>
        </w:tc>
        <w:tc>
          <w:tcPr>
            <w:tcW w:w="1080" w:type="dxa"/>
          </w:tcPr>
          <w:p w14:paraId="6F2731D1" w14:textId="77777777" w:rsidR="00CC33B5" w:rsidRPr="00D66672" w:rsidRDefault="00CC33B5"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r w:rsidRPr="00D66672">
              <w:rPr>
                <w:rFonts w:cstheme="minorHAnsi"/>
                <w:szCs w:val="24"/>
              </w:rPr>
              <w:t>0,42</w:t>
            </w:r>
          </w:p>
        </w:tc>
        <w:tc>
          <w:tcPr>
            <w:tcW w:w="1080" w:type="dxa"/>
          </w:tcPr>
          <w:p w14:paraId="4DAF02F4" w14:textId="77777777" w:rsidR="00CC33B5" w:rsidRPr="00D66672" w:rsidRDefault="00CC33B5"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r w:rsidRPr="00D66672">
              <w:rPr>
                <w:rFonts w:cstheme="minorHAnsi"/>
                <w:szCs w:val="24"/>
              </w:rPr>
              <w:t>0,39</w:t>
            </w:r>
          </w:p>
        </w:tc>
        <w:tc>
          <w:tcPr>
            <w:tcW w:w="1080" w:type="dxa"/>
          </w:tcPr>
          <w:p w14:paraId="4E11375C" w14:textId="77777777" w:rsidR="00CC33B5" w:rsidRPr="00D66672" w:rsidRDefault="00CC33B5"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r w:rsidRPr="00D66672">
              <w:rPr>
                <w:rFonts w:cstheme="minorHAnsi"/>
                <w:szCs w:val="24"/>
              </w:rPr>
              <w:t>0,33</w:t>
            </w:r>
          </w:p>
        </w:tc>
        <w:tc>
          <w:tcPr>
            <w:tcW w:w="1080" w:type="dxa"/>
          </w:tcPr>
          <w:p w14:paraId="0585B3C5" w14:textId="77777777" w:rsidR="00CC33B5" w:rsidRPr="00D66672" w:rsidRDefault="00CC33B5"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r w:rsidRPr="00D66672">
              <w:rPr>
                <w:rFonts w:cstheme="minorHAnsi"/>
                <w:szCs w:val="24"/>
              </w:rPr>
              <w:t>0,83</w:t>
            </w:r>
          </w:p>
        </w:tc>
        <w:tc>
          <w:tcPr>
            <w:tcW w:w="1080" w:type="dxa"/>
          </w:tcPr>
          <w:p w14:paraId="754E3CE4" w14:textId="77777777" w:rsidR="00CC33B5" w:rsidRPr="00D66672" w:rsidRDefault="00CC33B5"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r w:rsidRPr="00D66672">
              <w:rPr>
                <w:rFonts w:cstheme="minorHAnsi"/>
                <w:szCs w:val="24"/>
              </w:rPr>
              <w:t>0,57</w:t>
            </w:r>
          </w:p>
        </w:tc>
        <w:tc>
          <w:tcPr>
            <w:tcW w:w="1080" w:type="dxa"/>
          </w:tcPr>
          <w:p w14:paraId="5582FD19" w14:textId="77777777" w:rsidR="00CC33B5" w:rsidRPr="00D66672" w:rsidRDefault="00CC33B5"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r w:rsidRPr="00D66672">
              <w:rPr>
                <w:rFonts w:cstheme="minorHAnsi"/>
                <w:szCs w:val="24"/>
              </w:rPr>
              <w:t>0,65</w:t>
            </w:r>
          </w:p>
        </w:tc>
        <w:tc>
          <w:tcPr>
            <w:tcW w:w="1080" w:type="dxa"/>
          </w:tcPr>
          <w:p w14:paraId="1D34951B" w14:textId="77777777" w:rsidR="00CC33B5" w:rsidRPr="00D66672" w:rsidRDefault="00CC33B5"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r w:rsidRPr="00D66672">
              <w:rPr>
                <w:rFonts w:cstheme="minorHAnsi"/>
                <w:szCs w:val="24"/>
              </w:rPr>
              <w:t>0,53</w:t>
            </w:r>
          </w:p>
        </w:tc>
        <w:tc>
          <w:tcPr>
            <w:tcW w:w="1080" w:type="dxa"/>
          </w:tcPr>
          <w:p w14:paraId="0548EB4D" w14:textId="77777777" w:rsidR="00CC33B5" w:rsidRPr="00D66672" w:rsidRDefault="00CC33B5"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r w:rsidRPr="00D66672">
              <w:rPr>
                <w:rFonts w:cstheme="minorHAnsi"/>
                <w:szCs w:val="24"/>
              </w:rPr>
              <w:t>0,21</w:t>
            </w:r>
          </w:p>
        </w:tc>
        <w:tc>
          <w:tcPr>
            <w:tcW w:w="1080" w:type="dxa"/>
          </w:tcPr>
          <w:p w14:paraId="5977AF2E" w14:textId="77777777" w:rsidR="00CC33B5" w:rsidRPr="00D66672" w:rsidRDefault="00CC33B5"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r w:rsidRPr="00D66672">
              <w:rPr>
                <w:rFonts w:cstheme="minorHAnsi"/>
                <w:szCs w:val="24"/>
              </w:rPr>
              <w:t>0,32</w:t>
            </w:r>
          </w:p>
        </w:tc>
      </w:tr>
      <w:tr w:rsidR="00CC33B5" w:rsidRPr="006953B2" w14:paraId="3C84AFE7" w14:textId="77777777" w:rsidTr="00EA3474">
        <w:trPr>
          <w:trHeight w:val="703"/>
        </w:trPr>
        <w:tc>
          <w:tcPr>
            <w:cnfStyle w:val="001000000000" w:firstRow="0" w:lastRow="0" w:firstColumn="1" w:lastColumn="0" w:oddVBand="0" w:evenVBand="0" w:oddHBand="0" w:evenHBand="0" w:firstRowFirstColumn="0" w:firstRowLastColumn="0" w:lastRowFirstColumn="0" w:lastRowLastColumn="0"/>
            <w:tcW w:w="2405" w:type="dxa"/>
            <w:vMerge/>
            <w:textDirection w:val="btLr"/>
            <w:vAlign w:val="top"/>
          </w:tcPr>
          <w:p w14:paraId="0CCFB2D6" w14:textId="77777777" w:rsidR="00CC33B5" w:rsidRPr="00D66672" w:rsidRDefault="00CC33B5" w:rsidP="004142AE">
            <w:pPr>
              <w:pStyle w:val="elementgraficznytabela"/>
              <w:spacing w:before="100" w:beforeAutospacing="1" w:after="100" w:afterAutospacing="1" w:line="240" w:lineRule="auto"/>
              <w:contextualSpacing/>
              <w:jc w:val="center"/>
              <w:rPr>
                <w:rFonts w:cstheme="minorHAnsi"/>
                <w:szCs w:val="24"/>
              </w:rPr>
            </w:pPr>
          </w:p>
        </w:tc>
        <w:tc>
          <w:tcPr>
            <w:tcW w:w="827" w:type="dxa"/>
          </w:tcPr>
          <w:p w14:paraId="170C748A" w14:textId="207CEC3E" w:rsidR="00CC33B5" w:rsidRPr="00D66672" w:rsidRDefault="00CC33B5" w:rsidP="00EA3474">
            <w:pPr>
              <w:pStyle w:val="elementgraficznytabela"/>
              <w:spacing w:after="240"/>
              <w:jc w:val="center"/>
              <w:cnfStyle w:val="000000000000" w:firstRow="0" w:lastRow="0" w:firstColumn="0" w:lastColumn="0" w:oddVBand="0" w:evenVBand="0" w:oddHBand="0" w:evenHBand="0" w:firstRowFirstColumn="0" w:firstRowLastColumn="0" w:lastRowFirstColumn="0" w:lastRowLastColumn="0"/>
              <w:rPr>
                <w:rFonts w:cstheme="minorHAnsi"/>
                <w:szCs w:val="24"/>
              </w:rPr>
            </w:pPr>
            <w:r w:rsidRPr="00D66672">
              <w:rPr>
                <w:rFonts w:cstheme="minorHAnsi"/>
                <w:szCs w:val="24"/>
              </w:rPr>
              <w:t>WM</w:t>
            </w:r>
          </w:p>
        </w:tc>
        <w:tc>
          <w:tcPr>
            <w:tcW w:w="1080" w:type="dxa"/>
          </w:tcPr>
          <w:p w14:paraId="53DF9FD5" w14:textId="77777777" w:rsidR="00CC33B5" w:rsidRPr="00D66672" w:rsidRDefault="00CC33B5"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r w:rsidRPr="00D66672">
              <w:rPr>
                <w:rFonts w:cstheme="minorHAnsi"/>
                <w:szCs w:val="24"/>
              </w:rPr>
              <w:t>0,53</w:t>
            </w:r>
          </w:p>
        </w:tc>
        <w:tc>
          <w:tcPr>
            <w:tcW w:w="1080" w:type="dxa"/>
          </w:tcPr>
          <w:p w14:paraId="45039614" w14:textId="77777777" w:rsidR="00CC33B5" w:rsidRPr="00D66672" w:rsidRDefault="00CC33B5"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r w:rsidRPr="00D66672">
              <w:rPr>
                <w:rFonts w:cstheme="minorHAnsi"/>
                <w:szCs w:val="24"/>
              </w:rPr>
              <w:t>0,57</w:t>
            </w:r>
          </w:p>
        </w:tc>
        <w:tc>
          <w:tcPr>
            <w:tcW w:w="1080" w:type="dxa"/>
          </w:tcPr>
          <w:p w14:paraId="35A16617" w14:textId="77777777" w:rsidR="00CC33B5" w:rsidRPr="00D66672" w:rsidRDefault="00CC33B5"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r w:rsidRPr="00D66672">
              <w:rPr>
                <w:rFonts w:cstheme="minorHAnsi"/>
                <w:szCs w:val="24"/>
              </w:rPr>
              <w:t>0,38</w:t>
            </w:r>
          </w:p>
        </w:tc>
        <w:tc>
          <w:tcPr>
            <w:tcW w:w="1080" w:type="dxa"/>
          </w:tcPr>
          <w:p w14:paraId="0BD65E9E" w14:textId="77777777" w:rsidR="00CC33B5" w:rsidRPr="00D66672" w:rsidRDefault="00CC33B5"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r w:rsidRPr="00D66672">
              <w:rPr>
                <w:rFonts w:cstheme="minorHAnsi"/>
                <w:szCs w:val="24"/>
              </w:rPr>
              <w:t>0,41</w:t>
            </w:r>
          </w:p>
        </w:tc>
        <w:tc>
          <w:tcPr>
            <w:tcW w:w="1080" w:type="dxa"/>
          </w:tcPr>
          <w:p w14:paraId="39F89A35" w14:textId="77777777" w:rsidR="00CC33B5" w:rsidRPr="00D66672" w:rsidRDefault="00CC33B5"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r w:rsidRPr="00D66672">
              <w:rPr>
                <w:rFonts w:cstheme="minorHAnsi"/>
                <w:szCs w:val="24"/>
              </w:rPr>
              <w:t>0,41</w:t>
            </w:r>
          </w:p>
        </w:tc>
        <w:tc>
          <w:tcPr>
            <w:tcW w:w="1080" w:type="dxa"/>
          </w:tcPr>
          <w:p w14:paraId="1140AFAF" w14:textId="77777777" w:rsidR="00CC33B5" w:rsidRPr="00D66672" w:rsidRDefault="00CC33B5"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r w:rsidRPr="00D66672">
              <w:rPr>
                <w:rFonts w:cstheme="minorHAnsi"/>
                <w:szCs w:val="24"/>
              </w:rPr>
              <w:t>0,56</w:t>
            </w:r>
          </w:p>
        </w:tc>
        <w:tc>
          <w:tcPr>
            <w:tcW w:w="1080" w:type="dxa"/>
          </w:tcPr>
          <w:p w14:paraId="79A08A89" w14:textId="77777777" w:rsidR="00CC33B5" w:rsidRPr="00D66672" w:rsidRDefault="00CC33B5"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r w:rsidRPr="00D66672">
              <w:rPr>
                <w:rFonts w:cstheme="minorHAnsi"/>
                <w:szCs w:val="24"/>
              </w:rPr>
              <w:t>0,44</w:t>
            </w:r>
          </w:p>
        </w:tc>
        <w:tc>
          <w:tcPr>
            <w:tcW w:w="1080" w:type="dxa"/>
          </w:tcPr>
          <w:p w14:paraId="1EEFB24B" w14:textId="77777777" w:rsidR="00CC33B5" w:rsidRPr="00D66672" w:rsidRDefault="00CC33B5"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r w:rsidRPr="00D66672">
              <w:rPr>
                <w:rFonts w:cstheme="minorHAnsi"/>
                <w:szCs w:val="24"/>
              </w:rPr>
              <w:t>0,50</w:t>
            </w:r>
          </w:p>
        </w:tc>
        <w:tc>
          <w:tcPr>
            <w:tcW w:w="1080" w:type="dxa"/>
          </w:tcPr>
          <w:p w14:paraId="6C9798EC" w14:textId="77777777" w:rsidR="00CC33B5" w:rsidRPr="00D66672" w:rsidRDefault="00CC33B5"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r w:rsidRPr="00D66672">
              <w:rPr>
                <w:rFonts w:cstheme="minorHAnsi"/>
                <w:szCs w:val="24"/>
              </w:rPr>
              <w:t>0,32</w:t>
            </w:r>
          </w:p>
        </w:tc>
        <w:tc>
          <w:tcPr>
            <w:tcW w:w="1080" w:type="dxa"/>
          </w:tcPr>
          <w:p w14:paraId="0ED27FFC" w14:textId="77777777" w:rsidR="00CC33B5" w:rsidRPr="00D66672" w:rsidRDefault="00CC33B5"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r w:rsidRPr="00D66672">
              <w:rPr>
                <w:rFonts w:cstheme="minorHAnsi"/>
                <w:szCs w:val="24"/>
              </w:rPr>
              <w:t>0,46</w:t>
            </w:r>
          </w:p>
        </w:tc>
      </w:tr>
      <w:tr w:rsidR="00CC33B5" w:rsidRPr="006953B2" w14:paraId="20390541" w14:textId="77777777" w:rsidTr="00EA3474">
        <w:trPr>
          <w:trHeight w:val="420"/>
        </w:trPr>
        <w:tc>
          <w:tcPr>
            <w:cnfStyle w:val="001000000000" w:firstRow="0" w:lastRow="0" w:firstColumn="1" w:lastColumn="0" w:oddVBand="0" w:evenVBand="0" w:oddHBand="0" w:evenHBand="0" w:firstRowFirstColumn="0" w:firstRowLastColumn="0" w:lastRowFirstColumn="0" w:lastRowLastColumn="0"/>
            <w:tcW w:w="2405" w:type="dxa"/>
            <w:vMerge w:val="restart"/>
            <w:vAlign w:val="top"/>
          </w:tcPr>
          <w:p w14:paraId="495D0417" w14:textId="3B6346EA" w:rsidR="00CC33B5" w:rsidRPr="00D66672" w:rsidRDefault="00CC33B5" w:rsidP="004142AE">
            <w:pPr>
              <w:pStyle w:val="elementgraficznytabela"/>
              <w:spacing w:before="100" w:beforeAutospacing="1" w:after="100" w:afterAutospacing="1" w:line="240" w:lineRule="auto"/>
              <w:contextualSpacing/>
              <w:jc w:val="center"/>
              <w:rPr>
                <w:rFonts w:cstheme="minorHAnsi"/>
                <w:szCs w:val="24"/>
              </w:rPr>
            </w:pPr>
            <w:r w:rsidRPr="00D66672">
              <w:rPr>
                <w:rFonts w:cstheme="minorHAnsi"/>
                <w:szCs w:val="24"/>
              </w:rPr>
              <w:t xml:space="preserve">Udział </w:t>
            </w:r>
            <w:r w:rsidR="00C177E4" w:rsidRPr="00D66672">
              <w:rPr>
                <w:rFonts w:cstheme="minorHAnsi"/>
                <w:szCs w:val="24"/>
              </w:rPr>
              <w:t xml:space="preserve">podmiotów </w:t>
            </w:r>
            <w:r w:rsidRPr="00D66672">
              <w:rPr>
                <w:rFonts w:cstheme="minorHAnsi"/>
                <w:szCs w:val="24"/>
              </w:rPr>
              <w:t>sektora</w:t>
            </w:r>
          </w:p>
          <w:p w14:paraId="1072B1A9" w14:textId="029F468D" w:rsidR="00C177E4" w:rsidRPr="00D66672" w:rsidRDefault="00EA3474" w:rsidP="004142AE">
            <w:pPr>
              <w:pStyle w:val="elementgraficznytabela"/>
              <w:spacing w:before="100" w:beforeAutospacing="1" w:after="100" w:afterAutospacing="1" w:line="240" w:lineRule="auto"/>
              <w:contextualSpacing/>
              <w:jc w:val="center"/>
              <w:rPr>
                <w:rFonts w:cstheme="minorHAnsi"/>
                <w:b w:val="0"/>
                <w:szCs w:val="24"/>
              </w:rPr>
            </w:pPr>
            <w:r w:rsidRPr="00D66672">
              <w:rPr>
                <w:rFonts w:cstheme="minorHAnsi"/>
                <w:szCs w:val="24"/>
              </w:rPr>
              <w:t>m</w:t>
            </w:r>
            <w:r w:rsidR="00CC33B5" w:rsidRPr="00D66672">
              <w:rPr>
                <w:rFonts w:cstheme="minorHAnsi"/>
                <w:szCs w:val="24"/>
              </w:rPr>
              <w:t>edycznego</w:t>
            </w:r>
            <w:r w:rsidRPr="00D66672">
              <w:rPr>
                <w:rFonts w:cstheme="minorHAnsi"/>
                <w:szCs w:val="24"/>
              </w:rPr>
              <w:t xml:space="preserve"> w liczbie podmiotów</w:t>
            </w:r>
            <w:r w:rsidR="00C177E4" w:rsidRPr="00D66672">
              <w:rPr>
                <w:rFonts w:cstheme="minorHAnsi"/>
                <w:szCs w:val="24"/>
              </w:rPr>
              <w:br/>
            </w:r>
          </w:p>
        </w:tc>
        <w:tc>
          <w:tcPr>
            <w:tcW w:w="827" w:type="dxa"/>
          </w:tcPr>
          <w:p w14:paraId="1B1668ED" w14:textId="77777777" w:rsidR="00CC33B5" w:rsidRPr="00D66672" w:rsidRDefault="00CC33B5" w:rsidP="00EA3474">
            <w:pPr>
              <w:pStyle w:val="elementgraficznytabela"/>
              <w:spacing w:after="240"/>
              <w:jc w:val="center"/>
              <w:cnfStyle w:val="000000000000" w:firstRow="0" w:lastRow="0" w:firstColumn="0" w:lastColumn="0" w:oddVBand="0" w:evenVBand="0" w:oddHBand="0" w:evenHBand="0" w:firstRowFirstColumn="0" w:firstRowLastColumn="0" w:lastRowFirstColumn="0" w:lastRowLastColumn="0"/>
              <w:rPr>
                <w:rFonts w:cstheme="minorHAnsi"/>
                <w:szCs w:val="24"/>
              </w:rPr>
            </w:pPr>
            <w:r w:rsidRPr="00D66672">
              <w:rPr>
                <w:rFonts w:cstheme="minorHAnsi"/>
                <w:szCs w:val="24"/>
              </w:rPr>
              <w:t>PM</w:t>
            </w:r>
          </w:p>
        </w:tc>
        <w:tc>
          <w:tcPr>
            <w:tcW w:w="1080" w:type="dxa"/>
          </w:tcPr>
          <w:p w14:paraId="45C41F58" w14:textId="77777777" w:rsidR="00CC33B5" w:rsidRPr="00D66672" w:rsidRDefault="00CC33B5"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r w:rsidRPr="00D66672">
              <w:rPr>
                <w:rFonts w:cstheme="minorHAnsi"/>
                <w:szCs w:val="24"/>
              </w:rPr>
              <w:t>4,48</w:t>
            </w:r>
          </w:p>
        </w:tc>
        <w:tc>
          <w:tcPr>
            <w:tcW w:w="1080" w:type="dxa"/>
          </w:tcPr>
          <w:p w14:paraId="0FF3453E" w14:textId="77777777" w:rsidR="00CC33B5" w:rsidRPr="00D66672" w:rsidRDefault="00CC33B5"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r w:rsidRPr="00D66672">
              <w:rPr>
                <w:rFonts w:cstheme="minorHAnsi"/>
                <w:szCs w:val="24"/>
              </w:rPr>
              <w:t>3,73</w:t>
            </w:r>
          </w:p>
        </w:tc>
        <w:tc>
          <w:tcPr>
            <w:tcW w:w="1080" w:type="dxa"/>
          </w:tcPr>
          <w:p w14:paraId="02B41FF0" w14:textId="77777777" w:rsidR="00CC33B5" w:rsidRPr="00D66672" w:rsidRDefault="00CC33B5"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r w:rsidRPr="00D66672">
              <w:rPr>
                <w:rFonts w:cstheme="minorHAnsi"/>
                <w:szCs w:val="24"/>
              </w:rPr>
              <w:t>3,99</w:t>
            </w:r>
          </w:p>
        </w:tc>
        <w:tc>
          <w:tcPr>
            <w:tcW w:w="1080" w:type="dxa"/>
          </w:tcPr>
          <w:p w14:paraId="5339E771" w14:textId="77777777" w:rsidR="00CC33B5" w:rsidRPr="00D66672" w:rsidRDefault="00CC33B5"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r w:rsidRPr="00D66672">
              <w:rPr>
                <w:rFonts w:cstheme="minorHAnsi"/>
                <w:szCs w:val="24"/>
              </w:rPr>
              <w:t>3,78</w:t>
            </w:r>
          </w:p>
        </w:tc>
        <w:tc>
          <w:tcPr>
            <w:tcW w:w="1080" w:type="dxa"/>
          </w:tcPr>
          <w:p w14:paraId="6F70CF2A" w14:textId="77777777" w:rsidR="00CC33B5" w:rsidRPr="00D66672" w:rsidRDefault="00CC33B5"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r w:rsidRPr="00D66672">
              <w:rPr>
                <w:rFonts w:cstheme="minorHAnsi"/>
                <w:szCs w:val="24"/>
              </w:rPr>
              <w:t>3,81</w:t>
            </w:r>
          </w:p>
        </w:tc>
        <w:tc>
          <w:tcPr>
            <w:tcW w:w="1080" w:type="dxa"/>
          </w:tcPr>
          <w:p w14:paraId="55C86B6D" w14:textId="77777777" w:rsidR="00CC33B5" w:rsidRPr="00D66672" w:rsidRDefault="00CC33B5"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r w:rsidRPr="00D66672">
              <w:rPr>
                <w:rFonts w:cstheme="minorHAnsi"/>
                <w:szCs w:val="24"/>
              </w:rPr>
              <w:t>3,46</w:t>
            </w:r>
          </w:p>
        </w:tc>
        <w:tc>
          <w:tcPr>
            <w:tcW w:w="1080" w:type="dxa"/>
          </w:tcPr>
          <w:p w14:paraId="04CE2777" w14:textId="77777777" w:rsidR="00CC33B5" w:rsidRPr="00D66672" w:rsidRDefault="00CC33B5"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r w:rsidRPr="00D66672">
              <w:rPr>
                <w:rFonts w:cstheme="minorHAnsi"/>
                <w:szCs w:val="24"/>
              </w:rPr>
              <w:t>3,59</w:t>
            </w:r>
          </w:p>
        </w:tc>
        <w:tc>
          <w:tcPr>
            <w:tcW w:w="1080" w:type="dxa"/>
          </w:tcPr>
          <w:p w14:paraId="73CCC529" w14:textId="77777777" w:rsidR="00CC33B5" w:rsidRPr="00D66672" w:rsidRDefault="00CC33B5"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r w:rsidRPr="00D66672">
              <w:rPr>
                <w:rFonts w:cstheme="minorHAnsi"/>
                <w:szCs w:val="24"/>
              </w:rPr>
              <w:t>3,85</w:t>
            </w:r>
          </w:p>
        </w:tc>
        <w:tc>
          <w:tcPr>
            <w:tcW w:w="1080" w:type="dxa"/>
          </w:tcPr>
          <w:p w14:paraId="11B4BA4C" w14:textId="77777777" w:rsidR="00CC33B5" w:rsidRPr="00D66672" w:rsidRDefault="00CC33B5"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r w:rsidRPr="00D66672">
              <w:rPr>
                <w:rFonts w:cstheme="minorHAnsi"/>
                <w:szCs w:val="24"/>
              </w:rPr>
              <w:t>3,83</w:t>
            </w:r>
          </w:p>
        </w:tc>
        <w:tc>
          <w:tcPr>
            <w:tcW w:w="1080" w:type="dxa"/>
          </w:tcPr>
          <w:p w14:paraId="5D5BA796" w14:textId="77777777" w:rsidR="00CC33B5" w:rsidRPr="00D66672" w:rsidRDefault="00CC33B5"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r w:rsidRPr="00D66672">
              <w:rPr>
                <w:rFonts w:cstheme="minorHAnsi"/>
                <w:szCs w:val="24"/>
              </w:rPr>
              <w:t>2,30</w:t>
            </w:r>
          </w:p>
        </w:tc>
      </w:tr>
      <w:tr w:rsidR="00CC33B5" w:rsidRPr="006953B2" w14:paraId="4E4EFBD0" w14:textId="77777777" w:rsidTr="00EA3474">
        <w:trPr>
          <w:trHeight w:val="413"/>
        </w:trPr>
        <w:tc>
          <w:tcPr>
            <w:cnfStyle w:val="001000000000" w:firstRow="0" w:lastRow="0" w:firstColumn="1" w:lastColumn="0" w:oddVBand="0" w:evenVBand="0" w:oddHBand="0" w:evenHBand="0" w:firstRowFirstColumn="0" w:firstRowLastColumn="0" w:lastRowFirstColumn="0" w:lastRowLastColumn="0"/>
            <w:tcW w:w="2405" w:type="dxa"/>
            <w:vMerge/>
          </w:tcPr>
          <w:p w14:paraId="468B4755" w14:textId="77777777" w:rsidR="00CC33B5" w:rsidRPr="00D66672" w:rsidRDefault="00CC33B5" w:rsidP="00733091">
            <w:pPr>
              <w:pStyle w:val="elementgraficznytabela"/>
              <w:spacing w:after="240"/>
              <w:rPr>
                <w:rFonts w:cstheme="minorHAnsi"/>
                <w:szCs w:val="24"/>
              </w:rPr>
            </w:pPr>
          </w:p>
        </w:tc>
        <w:tc>
          <w:tcPr>
            <w:tcW w:w="827" w:type="dxa"/>
          </w:tcPr>
          <w:p w14:paraId="683C74F9" w14:textId="737FDC9D" w:rsidR="00CC33B5" w:rsidRPr="00D66672" w:rsidRDefault="00CC33B5" w:rsidP="00EA3474">
            <w:pPr>
              <w:pStyle w:val="elementgraficznytabela"/>
              <w:spacing w:after="240"/>
              <w:jc w:val="center"/>
              <w:cnfStyle w:val="000000000000" w:firstRow="0" w:lastRow="0" w:firstColumn="0" w:lastColumn="0" w:oddVBand="0" w:evenVBand="0" w:oddHBand="0" w:evenHBand="0" w:firstRowFirstColumn="0" w:firstRowLastColumn="0" w:lastRowFirstColumn="0" w:lastRowLastColumn="0"/>
              <w:rPr>
                <w:rFonts w:cstheme="minorHAnsi"/>
                <w:szCs w:val="24"/>
              </w:rPr>
            </w:pPr>
            <w:r w:rsidRPr="00D66672">
              <w:rPr>
                <w:rFonts w:cstheme="minorHAnsi"/>
                <w:szCs w:val="24"/>
              </w:rPr>
              <w:t>WM</w:t>
            </w:r>
          </w:p>
        </w:tc>
        <w:tc>
          <w:tcPr>
            <w:tcW w:w="1080" w:type="dxa"/>
          </w:tcPr>
          <w:p w14:paraId="72606047" w14:textId="77777777" w:rsidR="00CC33B5" w:rsidRPr="00D66672" w:rsidRDefault="00CC33B5"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r w:rsidRPr="00D66672">
              <w:rPr>
                <w:rFonts w:cstheme="minorHAnsi"/>
                <w:szCs w:val="24"/>
              </w:rPr>
              <w:t>3,98</w:t>
            </w:r>
          </w:p>
        </w:tc>
        <w:tc>
          <w:tcPr>
            <w:tcW w:w="1080" w:type="dxa"/>
          </w:tcPr>
          <w:p w14:paraId="765A6C3D" w14:textId="77777777" w:rsidR="00CC33B5" w:rsidRPr="00D66672" w:rsidRDefault="00CC33B5"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r w:rsidRPr="00D66672">
              <w:rPr>
                <w:rFonts w:cstheme="minorHAnsi"/>
                <w:szCs w:val="24"/>
              </w:rPr>
              <w:t>5,01</w:t>
            </w:r>
          </w:p>
        </w:tc>
        <w:tc>
          <w:tcPr>
            <w:tcW w:w="1080" w:type="dxa"/>
          </w:tcPr>
          <w:p w14:paraId="05F76875" w14:textId="77777777" w:rsidR="00CC33B5" w:rsidRPr="00D66672" w:rsidRDefault="00CC33B5"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r w:rsidRPr="00D66672">
              <w:rPr>
                <w:rFonts w:cstheme="minorHAnsi"/>
                <w:szCs w:val="24"/>
              </w:rPr>
              <w:t>4,22</w:t>
            </w:r>
          </w:p>
        </w:tc>
        <w:tc>
          <w:tcPr>
            <w:tcW w:w="1080" w:type="dxa"/>
          </w:tcPr>
          <w:p w14:paraId="7F6F1390" w14:textId="77777777" w:rsidR="00CC33B5" w:rsidRPr="00D66672" w:rsidRDefault="00CC33B5"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r w:rsidRPr="00D66672">
              <w:rPr>
                <w:rFonts w:cstheme="minorHAnsi"/>
                <w:szCs w:val="24"/>
              </w:rPr>
              <w:t>3,92</w:t>
            </w:r>
          </w:p>
        </w:tc>
        <w:tc>
          <w:tcPr>
            <w:tcW w:w="1080" w:type="dxa"/>
          </w:tcPr>
          <w:p w14:paraId="634E6AF4" w14:textId="77777777" w:rsidR="00CC33B5" w:rsidRPr="00D66672" w:rsidRDefault="00CC33B5"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r w:rsidRPr="00D66672">
              <w:rPr>
                <w:rFonts w:cstheme="minorHAnsi"/>
                <w:szCs w:val="24"/>
              </w:rPr>
              <w:t>4,00</w:t>
            </w:r>
          </w:p>
        </w:tc>
        <w:tc>
          <w:tcPr>
            <w:tcW w:w="1080" w:type="dxa"/>
          </w:tcPr>
          <w:p w14:paraId="526A055B" w14:textId="77777777" w:rsidR="00CC33B5" w:rsidRPr="00D66672" w:rsidRDefault="00CC33B5"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r w:rsidRPr="00D66672">
              <w:rPr>
                <w:rFonts w:cstheme="minorHAnsi"/>
                <w:szCs w:val="24"/>
              </w:rPr>
              <w:t>4,35</w:t>
            </w:r>
          </w:p>
        </w:tc>
        <w:tc>
          <w:tcPr>
            <w:tcW w:w="1080" w:type="dxa"/>
          </w:tcPr>
          <w:p w14:paraId="485C516B" w14:textId="77777777" w:rsidR="00CC33B5" w:rsidRPr="00D66672" w:rsidRDefault="00CC33B5"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r w:rsidRPr="00D66672">
              <w:rPr>
                <w:rFonts w:cstheme="minorHAnsi"/>
                <w:szCs w:val="24"/>
              </w:rPr>
              <w:t>5,01</w:t>
            </w:r>
          </w:p>
        </w:tc>
        <w:tc>
          <w:tcPr>
            <w:tcW w:w="1080" w:type="dxa"/>
          </w:tcPr>
          <w:p w14:paraId="18AC5C27" w14:textId="77777777" w:rsidR="00CC33B5" w:rsidRPr="00D66672" w:rsidRDefault="00CC33B5"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r w:rsidRPr="00D66672">
              <w:rPr>
                <w:rFonts w:cstheme="minorHAnsi"/>
                <w:szCs w:val="24"/>
              </w:rPr>
              <w:t>4,51</w:t>
            </w:r>
          </w:p>
        </w:tc>
        <w:tc>
          <w:tcPr>
            <w:tcW w:w="1080" w:type="dxa"/>
          </w:tcPr>
          <w:p w14:paraId="2757F553" w14:textId="77777777" w:rsidR="00CC33B5" w:rsidRPr="00D66672" w:rsidRDefault="00CC33B5"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r w:rsidRPr="00D66672">
              <w:rPr>
                <w:rFonts w:cstheme="minorHAnsi"/>
                <w:szCs w:val="24"/>
              </w:rPr>
              <w:t>4,59</w:t>
            </w:r>
          </w:p>
        </w:tc>
        <w:tc>
          <w:tcPr>
            <w:tcW w:w="1080" w:type="dxa"/>
          </w:tcPr>
          <w:p w14:paraId="746B2A9F" w14:textId="77777777" w:rsidR="00CC33B5" w:rsidRPr="00D66672" w:rsidRDefault="00CC33B5" w:rsidP="00733091">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szCs w:val="24"/>
              </w:rPr>
            </w:pPr>
            <w:r w:rsidRPr="00D66672">
              <w:rPr>
                <w:rFonts w:cstheme="minorHAnsi"/>
                <w:szCs w:val="24"/>
              </w:rPr>
              <w:t>4,11</w:t>
            </w:r>
          </w:p>
        </w:tc>
      </w:tr>
    </w:tbl>
    <w:p w14:paraId="5879E208" w14:textId="0B3F67ED" w:rsidR="00C177E4" w:rsidRPr="0053183F" w:rsidRDefault="00C177E4" w:rsidP="00733091">
      <w:pPr>
        <w:pStyle w:val="podpiselementu"/>
        <w:spacing w:after="240"/>
        <w:rPr>
          <w:rFonts w:asciiTheme="minorHAnsi" w:hAnsiTheme="minorHAnsi" w:cstheme="minorHAnsi"/>
          <w:sz w:val="20"/>
          <w:szCs w:val="20"/>
          <w:lang w:val="pl-PL"/>
        </w:rPr>
      </w:pPr>
      <w:r w:rsidRPr="0053183F">
        <w:rPr>
          <w:rFonts w:asciiTheme="minorHAnsi" w:hAnsiTheme="minorHAnsi" w:cstheme="minorHAnsi"/>
          <w:sz w:val="20"/>
          <w:szCs w:val="20"/>
          <w:lang w:val="pl-PL"/>
        </w:rPr>
        <w:t>PM- Południowe Mazury, WM-województwo warmińsko-mazurskie</w:t>
      </w:r>
    </w:p>
    <w:p w14:paraId="471F43B0" w14:textId="0D503124" w:rsidR="00CC33B5" w:rsidRPr="00733091" w:rsidRDefault="00CC33B5" w:rsidP="00733091">
      <w:pPr>
        <w:pStyle w:val="podpiselementu"/>
        <w:spacing w:after="240"/>
        <w:rPr>
          <w:lang w:val="pl-PL"/>
        </w:rPr>
      </w:pPr>
      <w:r w:rsidRPr="00733091">
        <w:rPr>
          <w:lang w:val="pl-PL"/>
        </w:rPr>
        <w:t>Źródło: Dane GUS, Bank Danych Lokalnych</w:t>
      </w:r>
    </w:p>
    <w:p w14:paraId="6631E49F" w14:textId="77777777" w:rsidR="00EA3474" w:rsidRDefault="00EA3474" w:rsidP="00663515">
      <w:pPr>
        <w:rPr>
          <w:lang w:val="pl-PL"/>
        </w:rPr>
        <w:sectPr w:rsidR="00EA3474" w:rsidSect="00EA3474">
          <w:pgSz w:w="16838" w:h="11906" w:orient="landscape"/>
          <w:pgMar w:top="1418" w:right="1418" w:bottom="1418" w:left="1701" w:header="709" w:footer="709" w:gutter="0"/>
          <w:cols w:space="708"/>
          <w:docGrid w:linePitch="360"/>
        </w:sectPr>
      </w:pPr>
    </w:p>
    <w:p w14:paraId="6974C4F4" w14:textId="2C59B136" w:rsidR="001E162D" w:rsidRPr="00690E7F" w:rsidRDefault="000E6998" w:rsidP="00733091">
      <w:pPr>
        <w:pStyle w:val="Nagwek4"/>
        <w:spacing w:before="120" w:after="240"/>
      </w:pPr>
      <w:r w:rsidRPr="000E6998">
        <w:lastRenderedPageBreak/>
        <w:t>Turystyka</w:t>
      </w:r>
      <w:r w:rsidR="00562A9F">
        <w:t xml:space="preserve"> </w:t>
      </w:r>
    </w:p>
    <w:p w14:paraId="7CE85FC9" w14:textId="6D3E0E24" w:rsidR="00562A9F" w:rsidRPr="00733091" w:rsidRDefault="00562A9F" w:rsidP="00663515">
      <w:pPr>
        <w:rPr>
          <w:lang w:val="pl-PL"/>
        </w:rPr>
      </w:pPr>
      <w:r w:rsidRPr="00733091">
        <w:rPr>
          <w:lang w:val="pl-PL"/>
        </w:rPr>
        <w:t xml:space="preserve">Potencjał turystyczny Południowych Mazur opiera się na korzystnym położeniu oraz zróżnicowaniu warunków fizyczno-geograficznych obszaru. Południowe Mazury leżą na terenach Równiny Mazurskiej oraz częściach Równiny Urszulewskiej, Garbu Lubawskiego i Pojezierza Ełckiego - obszaru charakteryzującego się różnorodnością form morfologicznych, w tym wzniesień, rzek i jezior. Historycznie tereny Południowych Mazur należały do Prus i graniczyły z terytoriami zamieszkanymi przez Litwinów, Warmiaków, Polaków, Niemców i Rosjan. Z uwagi na to przez wiele lat stanowiły </w:t>
      </w:r>
      <w:r w:rsidRPr="00733091">
        <w:rPr>
          <w:b/>
          <w:bCs/>
          <w:lang w:val="pl-PL"/>
        </w:rPr>
        <w:t>pogranicze różnych kultur.</w:t>
      </w:r>
    </w:p>
    <w:p w14:paraId="6017CBA9" w14:textId="4BEA06E8" w:rsidR="00562A9F" w:rsidRPr="00733091" w:rsidRDefault="00562A9F" w:rsidP="00663515">
      <w:pPr>
        <w:rPr>
          <w:lang w:val="pl-PL"/>
        </w:rPr>
      </w:pPr>
      <w:r w:rsidRPr="00733091">
        <w:rPr>
          <w:lang w:val="pl-PL"/>
        </w:rPr>
        <w:t>Teren Południowych Mazur jest bogaty w zabytki; jednakże niewiele z nich ma unikatowy charakter. Tworzą je zamki (Nidzica</w:t>
      </w:r>
      <w:r w:rsidR="004E50FF">
        <w:rPr>
          <w:lang w:val="pl-PL"/>
        </w:rPr>
        <w:t>, Szczytno</w:t>
      </w:r>
      <w:r w:rsidRPr="00733091">
        <w:rPr>
          <w:lang w:val="pl-PL"/>
        </w:rPr>
        <w:t>), zespoły parkowo-dworskie, zespoły parkowe, układy architektoniczne, obiekty kultury sakralnej (kościoły, w tym ewangelickie).</w:t>
      </w:r>
    </w:p>
    <w:p w14:paraId="0BED0A82" w14:textId="0C6C9D4D" w:rsidR="00562A9F" w:rsidRPr="00733091" w:rsidRDefault="00562A9F" w:rsidP="00733091">
      <w:pPr>
        <w:rPr>
          <w:lang w:val="pl-PL"/>
        </w:rPr>
      </w:pPr>
      <w:r w:rsidRPr="00733091">
        <w:rPr>
          <w:lang w:val="pl-PL"/>
        </w:rPr>
        <w:t>Przez obszar Partnerstwa przebiegają liczne szlaki turystyczne: kajakowe (rzeki Pisy, rzeki Omulew, rzeki Krutyni</w:t>
      </w:r>
      <w:r w:rsidR="004142AE">
        <w:rPr>
          <w:lang w:val="pl-PL"/>
        </w:rPr>
        <w:t>, rzeki Sawicy</w:t>
      </w:r>
      <w:r w:rsidRPr="00733091">
        <w:rPr>
          <w:lang w:val="pl-PL"/>
        </w:rPr>
        <w:t>), żeglarskie (szlak Mikołajki - Ruciane-Nida), drogowe (Szlak Fortyfikacji Mazurskich (m</w:t>
      </w:r>
      <w:r w:rsidR="004142AE">
        <w:rPr>
          <w:lang w:val="pl-PL"/>
        </w:rPr>
        <w:t>.</w:t>
      </w:r>
      <w:r w:rsidRPr="00733091">
        <w:rPr>
          <w:lang w:val="pl-PL"/>
        </w:rPr>
        <w:t>in. do Rucianego-Nida), Szlak Pętli Grunwaldzkiej, Szlak Zamków Gotyckich)</w:t>
      </w:r>
      <w:r w:rsidR="004142AE">
        <w:rPr>
          <w:lang w:val="pl-PL"/>
        </w:rPr>
        <w:t xml:space="preserve">, </w:t>
      </w:r>
      <w:r w:rsidRPr="00733091">
        <w:rPr>
          <w:lang w:val="pl-PL"/>
        </w:rPr>
        <w:t>rowerowe i piesze.</w:t>
      </w:r>
    </w:p>
    <w:p w14:paraId="0A349313" w14:textId="77777777" w:rsidR="00E82F94" w:rsidRPr="0053183F" w:rsidRDefault="00E82F94" w:rsidP="00733091">
      <w:pPr>
        <w:pStyle w:val="Nagwek5"/>
        <w:spacing w:before="120" w:after="240"/>
        <w:rPr>
          <w:rFonts w:asciiTheme="minorHAnsi" w:hAnsiTheme="minorHAnsi" w:cstheme="minorHAnsi"/>
          <w:b/>
          <w:bCs/>
          <w:lang w:val="pl-PL"/>
        </w:rPr>
      </w:pPr>
      <w:r w:rsidRPr="0053183F">
        <w:rPr>
          <w:rFonts w:asciiTheme="minorHAnsi" w:hAnsiTheme="minorHAnsi" w:cstheme="minorHAnsi"/>
          <w:b/>
          <w:bCs/>
          <w:lang w:val="pl-PL"/>
        </w:rPr>
        <w:t xml:space="preserve">Infrastruktura rekreacyjno-wypoczynkowa </w:t>
      </w:r>
    </w:p>
    <w:p w14:paraId="0B5A91F9" w14:textId="4C2CA540" w:rsidR="006A1007" w:rsidRPr="00733091" w:rsidRDefault="006A1007" w:rsidP="00733091">
      <w:pPr>
        <w:rPr>
          <w:lang w:val="pl-PL"/>
        </w:rPr>
      </w:pPr>
      <w:r w:rsidRPr="00733091">
        <w:rPr>
          <w:lang w:val="pl-PL"/>
        </w:rPr>
        <w:t>Infrastrukturę rekreacyjno-wypoczynkową tworzą przede wszystkim obiekty rekreacyjno-sportowe (opisane w Rozdziale</w:t>
      </w:r>
      <w:r w:rsidR="004142AE">
        <w:rPr>
          <w:lang w:val="pl-PL"/>
        </w:rPr>
        <w:t xml:space="preserve"> 2.2.2.2.</w:t>
      </w:r>
      <w:r w:rsidR="00391842">
        <w:rPr>
          <w:lang w:val="pl-PL"/>
        </w:rPr>
        <w:t xml:space="preserve"> niniejszego opracowania</w:t>
      </w:r>
      <w:r w:rsidRPr="00733091">
        <w:rPr>
          <w:lang w:val="pl-PL"/>
        </w:rPr>
        <w:t>), ścieżki rowerowe, obiekty noclegowe oraz punkty gastronomiczne.</w:t>
      </w:r>
    </w:p>
    <w:p w14:paraId="2C9EB907" w14:textId="67CC5BDE" w:rsidR="006A1007" w:rsidRPr="00733091" w:rsidRDefault="006A1007" w:rsidP="00733091">
      <w:pPr>
        <w:rPr>
          <w:lang w:val="pl-PL"/>
        </w:rPr>
      </w:pPr>
      <w:r w:rsidRPr="00733091">
        <w:rPr>
          <w:rFonts w:cstheme="minorHAnsi"/>
          <w:lang w:val="pl-PL"/>
        </w:rPr>
        <w:t>Przez teren Południowych Mazur w 2019 r. przebiegało 96 km ścieżek rowerowych (co stanowi 15,13% ścieżek rowerowych w województwie warmińsko-mazurskim), w tym 74 km ścieżek znajdowało się pod zarządem gmin i powiatów. Od 2015 r. długość ścieżek rowerowych wzrosła o 37,91% (z 59,6 km do 96 km). W tym samym czasie wzrosła też gęstość sieci rowerowej (o 36,83% z wartości 1,16 na 100 km</w:t>
      </w:r>
      <w:r w:rsidRPr="00733091">
        <w:rPr>
          <w:rFonts w:cstheme="minorHAnsi"/>
          <w:vertAlign w:val="superscript"/>
          <w:lang w:val="pl-PL"/>
        </w:rPr>
        <w:t xml:space="preserve">2 </w:t>
      </w:r>
      <w:r w:rsidRPr="00733091">
        <w:rPr>
          <w:rFonts w:cstheme="minorHAnsi"/>
          <w:lang w:val="pl-PL"/>
        </w:rPr>
        <w:t>na 1,68 km</w:t>
      </w:r>
      <w:r w:rsidRPr="00733091">
        <w:rPr>
          <w:rFonts w:cstheme="minorHAnsi"/>
          <w:vertAlign w:val="superscript"/>
          <w:lang w:val="pl-PL"/>
        </w:rPr>
        <w:t>2</w:t>
      </w:r>
      <w:r w:rsidRPr="00733091">
        <w:rPr>
          <w:rFonts w:cstheme="minorHAnsi"/>
          <w:lang w:val="pl-PL"/>
        </w:rPr>
        <w:t xml:space="preserve">). Mimo to wskaźnik ten kształtował się na niższym poziomie niż </w:t>
      </w:r>
      <w:r w:rsidR="00391842">
        <w:rPr>
          <w:rFonts w:cstheme="minorHAnsi"/>
          <w:lang w:val="pl-PL"/>
        </w:rPr>
        <w:br/>
      </w:r>
      <w:r w:rsidRPr="00733091">
        <w:rPr>
          <w:rFonts w:cstheme="minorHAnsi"/>
          <w:lang w:val="pl-PL"/>
        </w:rPr>
        <w:t>w województwie warmińsko-mazurskim (w 2019 r. wynosił 2,62 na 100 km</w:t>
      </w:r>
      <w:r w:rsidRPr="00733091">
        <w:rPr>
          <w:rFonts w:cstheme="minorHAnsi"/>
          <w:vertAlign w:val="superscript"/>
          <w:lang w:val="pl-PL"/>
        </w:rPr>
        <w:t>2</w:t>
      </w:r>
      <w:r w:rsidRPr="00733091">
        <w:rPr>
          <w:rFonts w:cstheme="minorHAnsi"/>
          <w:lang w:val="pl-PL"/>
        </w:rPr>
        <w:t xml:space="preserve">), co oznacza </w:t>
      </w:r>
      <w:r w:rsidRPr="00733091">
        <w:rPr>
          <w:rFonts w:cstheme="minorHAnsi"/>
          <w:b/>
          <w:bCs/>
          <w:lang w:val="pl-PL"/>
        </w:rPr>
        <w:t>gorszą niż w regionie, lecz stale poprawiającą się sytuację w zakresie rozwoju tego typu infrastruktury wypoczynkowej.</w:t>
      </w:r>
    </w:p>
    <w:p w14:paraId="3A1397B8" w14:textId="25ED48C3" w:rsidR="006A1007" w:rsidRPr="00733091" w:rsidRDefault="006A1007" w:rsidP="00663515">
      <w:pPr>
        <w:rPr>
          <w:rFonts w:cstheme="minorHAnsi"/>
          <w:lang w:val="pl-PL"/>
        </w:rPr>
      </w:pPr>
      <w:r w:rsidRPr="00733091">
        <w:rPr>
          <w:rFonts w:cstheme="minorHAnsi"/>
          <w:lang w:val="pl-PL"/>
        </w:rPr>
        <w:t xml:space="preserve">W Południowych Mazurach </w:t>
      </w:r>
      <w:r w:rsidRPr="00733091">
        <w:rPr>
          <w:rFonts w:cstheme="minorHAnsi"/>
          <w:b/>
          <w:bCs/>
          <w:lang w:val="pl-PL"/>
        </w:rPr>
        <w:t>rośnie dostępność do infrastruktury rowerowej</w:t>
      </w:r>
      <w:r w:rsidRPr="00733091">
        <w:rPr>
          <w:rFonts w:cstheme="minorHAnsi"/>
          <w:lang w:val="pl-PL"/>
        </w:rPr>
        <w:t xml:space="preserve">. </w:t>
      </w:r>
      <w:r w:rsidR="00663515">
        <w:rPr>
          <w:rFonts w:cstheme="minorHAnsi"/>
          <w:lang w:val="pl-PL"/>
        </w:rPr>
        <w:br/>
      </w:r>
      <w:r w:rsidRPr="00733091">
        <w:rPr>
          <w:rFonts w:cstheme="minorHAnsi"/>
          <w:lang w:val="pl-PL"/>
        </w:rPr>
        <w:t xml:space="preserve">W 2015 r. wskaźnik ścieżek rowerowych na 10 tys. mieszkańców wynosił w Południowych Mazurach 2,81, a w 2019 r. już 4,66 (osiągając wartość wyższą niż </w:t>
      </w:r>
      <w:r w:rsidR="00391842">
        <w:rPr>
          <w:rFonts w:cstheme="minorHAnsi"/>
          <w:lang w:val="pl-PL"/>
        </w:rPr>
        <w:br/>
      </w:r>
      <w:r w:rsidRPr="00733091">
        <w:rPr>
          <w:rFonts w:cstheme="minorHAnsi"/>
          <w:lang w:val="pl-PL"/>
        </w:rPr>
        <w:t>w województwie warmińsko-mazurskim 4,46).</w:t>
      </w:r>
    </w:p>
    <w:p w14:paraId="304DC6AC" w14:textId="21B09485" w:rsidR="006A1007" w:rsidRPr="00EA3474" w:rsidRDefault="006A1007" w:rsidP="00EA3474">
      <w:pPr>
        <w:rPr>
          <w:rFonts w:cstheme="minorHAnsi"/>
          <w:lang w:val="pl-PL"/>
        </w:rPr>
      </w:pPr>
      <w:r w:rsidRPr="00733091">
        <w:rPr>
          <w:rFonts w:cstheme="minorHAnsi"/>
          <w:lang w:val="pl-PL"/>
        </w:rPr>
        <w:lastRenderedPageBreak/>
        <w:t xml:space="preserve">Trasy rowerowe Południowych Mazur zgodnie z założeniami mają być włączone </w:t>
      </w:r>
      <w:r w:rsidR="00391842">
        <w:rPr>
          <w:rFonts w:cstheme="minorHAnsi"/>
          <w:lang w:val="pl-PL"/>
        </w:rPr>
        <w:br/>
      </w:r>
      <w:r w:rsidRPr="00733091">
        <w:rPr>
          <w:rFonts w:cstheme="minorHAnsi"/>
          <w:lang w:val="pl-PL"/>
        </w:rPr>
        <w:t xml:space="preserve">w regionalny system tras rowerowych. Realizacja spójnego systemu </w:t>
      </w:r>
      <w:r w:rsidR="00391842">
        <w:rPr>
          <w:rFonts w:cstheme="minorHAnsi"/>
          <w:lang w:val="pl-PL"/>
        </w:rPr>
        <w:t xml:space="preserve">ścieżek rowerowych w całym województwie warmińsko-mazurskim </w:t>
      </w:r>
      <w:r w:rsidRPr="00733091">
        <w:rPr>
          <w:rFonts w:cstheme="minorHAnsi"/>
          <w:lang w:val="pl-PL"/>
        </w:rPr>
        <w:t>będzie miała istotny wpływ zarówno na rozwój turystyki, ale również na integrację społeczną mieszkańców</w:t>
      </w:r>
      <w:r w:rsidRPr="00711F7D">
        <w:rPr>
          <w:rStyle w:val="Odwoanieprzypisudolnego"/>
          <w:rFonts w:cstheme="minorHAnsi"/>
        </w:rPr>
        <w:footnoteReference w:id="72"/>
      </w:r>
      <w:r w:rsidRPr="00733091">
        <w:rPr>
          <w:rFonts w:cstheme="minorHAnsi"/>
          <w:lang w:val="pl-PL"/>
        </w:rPr>
        <w:t>.</w:t>
      </w:r>
    </w:p>
    <w:p w14:paraId="1932181F" w14:textId="3F44C304" w:rsidR="007A7141" w:rsidRPr="00733091" w:rsidRDefault="007A7141" w:rsidP="002E24A9">
      <w:pPr>
        <w:pStyle w:val="Legenda"/>
        <w:rPr>
          <w:lang w:val="pl-PL"/>
        </w:rPr>
      </w:pPr>
      <w:bookmarkStart w:id="109" w:name="_Toc69596607"/>
      <w:r w:rsidRPr="00733091">
        <w:rPr>
          <w:lang w:val="pl-PL"/>
        </w:rPr>
        <w:t xml:space="preserve">Mapa </w:t>
      </w:r>
      <w:r w:rsidR="00733091">
        <w:fldChar w:fldCharType="begin"/>
      </w:r>
      <w:r w:rsidR="00733091" w:rsidRPr="00733091">
        <w:rPr>
          <w:lang w:val="pl-PL"/>
        </w:rPr>
        <w:instrText xml:space="preserve"> SEQ Mapa \* ARABIC </w:instrText>
      </w:r>
      <w:r w:rsidR="00733091">
        <w:fldChar w:fldCharType="separate"/>
      </w:r>
      <w:r w:rsidR="00B14787">
        <w:rPr>
          <w:noProof/>
          <w:lang w:val="pl-PL"/>
        </w:rPr>
        <w:t>7</w:t>
      </w:r>
      <w:r w:rsidR="00733091">
        <w:rPr>
          <w:noProof/>
        </w:rPr>
        <w:fldChar w:fldCharType="end"/>
      </w:r>
      <w:r w:rsidRPr="00733091">
        <w:rPr>
          <w:lang w:val="pl-PL"/>
        </w:rPr>
        <w:t>: Planowany system tras rowerowych</w:t>
      </w:r>
      <w:bookmarkEnd w:id="109"/>
    </w:p>
    <w:p w14:paraId="64AB65B4" w14:textId="33B55CA8" w:rsidR="006A1007" w:rsidRPr="00CE0F0B" w:rsidRDefault="006A1007" w:rsidP="00733091">
      <w:pPr>
        <w:pStyle w:val="podpiselementu"/>
        <w:spacing w:after="240"/>
        <w:rPr>
          <w:lang w:val="pl-PL"/>
        </w:rPr>
      </w:pPr>
      <w:r w:rsidRPr="00711F7D">
        <w:rPr>
          <w:noProof/>
          <w:lang w:eastAsia="pl-PL"/>
        </w:rPr>
        <w:drawing>
          <wp:inline distT="0" distB="0" distL="0" distR="0" wp14:anchorId="235D582A" wp14:editId="32FB0718">
            <wp:extent cx="5760085" cy="3694306"/>
            <wp:effectExtent l="19050" t="19050" r="12065" b="20955"/>
            <wp:docPr id="28" name="Obraz 28" descr="mapa województwa warmińsko-mazurskiego obrazująca planowany regionalny system tras rowerowy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Obraz 28" descr="mapa województwa warmińsko-mazurskiego obrazująca planowany regionalny system tras rowerowych"/>
                    <pic:cNvPicPr/>
                  </pic:nvPicPr>
                  <pic:blipFill>
                    <a:blip r:embed="rId113">
                      <a:extLst>
                        <a:ext uri="{28A0092B-C50C-407E-A947-70E740481C1C}">
                          <a14:useLocalDpi xmlns:a14="http://schemas.microsoft.com/office/drawing/2010/main" val="0"/>
                        </a:ext>
                      </a:extLst>
                    </a:blip>
                    <a:stretch>
                      <a:fillRect/>
                    </a:stretch>
                  </pic:blipFill>
                  <pic:spPr>
                    <a:xfrm>
                      <a:off x="0" y="0"/>
                      <a:ext cx="5772314" cy="3702149"/>
                    </a:xfrm>
                    <a:prstGeom prst="rect">
                      <a:avLst/>
                    </a:prstGeom>
                    <a:ln>
                      <a:solidFill>
                        <a:schemeClr val="tx2"/>
                      </a:solidFill>
                    </a:ln>
                  </pic:spPr>
                </pic:pic>
              </a:graphicData>
            </a:graphic>
          </wp:inline>
        </w:drawing>
      </w:r>
      <w:r w:rsidRPr="00663515">
        <w:rPr>
          <w:rFonts w:asciiTheme="majorHAnsi" w:hAnsiTheme="majorHAnsi" w:cstheme="majorHAnsi"/>
          <w:szCs w:val="18"/>
          <w:lang w:val="pl-PL"/>
        </w:rPr>
        <w:t>Źródło: Plan Zagospodarowania Przestrzennego Województwa Warmińsko-Mazurskiego. 2018. Warmińsko-Mazurskie Biuro Planowania Przestrzennego, Olsztyn.</w:t>
      </w:r>
    </w:p>
    <w:p w14:paraId="55E7E4B8" w14:textId="77777777" w:rsidR="006A1007" w:rsidRPr="00733091" w:rsidRDefault="006A1007" w:rsidP="00663515">
      <w:pPr>
        <w:ind w:left="0"/>
        <w:contextualSpacing/>
        <w:rPr>
          <w:rFonts w:cstheme="minorHAnsi"/>
          <w:sz w:val="18"/>
          <w:szCs w:val="18"/>
          <w:lang w:val="pl-PL"/>
        </w:rPr>
      </w:pPr>
    </w:p>
    <w:p w14:paraId="3C248129" w14:textId="556F14E4" w:rsidR="006A1007" w:rsidRPr="00733091" w:rsidRDefault="006A1007" w:rsidP="00C177E4">
      <w:pPr>
        <w:rPr>
          <w:lang w:val="pl-PL"/>
        </w:rPr>
      </w:pPr>
      <w:r w:rsidRPr="00733091">
        <w:rPr>
          <w:lang w:val="pl-PL"/>
        </w:rPr>
        <w:t>Istotnym z punktu widzenia</w:t>
      </w:r>
      <w:r w:rsidR="00391842">
        <w:rPr>
          <w:lang w:val="pl-PL"/>
        </w:rPr>
        <w:t xml:space="preserve"> rozwoju turystyki</w:t>
      </w:r>
      <w:r w:rsidRPr="00733091">
        <w:rPr>
          <w:lang w:val="pl-PL"/>
        </w:rPr>
        <w:t xml:space="preserve"> elementem infrastruktury rekreacyjno-wypoczynkowej są także </w:t>
      </w:r>
      <w:r w:rsidRPr="00733091">
        <w:rPr>
          <w:b/>
          <w:bCs/>
          <w:lang w:val="pl-PL"/>
        </w:rPr>
        <w:t>obiekty noclegowe.</w:t>
      </w:r>
    </w:p>
    <w:p w14:paraId="2B6AA6D6" w14:textId="565542CD" w:rsidR="006A1007" w:rsidRPr="00EA3474" w:rsidRDefault="006A1007" w:rsidP="00EA3474">
      <w:pPr>
        <w:rPr>
          <w:lang w:val="pl-PL"/>
        </w:rPr>
      </w:pPr>
      <w:r w:rsidRPr="00733091">
        <w:rPr>
          <w:lang w:val="pl-PL"/>
        </w:rPr>
        <w:t>W 2019 r. na terenie Południowych Mazur zlokalizowanych było 98 obiektów noclegowych</w:t>
      </w:r>
      <w:r w:rsidRPr="00711F7D">
        <w:rPr>
          <w:rStyle w:val="Odwoanieprzypisudolnego"/>
          <w:rFonts w:cstheme="minorHAnsi"/>
        </w:rPr>
        <w:footnoteReference w:id="73"/>
      </w:r>
      <w:r w:rsidRPr="00733091">
        <w:rPr>
          <w:lang w:val="pl-PL"/>
        </w:rPr>
        <w:t xml:space="preserve"> (o 6 więcej niż w 2015 r.), w tym 29 hoteli, moteli, pensjonatów </w:t>
      </w:r>
      <w:r w:rsidR="00391842">
        <w:rPr>
          <w:lang w:val="pl-PL"/>
        </w:rPr>
        <w:br/>
      </w:r>
      <w:r w:rsidRPr="00733091">
        <w:rPr>
          <w:lang w:val="pl-PL"/>
        </w:rPr>
        <w:t>i innych obiektów hotelowych</w:t>
      </w:r>
      <w:r w:rsidRPr="00711F7D">
        <w:rPr>
          <w:rStyle w:val="Odwoanieprzypisudolnego"/>
          <w:rFonts w:cstheme="minorHAnsi"/>
        </w:rPr>
        <w:footnoteReference w:id="74"/>
      </w:r>
      <w:r w:rsidRPr="00733091">
        <w:rPr>
          <w:lang w:val="pl-PL"/>
        </w:rPr>
        <w:t xml:space="preserve"> (o 3 więcej niż w 2015 r.); najwięcej w powiecie piskim (50, w tym 11 obiektów hotelowych); najmniej w nidzickim (9 obiektów, </w:t>
      </w:r>
      <w:r w:rsidR="00391842">
        <w:rPr>
          <w:lang w:val="pl-PL"/>
        </w:rPr>
        <w:br/>
      </w:r>
      <w:r w:rsidRPr="00733091">
        <w:rPr>
          <w:lang w:val="pl-PL"/>
        </w:rPr>
        <w:lastRenderedPageBreak/>
        <w:t>w tym 2 obiekty hotelowe). Wskaźnik turystycznych obiektów noclegowych na 10.000 ludności wynosił w 2019 r. średnio 4,33 i wzrósł od 2015 r. o 46,82%.</w:t>
      </w:r>
    </w:p>
    <w:p w14:paraId="358F255A" w14:textId="79B0B538" w:rsidR="006A1007" w:rsidRDefault="007D776B" w:rsidP="002E24A9">
      <w:pPr>
        <w:pStyle w:val="Legenda"/>
        <w:rPr>
          <w:lang w:val="pl-PL"/>
        </w:rPr>
      </w:pPr>
      <w:bookmarkStart w:id="110" w:name="_Toc69723196"/>
      <w:r w:rsidRPr="00733091">
        <w:rPr>
          <w:lang w:val="pl-PL"/>
        </w:rPr>
        <w:t xml:space="preserve">Wykres </w:t>
      </w:r>
      <w:r w:rsidR="00733091">
        <w:fldChar w:fldCharType="begin"/>
      </w:r>
      <w:r w:rsidR="00733091" w:rsidRPr="00733091">
        <w:rPr>
          <w:lang w:val="pl-PL"/>
        </w:rPr>
        <w:instrText xml:space="preserve"> SEQ Wykres \* ARABIC </w:instrText>
      </w:r>
      <w:r w:rsidR="00733091">
        <w:fldChar w:fldCharType="separate"/>
      </w:r>
      <w:r w:rsidR="00B14787">
        <w:rPr>
          <w:noProof/>
          <w:lang w:val="pl-PL"/>
        </w:rPr>
        <w:t>38</w:t>
      </w:r>
      <w:r w:rsidR="00733091">
        <w:rPr>
          <w:noProof/>
        </w:rPr>
        <w:fldChar w:fldCharType="end"/>
      </w:r>
      <w:r w:rsidRPr="00733091">
        <w:rPr>
          <w:lang w:val="pl-PL"/>
        </w:rPr>
        <w:t xml:space="preserve">: </w:t>
      </w:r>
      <w:r w:rsidR="006A1007" w:rsidRPr="00733091">
        <w:rPr>
          <w:lang w:val="pl-PL"/>
        </w:rPr>
        <w:t>Turystyczne obiekty noclegowe Południowych Mazur na 10 tys ludności w latach 2015-2019</w:t>
      </w:r>
      <w:bookmarkEnd w:id="110"/>
    </w:p>
    <w:p w14:paraId="71EA1EB6" w14:textId="3A274DD6" w:rsidR="006A1007" w:rsidRPr="00663515" w:rsidRDefault="00663515" w:rsidP="00C177E4">
      <w:pPr>
        <w:ind w:left="0"/>
        <w:rPr>
          <w:lang w:val="pl-PL"/>
        </w:rPr>
      </w:pPr>
      <w:r w:rsidRPr="00711F7D">
        <w:rPr>
          <w:rFonts w:cstheme="minorHAnsi"/>
          <w:noProof/>
        </w:rPr>
        <w:drawing>
          <wp:inline distT="0" distB="0" distL="0" distR="0" wp14:anchorId="0D88C567" wp14:editId="0570AC69">
            <wp:extent cx="5759450" cy="3204376"/>
            <wp:effectExtent l="0" t="0" r="12700" b="15240"/>
            <wp:docPr id="29" name="Wykres 29" descr="wykres słupkowy pokazujący liczbę turystycznych obiektów noclegowych Południowych Mazur na 10 tys ludności w latach 2015-2019; kolorem niebieskim oznaczone są wskaźniki dla powiatu działdowskiego, pomarańczowym – powiatu nidzickiego, szarym - powiatu piskiego, a żółtym powiatu szczycieńskiego">
              <a:extLst xmlns:a="http://schemas.openxmlformats.org/drawingml/2006/main">
                <a:ext uri="{FF2B5EF4-FFF2-40B4-BE49-F238E27FC236}">
                  <a16:creationId xmlns:a16="http://schemas.microsoft.com/office/drawing/2014/main" id="{B3827143-3D54-45F2-B712-82335AC8AA2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r w:rsidR="006A1007" w:rsidRPr="00C177E4">
        <w:rPr>
          <w:rFonts w:asciiTheme="majorHAnsi" w:hAnsiTheme="majorHAnsi"/>
          <w:lang w:val="pl-PL"/>
        </w:rPr>
        <w:t>Źródło: Opracowanie własne na podstawie danych BDL</w:t>
      </w:r>
    </w:p>
    <w:p w14:paraId="1C1F0E18" w14:textId="71BECF69" w:rsidR="006A1007" w:rsidRPr="00663515" w:rsidRDefault="006A1007" w:rsidP="00663515">
      <w:pPr>
        <w:rPr>
          <w:lang w:val="pl-PL"/>
        </w:rPr>
      </w:pPr>
      <w:r w:rsidRPr="00733091">
        <w:rPr>
          <w:lang w:val="pl-PL"/>
        </w:rPr>
        <w:t xml:space="preserve">W 2019 r. w Południowych Mazurach na 1 tys. ludności przypadało 22,43 miejsc </w:t>
      </w:r>
      <w:r w:rsidR="00B16F07">
        <w:rPr>
          <w:lang w:val="pl-PL"/>
        </w:rPr>
        <w:br/>
      </w:r>
      <w:r w:rsidRPr="00733091">
        <w:rPr>
          <w:lang w:val="pl-PL"/>
        </w:rPr>
        <w:t xml:space="preserve">w obiektach noclegowych (56,42 w powiecie piskim i 11,66 osoby w powicie nidzickim) i 7,18% w hotelach, motelach, pensjonatach i innych obiektach hotelowych. Wskaźnik ten wzrósł od 2015 r. – odpowiednio - o 16,66% i 37,16%. Zarówno wzrost liczby obiektów noclegowych, jak i liczby udzielonych noclegów </w:t>
      </w:r>
      <w:r w:rsidRPr="00733091">
        <w:rPr>
          <w:b/>
          <w:bCs/>
          <w:lang w:val="pl-PL"/>
        </w:rPr>
        <w:t>świadczy o rozwoju bazy noclegowej Południowych Mazur.</w:t>
      </w:r>
      <w:r w:rsidRPr="00733091">
        <w:rPr>
          <w:lang w:val="pl-PL"/>
        </w:rPr>
        <w:t xml:space="preserve"> Jednak mimo to osiągane wskaźniki są niższe niż na terenie województwa warmińsko-mazurskiego (gdzie wynoszą 30,15 miejsc noclegowych na 1 tys. ludności i 13,26 miejsc </w:t>
      </w:r>
      <w:r w:rsidR="00B16F07">
        <w:rPr>
          <w:lang w:val="pl-PL"/>
        </w:rPr>
        <w:br/>
      </w:r>
      <w:r w:rsidRPr="00733091">
        <w:rPr>
          <w:lang w:val="pl-PL"/>
        </w:rPr>
        <w:t>w obiektach hotelowych na 1 tys. ludności)</w:t>
      </w:r>
      <w:r w:rsidRPr="00711F7D">
        <w:rPr>
          <w:rStyle w:val="Odwoanieprzypisudolnego"/>
          <w:rFonts w:cstheme="minorHAnsi"/>
        </w:rPr>
        <w:footnoteReference w:id="75"/>
      </w:r>
      <w:r w:rsidRPr="00733091">
        <w:rPr>
          <w:lang w:val="pl-PL"/>
        </w:rPr>
        <w:t>.</w:t>
      </w:r>
    </w:p>
    <w:p w14:paraId="538655B7" w14:textId="4027E6A8" w:rsidR="006A1007" w:rsidRPr="00663515" w:rsidRDefault="006A1007" w:rsidP="00663515">
      <w:pPr>
        <w:rPr>
          <w:b/>
          <w:bCs/>
          <w:lang w:val="pl-PL"/>
        </w:rPr>
      </w:pPr>
      <w:r w:rsidRPr="00733091">
        <w:rPr>
          <w:lang w:val="pl-PL"/>
        </w:rPr>
        <w:t xml:space="preserve">Blisko połowę wszystkich dostępnych miejsc noclegowych na terenie Południowych Mazur stanowią miejsca w obiektach działających sezonowo (na 1 tys. mieszkańców przypadało w 2019 r. jedynie 12,70 całorocznych miejsc noclegowych (wzrost </w:t>
      </w:r>
      <w:r w:rsidR="00B16F07">
        <w:rPr>
          <w:lang w:val="pl-PL"/>
        </w:rPr>
        <w:br/>
      </w:r>
      <w:r w:rsidRPr="00733091">
        <w:rPr>
          <w:lang w:val="pl-PL"/>
        </w:rPr>
        <w:t>o 15,09% wobec 2015 r.).</w:t>
      </w:r>
      <w:r w:rsidRPr="00733091">
        <w:rPr>
          <w:b/>
          <w:bCs/>
          <w:lang w:val="pl-PL"/>
        </w:rPr>
        <w:t xml:space="preserve"> Oznacza to niepełne wykorzystanie istniejącej bazy noclegowej Południowych Mazur.</w:t>
      </w:r>
    </w:p>
    <w:p w14:paraId="63934224" w14:textId="77777777" w:rsidR="006A1007" w:rsidRPr="00733091" w:rsidRDefault="006A1007" w:rsidP="00733091">
      <w:pPr>
        <w:rPr>
          <w:lang w:val="pl-PL"/>
        </w:rPr>
      </w:pPr>
      <w:r w:rsidRPr="00733091">
        <w:rPr>
          <w:lang w:val="pl-PL"/>
        </w:rPr>
        <w:t>O dostępności bazy noclegowej świadczy wskaźnik gęstości bazy noclegowej (liczba miejsc noclegowych przypadających na 1 km</w:t>
      </w:r>
      <w:r w:rsidRPr="00733091">
        <w:rPr>
          <w:vertAlign w:val="superscript"/>
          <w:lang w:val="pl-PL"/>
        </w:rPr>
        <w:t>2</w:t>
      </w:r>
      <w:r w:rsidRPr="00733091">
        <w:rPr>
          <w:lang w:val="pl-PL"/>
        </w:rPr>
        <w:t xml:space="preserve"> powierzchni). W Południowych </w:t>
      </w:r>
      <w:r w:rsidRPr="00733091">
        <w:rPr>
          <w:lang w:val="pl-PL"/>
        </w:rPr>
        <w:lastRenderedPageBreak/>
        <w:t xml:space="preserve">Mazurach wskaźnik ten kształtował się w 2019 r. na niższym niż w województwie warmińsko-mazurskim poziomie (i wyniósł 1,02, podczas gdy w województwie 5,36). Oznacza to </w:t>
      </w:r>
      <w:r w:rsidRPr="00733091">
        <w:rPr>
          <w:b/>
          <w:bCs/>
          <w:lang w:val="pl-PL"/>
        </w:rPr>
        <w:t>niską dostępność obiektów noclegowych</w:t>
      </w:r>
      <w:r w:rsidRPr="00733091">
        <w:rPr>
          <w:lang w:val="pl-PL"/>
        </w:rPr>
        <w:t xml:space="preserve"> na terenie Południowych Mazur (sytuacja w tym zakresie różnicuje obszar Południowych Mazur – największą dostępność miejsc noclegowych odnotowano w powiecie piskim, najmniejszą w nidzickim).</w:t>
      </w:r>
    </w:p>
    <w:p w14:paraId="3451538A" w14:textId="7C0F922D" w:rsidR="00E82F94" w:rsidRPr="0053183F" w:rsidRDefault="00E82F94" w:rsidP="00733091">
      <w:pPr>
        <w:pStyle w:val="Nagwek5"/>
        <w:spacing w:before="120" w:after="240"/>
        <w:rPr>
          <w:rFonts w:asciiTheme="minorHAnsi" w:hAnsiTheme="minorHAnsi" w:cstheme="minorHAnsi"/>
          <w:b/>
          <w:bCs/>
          <w:lang w:val="pl-PL"/>
        </w:rPr>
      </w:pPr>
      <w:r w:rsidRPr="0053183F">
        <w:rPr>
          <w:rFonts w:asciiTheme="minorHAnsi" w:hAnsiTheme="minorHAnsi" w:cstheme="minorHAnsi"/>
          <w:b/>
          <w:bCs/>
          <w:lang w:val="pl-PL"/>
        </w:rPr>
        <w:t xml:space="preserve">Ruch turystyczny </w:t>
      </w:r>
    </w:p>
    <w:p w14:paraId="50579F03" w14:textId="09C154C6" w:rsidR="006A1007" w:rsidRPr="00733091" w:rsidRDefault="006A1007" w:rsidP="00663515">
      <w:pPr>
        <w:rPr>
          <w:shd w:val="clear" w:color="auto" w:fill="FFFFFF"/>
          <w:lang w:val="pl-PL"/>
        </w:rPr>
      </w:pPr>
      <w:r w:rsidRPr="00733091">
        <w:rPr>
          <w:lang w:val="pl-PL"/>
        </w:rPr>
        <w:t xml:space="preserve">Ruch turystyczny </w:t>
      </w:r>
      <w:r w:rsidRPr="00733091">
        <w:rPr>
          <w:shd w:val="clear" w:color="auto" w:fill="FFFFFF"/>
          <w:lang w:val="pl-PL"/>
        </w:rPr>
        <w:t>jest zjawiskiem społecznym polegającym na czasowym przemieszczaniu się osób z miejsca stałego pobytu w inne miejsce dla realizacji celów rekreacyjnych, poznawczych, zdrowotnych lub rozrywkowych.</w:t>
      </w:r>
    </w:p>
    <w:p w14:paraId="4DEF1578" w14:textId="1956C0EA" w:rsidR="006A1007" w:rsidRPr="00733091" w:rsidRDefault="006A1007" w:rsidP="00663515">
      <w:pPr>
        <w:rPr>
          <w:shd w:val="clear" w:color="auto" w:fill="FFFFFF"/>
          <w:lang w:val="pl-PL"/>
        </w:rPr>
      </w:pPr>
      <w:r w:rsidRPr="00733091">
        <w:rPr>
          <w:shd w:val="clear" w:color="auto" w:fill="FFFFFF"/>
          <w:lang w:val="pl-PL"/>
        </w:rPr>
        <w:t>Intensywność ruchu turystycznego mierzona jest między innymi liczbą udzielonych noclegów. W 2019 r. udzielono ogółem w Południowych Mazurach 67.246 noclegów, głównie turystom krajowym (96,68% - 65.016 noclegów). Turystom zagranicznym w tym okresie udzielono 2.230 noclegów, co stanowi 3,32% wszystkich udzielonych noclegów. W okresie 2015-2019 liczba udzielonych turystom krajowym noclegów wzrosła o 38,06%, a turystom zagranicznym – o 30,35%.</w:t>
      </w:r>
    </w:p>
    <w:p w14:paraId="689A2150" w14:textId="3946AA52" w:rsidR="006A1007" w:rsidRPr="00733091" w:rsidRDefault="006A1007" w:rsidP="00663515">
      <w:pPr>
        <w:rPr>
          <w:shd w:val="clear" w:color="auto" w:fill="FFFFFF"/>
          <w:lang w:val="pl-PL"/>
        </w:rPr>
      </w:pPr>
      <w:r w:rsidRPr="00733091">
        <w:rPr>
          <w:shd w:val="clear" w:color="auto" w:fill="FFFFFF"/>
          <w:lang w:val="pl-PL"/>
        </w:rPr>
        <w:t>W 2019 r. w Południowych Mazurach wskaźnik udzielonych noclegów na 1 tys. ludności wynosił 1.681 i wzrósł w stosunku do roku 2015 r. o 37,81% (najwyższy wskaźnik charakteryzował powiat piski i wynosił w 2019 r. (3.591,32), najniższy powiat nidzicki osiągając wartość 391,76.  Wskaźnik ten w 2019 r. był o połowę niższy niż w województwie warmińsko-mazurskim (2369,98 na 1 tys. ludności).</w:t>
      </w:r>
    </w:p>
    <w:p w14:paraId="7BFCD8EB" w14:textId="28EF16ED" w:rsidR="006A1007" w:rsidRPr="00733091" w:rsidRDefault="006A1007" w:rsidP="00733091">
      <w:pPr>
        <w:rPr>
          <w:shd w:val="clear" w:color="auto" w:fill="FFFFFF"/>
          <w:lang w:val="pl-PL"/>
        </w:rPr>
      </w:pPr>
      <w:r w:rsidRPr="00733091">
        <w:rPr>
          <w:shd w:val="clear" w:color="auto" w:fill="FFFFFF"/>
          <w:lang w:val="pl-PL"/>
        </w:rPr>
        <w:t xml:space="preserve">Jednocześnie w badanym okresie wrósł wskaźnik liczby turystów korzystających </w:t>
      </w:r>
      <w:r w:rsidR="00837706">
        <w:rPr>
          <w:shd w:val="clear" w:color="auto" w:fill="FFFFFF"/>
          <w:lang w:val="pl-PL"/>
        </w:rPr>
        <w:br/>
      </w:r>
      <w:r w:rsidRPr="00733091">
        <w:rPr>
          <w:shd w:val="clear" w:color="auto" w:fill="FFFFFF"/>
          <w:lang w:val="pl-PL"/>
        </w:rPr>
        <w:t>z noclegów na 1</w:t>
      </w:r>
      <w:r w:rsidR="00837706">
        <w:rPr>
          <w:shd w:val="clear" w:color="auto" w:fill="FFFFFF"/>
          <w:lang w:val="pl-PL"/>
        </w:rPr>
        <w:t xml:space="preserve"> tys. </w:t>
      </w:r>
      <w:r w:rsidRPr="00733091">
        <w:rPr>
          <w:shd w:val="clear" w:color="auto" w:fill="FFFFFF"/>
          <w:lang w:val="pl-PL"/>
        </w:rPr>
        <w:t>ludności (o 35,37% z 399,33 w 2015 r. na 617,95 w 2019 r.). Jednocześnie wskaźnik ten w 2019 r. był o ponad 1/3 niższy dla Południowych Mazur niż dla województwa warmińsko-mazurskiego (w 2019 r. wskaźnik ten wynosił 965,98 na 1 tys. ludności).</w:t>
      </w:r>
    </w:p>
    <w:p w14:paraId="2E1AADED" w14:textId="519B60A8" w:rsidR="006A1007" w:rsidRPr="00733091" w:rsidRDefault="006A1007" w:rsidP="00733091">
      <w:pPr>
        <w:rPr>
          <w:shd w:val="clear" w:color="auto" w:fill="FFFFFF"/>
          <w:lang w:val="pl-PL"/>
        </w:rPr>
      </w:pPr>
      <w:r w:rsidRPr="00733091">
        <w:rPr>
          <w:shd w:val="clear" w:color="auto" w:fill="FFFFFF"/>
          <w:lang w:val="pl-PL"/>
        </w:rPr>
        <w:t>Wzrost liczby udzielonych noclegów i wartości wskaźnika udzielonych noclegów na 1</w:t>
      </w:r>
      <w:r w:rsidR="00837706">
        <w:rPr>
          <w:shd w:val="clear" w:color="auto" w:fill="FFFFFF"/>
          <w:lang w:val="pl-PL"/>
        </w:rPr>
        <w:t xml:space="preserve"> tys.</w:t>
      </w:r>
      <w:r w:rsidRPr="00733091">
        <w:rPr>
          <w:shd w:val="clear" w:color="auto" w:fill="FFFFFF"/>
          <w:lang w:val="pl-PL"/>
        </w:rPr>
        <w:t xml:space="preserve"> ludności   świadczy </w:t>
      </w:r>
      <w:r w:rsidRPr="00733091">
        <w:rPr>
          <w:b/>
          <w:bCs/>
          <w:shd w:val="clear" w:color="auto" w:fill="FFFFFF"/>
          <w:lang w:val="pl-PL"/>
        </w:rPr>
        <w:t>o zwiększającym się zainteresowaniu turystów wypoczynkiem na obszarze Południowych Mazur.</w:t>
      </w:r>
    </w:p>
    <w:p w14:paraId="508F2EFE" w14:textId="77777777" w:rsidR="006A1007" w:rsidRPr="00733091" w:rsidRDefault="006A1007" w:rsidP="00733091">
      <w:pPr>
        <w:contextualSpacing/>
        <w:rPr>
          <w:rFonts w:cstheme="minorHAnsi"/>
          <w:lang w:val="pl-PL"/>
        </w:rPr>
      </w:pPr>
    </w:p>
    <w:p w14:paraId="200AB492" w14:textId="1BC86338" w:rsidR="006A1007" w:rsidRPr="00733091" w:rsidRDefault="007D776B" w:rsidP="002E24A9">
      <w:pPr>
        <w:pStyle w:val="Legenda"/>
        <w:rPr>
          <w:rFonts w:cstheme="minorHAnsi"/>
          <w:lang w:val="pl-PL"/>
        </w:rPr>
      </w:pPr>
      <w:bookmarkStart w:id="111" w:name="_Toc69723197"/>
      <w:r w:rsidRPr="00733091">
        <w:rPr>
          <w:lang w:val="pl-PL"/>
        </w:rPr>
        <w:lastRenderedPageBreak/>
        <w:t xml:space="preserve">Wykres </w:t>
      </w:r>
      <w:r w:rsidR="00733091">
        <w:fldChar w:fldCharType="begin"/>
      </w:r>
      <w:r w:rsidR="00733091" w:rsidRPr="00733091">
        <w:rPr>
          <w:lang w:val="pl-PL"/>
        </w:rPr>
        <w:instrText xml:space="preserve"> SEQ Wykres \* ARABIC </w:instrText>
      </w:r>
      <w:r w:rsidR="00733091">
        <w:fldChar w:fldCharType="separate"/>
      </w:r>
      <w:r w:rsidR="00B14787">
        <w:rPr>
          <w:noProof/>
          <w:lang w:val="pl-PL"/>
        </w:rPr>
        <w:t>39</w:t>
      </w:r>
      <w:r w:rsidR="00733091">
        <w:rPr>
          <w:noProof/>
        </w:rPr>
        <w:fldChar w:fldCharType="end"/>
      </w:r>
      <w:r w:rsidRPr="00733091">
        <w:rPr>
          <w:lang w:val="pl-PL"/>
        </w:rPr>
        <w:t xml:space="preserve">: </w:t>
      </w:r>
      <w:r w:rsidR="006A1007" w:rsidRPr="00733091">
        <w:rPr>
          <w:lang w:val="pl-PL"/>
        </w:rPr>
        <w:t>Liczba udzielonych noclegów na obszarze Południowych Mazur w latach 2015-2019</w:t>
      </w:r>
      <w:bookmarkEnd w:id="111"/>
    </w:p>
    <w:p w14:paraId="761B98CB" w14:textId="7696DF28" w:rsidR="006A1007" w:rsidRPr="00C177E4" w:rsidRDefault="006A1007" w:rsidP="00733091">
      <w:pPr>
        <w:pStyle w:val="podpiselementu"/>
        <w:spacing w:after="240"/>
        <w:rPr>
          <w:rFonts w:cstheme="minorHAnsi"/>
          <w:lang w:val="pl-PL"/>
        </w:rPr>
      </w:pPr>
      <w:r>
        <w:rPr>
          <w:noProof/>
        </w:rPr>
        <w:drawing>
          <wp:inline distT="0" distB="0" distL="0" distR="0" wp14:anchorId="2C092890" wp14:editId="4569F22E">
            <wp:extent cx="5707380" cy="2476500"/>
            <wp:effectExtent l="0" t="0" r="7620" b="0"/>
            <wp:docPr id="133" name="Wykres 133" descr="wykres liniowy odzwierciedlający liczbę udzielonych noclegów w PM w latach 2015-2019; kolorem niebieskim oznaczone są wskaźniki dla powiatu działdowskiego, pomarańczowym – powiatu nidzickiego, szarym - powiatu piskiego, a żółtym powiatu szczycieńskiego">
              <a:extLst xmlns:a="http://schemas.openxmlformats.org/drawingml/2006/main">
                <a:ext uri="{FF2B5EF4-FFF2-40B4-BE49-F238E27FC236}">
                  <a16:creationId xmlns:a16="http://schemas.microsoft.com/office/drawing/2014/main" id="{63B0A013-C036-4B39-8D80-1F52CA5BC78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r w:rsidRPr="00733091">
        <w:rPr>
          <w:lang w:val="pl-PL"/>
        </w:rPr>
        <w:t>Źródło: Opracowanie własne na podstawie danych BDL</w:t>
      </w:r>
    </w:p>
    <w:p w14:paraId="46B3BEEF" w14:textId="50D7ED04" w:rsidR="004205E2" w:rsidRPr="00663515" w:rsidRDefault="006A1007" w:rsidP="004205E2">
      <w:pPr>
        <w:rPr>
          <w:lang w:val="pl-PL"/>
        </w:rPr>
      </w:pPr>
      <w:r w:rsidRPr="00733091">
        <w:rPr>
          <w:lang w:val="pl-PL"/>
        </w:rPr>
        <w:br/>
        <w:t xml:space="preserve">Istotnym wskaźnikiem wskazującym na rozwój turystyki obszaru jest </w:t>
      </w:r>
      <w:r w:rsidRPr="00733091">
        <w:rPr>
          <w:b/>
          <w:bCs/>
          <w:lang w:val="pl-PL"/>
        </w:rPr>
        <w:t>stopień wykorzystania miejsc noclegowych</w:t>
      </w:r>
      <w:r w:rsidRPr="00733091">
        <w:rPr>
          <w:lang w:val="pl-PL"/>
        </w:rPr>
        <w:t xml:space="preserve">. Na terenie Południowych Mazur w badanym okresie (2014-2019) stopień wykorzystania miejsc noclegowych (liczony jako % ogólnej liczby miejsc noclegowych) wzrósł o 7,90%, przy czym sytuacja w tym zakresie była mocno zróżnicowana. W powiatach o wyższym poziomie rozwoju funkcji turystycznych i jednocześnie wysokich walorach środowiskowych (jeziora, lasy) liczba wykorzystanych miejsc noclegowych wzrosła (w powiecie piskim </w:t>
      </w:r>
      <w:r w:rsidR="00837706">
        <w:rPr>
          <w:lang w:val="pl-PL"/>
        </w:rPr>
        <w:br/>
      </w:r>
      <w:r w:rsidRPr="00733091">
        <w:rPr>
          <w:lang w:val="pl-PL"/>
        </w:rPr>
        <w:t>o 27,31%; w powiecie szczycieńskim o 39,09%), a w powiatach o niższych walorach – spadła (w działdowskim o 17,28%, nidzickim – 14,22%).</w:t>
      </w:r>
    </w:p>
    <w:p w14:paraId="04BBFB00" w14:textId="21D40B73" w:rsidR="006A1007" w:rsidRPr="00733091" w:rsidRDefault="006A1007" w:rsidP="002E24A9">
      <w:pPr>
        <w:pStyle w:val="Legenda"/>
        <w:rPr>
          <w:lang w:val="pl-PL"/>
        </w:rPr>
      </w:pPr>
      <w:bookmarkStart w:id="112" w:name="_Toc69723198"/>
      <w:r w:rsidRPr="00733091">
        <w:rPr>
          <w:lang w:val="pl-PL"/>
        </w:rPr>
        <w:t xml:space="preserve">Wykres </w:t>
      </w:r>
      <w:r w:rsidR="00733091">
        <w:fldChar w:fldCharType="begin"/>
      </w:r>
      <w:r w:rsidR="00733091" w:rsidRPr="00733091">
        <w:rPr>
          <w:lang w:val="pl-PL"/>
        </w:rPr>
        <w:instrText xml:space="preserve"> SEQ Wykres \* ARABIC </w:instrText>
      </w:r>
      <w:r w:rsidR="00733091">
        <w:fldChar w:fldCharType="separate"/>
      </w:r>
      <w:r w:rsidR="00B14787">
        <w:rPr>
          <w:noProof/>
          <w:lang w:val="pl-PL"/>
        </w:rPr>
        <w:t>40</w:t>
      </w:r>
      <w:r w:rsidR="00733091">
        <w:rPr>
          <w:noProof/>
        </w:rPr>
        <w:fldChar w:fldCharType="end"/>
      </w:r>
      <w:r w:rsidRPr="00733091">
        <w:rPr>
          <w:lang w:val="pl-PL"/>
        </w:rPr>
        <w:t>: Stopień wykorzystania miejsc noclegowych w PM i powiatach (w %)</w:t>
      </w:r>
      <w:bookmarkEnd w:id="112"/>
    </w:p>
    <w:p w14:paraId="3A98D4D7" w14:textId="77777777" w:rsidR="006A1007" w:rsidRPr="00733091" w:rsidRDefault="006A1007" w:rsidP="00733091">
      <w:pPr>
        <w:pStyle w:val="podpiselementu"/>
        <w:spacing w:after="240"/>
        <w:rPr>
          <w:lang w:val="pl-PL"/>
        </w:rPr>
      </w:pPr>
      <w:r w:rsidRPr="00711F7D">
        <w:rPr>
          <w:noProof/>
        </w:rPr>
        <w:drawing>
          <wp:inline distT="0" distB="0" distL="0" distR="0" wp14:anchorId="402B2D24" wp14:editId="64506443">
            <wp:extent cx="5806440" cy="2613660"/>
            <wp:effectExtent l="0" t="0" r="3810" b="15240"/>
            <wp:docPr id="134" name="Wykres 134" descr="wykres liniowy pokazujący stopień wykorzystania miejsc noclegowych w PM i powiatach (w %) w latach 2015-2019; kolorem niebieskim oznaczone są wskaźniki dla powiatu działdowskiego, pomarańczowym – powiatu nidzickiego, szarym - powiatu piskiego, a żółtym powiatu szczycieńskiego. Kolorem jasnoniebieski zaznaczony jest średni wskaźnik dla Południowych Mazur">
              <a:extLst xmlns:a="http://schemas.openxmlformats.org/drawingml/2006/main">
                <a:ext uri="{FF2B5EF4-FFF2-40B4-BE49-F238E27FC236}">
                  <a16:creationId xmlns:a16="http://schemas.microsoft.com/office/drawing/2014/main" id="{7E60BC4C-6CBA-4BAA-BD0A-560E279D865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r w:rsidRPr="00733091">
        <w:rPr>
          <w:lang w:val="pl-PL"/>
        </w:rPr>
        <w:br/>
        <w:t xml:space="preserve"> Źródło: Opracowanie własne na podstawie danych BDL</w:t>
      </w:r>
    </w:p>
    <w:p w14:paraId="7CEEF557" w14:textId="77777777" w:rsidR="00E82F94" w:rsidRPr="0053183F" w:rsidRDefault="00E82F94" w:rsidP="00733091">
      <w:pPr>
        <w:pStyle w:val="Nagwek5"/>
        <w:spacing w:before="120" w:after="240"/>
        <w:rPr>
          <w:rFonts w:asciiTheme="minorHAnsi" w:hAnsiTheme="minorHAnsi" w:cstheme="minorHAnsi"/>
          <w:b/>
          <w:bCs/>
          <w:lang w:val="pl-PL"/>
        </w:rPr>
      </w:pPr>
      <w:r w:rsidRPr="0053183F">
        <w:rPr>
          <w:rFonts w:asciiTheme="minorHAnsi" w:hAnsiTheme="minorHAnsi" w:cstheme="minorHAnsi"/>
          <w:b/>
          <w:bCs/>
          <w:lang w:val="pl-PL"/>
        </w:rPr>
        <w:lastRenderedPageBreak/>
        <w:t xml:space="preserve">Atrakcyjność turystyczna obszaru. Poziom zagospodarowania turystycznego </w:t>
      </w:r>
    </w:p>
    <w:p w14:paraId="468FF99E" w14:textId="6AD36501" w:rsidR="006A1007" w:rsidRPr="00733091" w:rsidRDefault="006A1007" w:rsidP="00CF4811">
      <w:pPr>
        <w:rPr>
          <w:lang w:val="pl-PL"/>
        </w:rPr>
      </w:pPr>
      <w:r w:rsidRPr="00733091">
        <w:rPr>
          <w:lang w:val="pl-PL"/>
        </w:rPr>
        <w:t xml:space="preserve">Południowe Mazury charakteryzują się </w:t>
      </w:r>
      <w:r w:rsidRPr="00733091">
        <w:rPr>
          <w:b/>
          <w:bCs/>
          <w:lang w:val="pl-PL"/>
        </w:rPr>
        <w:t xml:space="preserve">niskim poziomem rozwoju funkcji turystycznej, </w:t>
      </w:r>
      <w:r w:rsidRPr="00733091">
        <w:rPr>
          <w:lang w:val="pl-PL"/>
        </w:rPr>
        <w:t>osiągając drugi z pięciu stopni</w:t>
      </w:r>
      <w:r w:rsidRPr="00711F7D">
        <w:rPr>
          <w:rStyle w:val="Odwoanieprzypisudolnego"/>
          <w:rFonts w:cstheme="minorHAnsi"/>
        </w:rPr>
        <w:footnoteReference w:id="76"/>
      </w:r>
      <w:r w:rsidRPr="00733091">
        <w:rPr>
          <w:lang w:val="pl-PL"/>
        </w:rPr>
        <w:t xml:space="preserve"> rozwoju. Najwyższy wskaźnik rozwoju tej funkcji</w:t>
      </w:r>
      <w:r w:rsidRPr="00711F7D">
        <w:rPr>
          <w:rStyle w:val="Odwoanieprzypisudolnego"/>
          <w:rFonts w:cstheme="minorHAnsi"/>
        </w:rPr>
        <w:footnoteReference w:id="77"/>
      </w:r>
      <w:r w:rsidRPr="00733091">
        <w:rPr>
          <w:lang w:val="pl-PL"/>
        </w:rPr>
        <w:t xml:space="preserve"> cechuje powiat piski</w:t>
      </w:r>
      <w:r w:rsidR="004142AE">
        <w:rPr>
          <w:lang w:val="pl-PL"/>
        </w:rPr>
        <w:t xml:space="preserve"> i szczycieński</w:t>
      </w:r>
      <w:r w:rsidRPr="00733091">
        <w:rPr>
          <w:lang w:val="pl-PL"/>
        </w:rPr>
        <w:t>; najniższy – powiat nidzicki (tabela poniżej). Jednocześnie wskaźnik rozwoju funkcji turystycznej Południowych Mazur (wynoszący w 2019 r. - 0,25) był niższy niż charakteryzujący województwo warmińsko-mazurskie (0,30).</w:t>
      </w:r>
    </w:p>
    <w:p w14:paraId="67B36693" w14:textId="7D0D5D74" w:rsidR="00C16CB1" w:rsidRDefault="006A1007" w:rsidP="00C16CB1">
      <w:pPr>
        <w:rPr>
          <w:lang w:val="pl-PL"/>
        </w:rPr>
      </w:pPr>
      <w:r w:rsidRPr="00733091">
        <w:rPr>
          <w:lang w:val="pl-PL"/>
        </w:rPr>
        <w:t>Poziom rozwoju funkcji turystycznej i wartość wskaźników składowych (nie przekraczająca w żadnym z analizowanych przypadków 2 stopni w 5-stopiowej skali) wskazuje na konieczność podejmowania działań zmierzających do zwiększenia potencjału turystycznego Partnerstwa, w tym bazy noclegowej</w:t>
      </w:r>
      <w:r w:rsidR="00C16CB1">
        <w:rPr>
          <w:lang w:val="pl-PL"/>
        </w:rPr>
        <w:t xml:space="preserve"> (tabela 17)</w:t>
      </w:r>
      <w:r w:rsidR="0053183F">
        <w:rPr>
          <w:lang w:val="pl-PL"/>
        </w:rPr>
        <w:t>.</w:t>
      </w:r>
    </w:p>
    <w:p w14:paraId="4EA846A3" w14:textId="06AC8015" w:rsidR="00C16CB1" w:rsidRPr="00733091" w:rsidRDefault="00C16CB1" w:rsidP="00C16CB1">
      <w:pPr>
        <w:rPr>
          <w:lang w:val="pl-PL"/>
        </w:rPr>
      </w:pPr>
      <w:r w:rsidRPr="00733091">
        <w:rPr>
          <w:lang w:val="pl-PL"/>
        </w:rPr>
        <w:t xml:space="preserve">Południowe Mazury charakteryzują się </w:t>
      </w:r>
      <w:r w:rsidRPr="00733091">
        <w:rPr>
          <w:b/>
          <w:bCs/>
          <w:lang w:val="pl-PL"/>
        </w:rPr>
        <w:t>średnim poziomem atrakcyjności turystycznej</w:t>
      </w:r>
      <w:r w:rsidRPr="00711F7D">
        <w:rPr>
          <w:rStyle w:val="Odwoanieprzypisudolnego"/>
          <w:rFonts w:cstheme="minorHAnsi"/>
          <w:iCs/>
        </w:rPr>
        <w:footnoteReference w:id="78"/>
      </w:r>
      <w:r w:rsidRPr="00733091">
        <w:rPr>
          <w:b/>
          <w:bCs/>
          <w:lang w:val="pl-PL"/>
        </w:rPr>
        <w:t xml:space="preserve">, </w:t>
      </w:r>
      <w:r w:rsidRPr="00733091">
        <w:rPr>
          <w:lang w:val="pl-PL"/>
        </w:rPr>
        <w:t xml:space="preserve">w tym niskim lub bardzo niskim poziomem atrakcyjności kulturowej, wysokim lub bardzo wysokim poziomem atrakcyjności środowiskowej </w:t>
      </w:r>
      <w:r w:rsidR="00837706">
        <w:rPr>
          <w:lang w:val="pl-PL"/>
        </w:rPr>
        <w:br/>
      </w:r>
      <w:r w:rsidRPr="00733091">
        <w:rPr>
          <w:lang w:val="pl-PL"/>
        </w:rPr>
        <w:t>(w szczególności powiat piski, wymieniany jako jedyny z powiatów Południowych Mazur w grupie decylowej powiatów o najwyższej atrakcyjności środowiskowej) oraz niskim poziomem atrakcyjności biznesowej.</w:t>
      </w:r>
    </w:p>
    <w:p w14:paraId="79141F26" w14:textId="57A16F95" w:rsidR="00CF4811" w:rsidRDefault="00C16CB1" w:rsidP="00C16CB1">
      <w:pPr>
        <w:rPr>
          <w:lang w:val="pl-PL"/>
        </w:rPr>
      </w:pPr>
      <w:r w:rsidRPr="00733091">
        <w:rPr>
          <w:lang w:val="pl-PL"/>
        </w:rPr>
        <w:t>Jednocześnie powiaty Południowych Mazur zostały zakwalifikowane jako obszary</w:t>
      </w:r>
      <w:r w:rsidR="0053183F">
        <w:rPr>
          <w:lang w:val="pl-PL"/>
        </w:rPr>
        <w:br/>
      </w:r>
      <w:r w:rsidRPr="00733091">
        <w:rPr>
          <w:lang w:val="pl-PL"/>
        </w:rPr>
        <w:t xml:space="preserve"> </w:t>
      </w:r>
      <w:r w:rsidRPr="00733091">
        <w:rPr>
          <w:b/>
          <w:bCs/>
          <w:lang w:val="pl-PL"/>
        </w:rPr>
        <w:t xml:space="preserve">o dominujących walorach środowiskowych </w:t>
      </w:r>
      <w:r w:rsidRPr="00733091">
        <w:rPr>
          <w:lang w:val="pl-PL"/>
        </w:rPr>
        <w:t>(mapa poniżej).</w:t>
      </w:r>
      <w:r>
        <w:rPr>
          <w:b/>
          <w:bCs/>
          <w:lang w:val="pl-PL"/>
        </w:rPr>
        <w:t xml:space="preserve"> </w:t>
      </w:r>
      <w:r w:rsidR="00C6675B">
        <w:rPr>
          <w:b/>
          <w:bCs/>
          <w:lang w:val="pl-PL"/>
        </w:rPr>
        <w:br/>
      </w:r>
      <w:r w:rsidRPr="00733091">
        <w:rPr>
          <w:lang w:val="pl-PL"/>
        </w:rPr>
        <w:t>Poziom atrakcyjności turystycznej Południowych Mazur powinien być brany pod uwagę w procesie wyborów strategicznych Partnerstwa.</w:t>
      </w:r>
    </w:p>
    <w:p w14:paraId="7997FBD2" w14:textId="1F47D6B5" w:rsidR="00EA3474" w:rsidRPr="00733091" w:rsidRDefault="00EA3474" w:rsidP="002E24A9">
      <w:pPr>
        <w:pStyle w:val="Legenda"/>
        <w:rPr>
          <w:lang w:val="pl-PL"/>
        </w:rPr>
      </w:pPr>
      <w:bookmarkStart w:id="113" w:name="_Toc69596608"/>
      <w:r w:rsidRPr="00733091">
        <w:rPr>
          <w:lang w:val="pl-PL"/>
        </w:rPr>
        <w:lastRenderedPageBreak/>
        <w:t xml:space="preserve">Mapa </w:t>
      </w:r>
      <w:r>
        <w:fldChar w:fldCharType="begin"/>
      </w:r>
      <w:r w:rsidRPr="00733091">
        <w:rPr>
          <w:lang w:val="pl-PL"/>
        </w:rPr>
        <w:instrText xml:space="preserve"> SEQ Mapa \* ARABIC </w:instrText>
      </w:r>
      <w:r>
        <w:fldChar w:fldCharType="separate"/>
      </w:r>
      <w:r w:rsidR="00B14787">
        <w:rPr>
          <w:noProof/>
          <w:lang w:val="pl-PL"/>
        </w:rPr>
        <w:t>8</w:t>
      </w:r>
      <w:r>
        <w:rPr>
          <w:noProof/>
        </w:rPr>
        <w:fldChar w:fldCharType="end"/>
      </w:r>
      <w:r w:rsidRPr="00733091">
        <w:rPr>
          <w:lang w:val="pl-PL"/>
        </w:rPr>
        <w:t>: Powiaty o dominujących walorach kulturowych, środowiskowych oraz powiaty bez dominującego rodzaju walorów turystycznych</w:t>
      </w:r>
      <w:bookmarkEnd w:id="113"/>
    </w:p>
    <w:p w14:paraId="54A99041" w14:textId="03FF1518" w:rsidR="00427A68" w:rsidRPr="0053183F" w:rsidRDefault="00EA3474" w:rsidP="00EA3474">
      <w:pPr>
        <w:pStyle w:val="podpiselementu"/>
        <w:spacing w:after="240"/>
        <w:rPr>
          <w:lang w:val="pl-PL"/>
        </w:rPr>
        <w:sectPr w:rsidR="00427A68" w:rsidRPr="0053183F" w:rsidSect="00427A68">
          <w:pgSz w:w="11906" w:h="16838"/>
          <w:pgMar w:top="1418" w:right="1418" w:bottom="1701" w:left="1418" w:header="709" w:footer="709" w:gutter="0"/>
          <w:cols w:space="708"/>
          <w:docGrid w:linePitch="360"/>
        </w:sectPr>
      </w:pPr>
      <w:r w:rsidRPr="00711F7D">
        <w:rPr>
          <w:noProof/>
        </w:rPr>
        <w:drawing>
          <wp:inline distT="0" distB="0" distL="0" distR="0" wp14:anchorId="1ABC66B5" wp14:editId="48BCFE9A">
            <wp:extent cx="4652010" cy="4652010"/>
            <wp:effectExtent l="19050" t="19050" r="15240" b="15240"/>
            <wp:docPr id="14" name="Obraz 14" descr="mapa Polski wskazująca powiaty o dominujących walorach kulturowych, środowiskowych oraz powiaty bez dominującego rodzaju walorów turystycznych, kolorem niebieskim oznaczone są powiaty o dominujących walorach kulturowych, kolorem zielonym oznaczone są powiaty o dominujących walorach środowiskowych, kolorem szarym oznaczone są powiaty bez dominującego rodzaju walorów turystycznych, powiaty bez dominującego rodzaju walorów turystycznych zaznaczono kolorem pomarańczow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Obraz 192" descr="mapa Polski wskazująca powiaty o dominujących walorach kulturowych, środowiskowych oraz powiaty bez dominującego rodzaju walorów turystycznych, kolorem niebieskim oznaczone są powiaty o dominujących walorach kulturowych, kolorem zielonym oznaczone są powiaty o dominujących walorach środowiskowych, kolorem szarym oznaczone są powiaty bez dominującego rodzaju walorów turystycznych, powiaty bez dominującego rodzaju walorów turystycznych zaznaczono kolorem pomarańczowym"/>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4652010" cy="4652010"/>
                    </a:xfrm>
                    <a:prstGeom prst="rect">
                      <a:avLst/>
                    </a:prstGeom>
                    <a:ln>
                      <a:solidFill>
                        <a:schemeClr val="tx2"/>
                      </a:solidFill>
                    </a:ln>
                  </pic:spPr>
                </pic:pic>
              </a:graphicData>
            </a:graphic>
          </wp:inline>
        </w:drawing>
      </w:r>
      <w:r w:rsidR="0053183F" w:rsidRPr="0053183F">
        <w:rPr>
          <w:lang w:val="pl-PL"/>
        </w:rPr>
        <w:br/>
      </w:r>
      <w:r w:rsidRPr="00733091">
        <w:rPr>
          <w:lang w:val="pl-PL"/>
        </w:rPr>
        <w:t>Źródło: „Analiza walorów turystycznych powiatów i ich bezpośredniego otoczenia”, GUS 2017</w:t>
      </w:r>
    </w:p>
    <w:p w14:paraId="5EC2A51F" w14:textId="0BDC0963" w:rsidR="006A1007" w:rsidRPr="00733091" w:rsidRDefault="006A1007" w:rsidP="002E24A9">
      <w:pPr>
        <w:pStyle w:val="Legenda"/>
        <w:rPr>
          <w:lang w:val="pl-PL"/>
        </w:rPr>
      </w:pPr>
      <w:bookmarkStart w:id="114" w:name="_Toc69723266"/>
      <w:r w:rsidRPr="00733091">
        <w:rPr>
          <w:lang w:val="pl-PL"/>
        </w:rPr>
        <w:lastRenderedPageBreak/>
        <w:t xml:space="preserve">Tabela </w:t>
      </w:r>
      <w:r w:rsidR="00733091">
        <w:fldChar w:fldCharType="begin"/>
      </w:r>
      <w:r w:rsidR="00733091" w:rsidRPr="00733091">
        <w:rPr>
          <w:lang w:val="pl-PL"/>
        </w:rPr>
        <w:instrText xml:space="preserve"> SEQ Tabela \* ARABIC </w:instrText>
      </w:r>
      <w:r w:rsidR="00733091">
        <w:fldChar w:fldCharType="separate"/>
      </w:r>
      <w:r w:rsidR="00B14787">
        <w:rPr>
          <w:noProof/>
          <w:lang w:val="pl-PL"/>
        </w:rPr>
        <w:t>17</w:t>
      </w:r>
      <w:r w:rsidR="00733091">
        <w:rPr>
          <w:noProof/>
        </w:rPr>
        <w:fldChar w:fldCharType="end"/>
      </w:r>
      <w:r w:rsidRPr="00733091">
        <w:rPr>
          <w:lang w:val="pl-PL"/>
        </w:rPr>
        <w:t>: Wskaźnik rozwoju funkcji turystycznych dla Południowych Mazur i województwa warmińsko-mazurskiego</w:t>
      </w:r>
      <w:bookmarkEnd w:id="114"/>
    </w:p>
    <w:tbl>
      <w:tblPr>
        <w:tblStyle w:val="CWD"/>
        <w:tblpPr w:leftFromText="141" w:rightFromText="141" w:vertAnchor="text" w:tblpX="-289" w:tblpY="1"/>
        <w:tblOverlap w:val="never"/>
        <w:tblW w:w="5168" w:type="pct"/>
        <w:tblLayout w:type="fixed"/>
        <w:tblLook w:val="04A0" w:firstRow="1" w:lastRow="0" w:firstColumn="1" w:lastColumn="0" w:noHBand="0" w:noVBand="1"/>
      </w:tblPr>
      <w:tblGrid>
        <w:gridCol w:w="1487"/>
        <w:gridCol w:w="1614"/>
        <w:gridCol w:w="926"/>
        <w:gridCol w:w="7"/>
        <w:gridCol w:w="1442"/>
        <w:gridCol w:w="1039"/>
        <w:gridCol w:w="1600"/>
        <w:gridCol w:w="987"/>
        <w:gridCol w:w="7"/>
        <w:gridCol w:w="1413"/>
        <w:gridCol w:w="975"/>
        <w:gridCol w:w="18"/>
        <w:gridCol w:w="1238"/>
        <w:gridCol w:w="1417"/>
      </w:tblGrid>
      <w:tr w:rsidR="00D97684" w:rsidRPr="00BE64FC" w14:paraId="65CFDFD1" w14:textId="77777777" w:rsidTr="00D97684">
        <w:trPr>
          <w:cnfStyle w:val="100000000000" w:firstRow="1" w:lastRow="0" w:firstColumn="0" w:lastColumn="0" w:oddVBand="0" w:evenVBand="0" w:oddHBand="0" w:evenHBand="0" w:firstRowFirstColumn="0" w:firstRowLastColumn="0" w:lastRowFirstColumn="0" w:lastRowLastColumn="0"/>
          <w:trHeight w:val="273"/>
        </w:trPr>
        <w:tc>
          <w:tcPr>
            <w:cnfStyle w:val="001000000000" w:firstRow="0" w:lastRow="0" w:firstColumn="1" w:lastColumn="0" w:oddVBand="0" w:evenVBand="0" w:oddHBand="0" w:evenHBand="0" w:firstRowFirstColumn="0" w:firstRowLastColumn="0" w:lastRowFirstColumn="0" w:lastRowLastColumn="0"/>
            <w:tcW w:w="1487" w:type="dxa"/>
            <w:vMerge w:val="restart"/>
            <w:shd w:val="clear" w:color="auto" w:fill="FFC000"/>
            <w:noWrap/>
          </w:tcPr>
          <w:p w14:paraId="47CBDE21" w14:textId="31C189DA" w:rsidR="00D97684" w:rsidRPr="00D97684" w:rsidRDefault="00726616" w:rsidP="00726616">
            <w:pPr>
              <w:pStyle w:val="elementgraficznytabela"/>
              <w:spacing w:after="240"/>
              <w:contextualSpacing/>
              <w:jc w:val="center"/>
              <w:rPr>
                <w:rFonts w:cstheme="minorHAnsi"/>
                <w:bCs/>
                <w:szCs w:val="24"/>
                <w:lang w:eastAsia="pl-PL"/>
              </w:rPr>
            </w:pPr>
            <w:r>
              <w:rPr>
                <w:rFonts w:cstheme="minorHAnsi"/>
                <w:bCs/>
                <w:szCs w:val="24"/>
                <w:lang w:eastAsia="pl-PL"/>
              </w:rPr>
              <w:t>Nazwa JST</w:t>
            </w:r>
          </w:p>
        </w:tc>
        <w:tc>
          <w:tcPr>
            <w:tcW w:w="5028" w:type="dxa"/>
            <w:gridSpan w:val="5"/>
            <w:shd w:val="clear" w:color="auto" w:fill="FFC000"/>
          </w:tcPr>
          <w:p w14:paraId="181BAAEF" w14:textId="1B24B9E5" w:rsidR="00D97684" w:rsidRPr="00D97684" w:rsidRDefault="00D97684" w:rsidP="00D97684">
            <w:pPr>
              <w:pStyle w:val="elementgraficznytabela"/>
              <w:spacing w:after="240"/>
              <w:contextualSpacing/>
              <w:jc w:val="center"/>
              <w:cnfStyle w:val="100000000000" w:firstRow="1" w:lastRow="0" w:firstColumn="0" w:lastColumn="0" w:oddVBand="0" w:evenVBand="0" w:oddHBand="0" w:evenHBand="0" w:firstRowFirstColumn="0" w:firstRowLastColumn="0" w:lastRowFirstColumn="0" w:lastRowLastColumn="0"/>
              <w:rPr>
                <w:rFonts w:cstheme="minorHAnsi"/>
                <w:bCs/>
                <w:szCs w:val="24"/>
                <w:lang w:eastAsia="pl-PL"/>
              </w:rPr>
            </w:pPr>
            <w:r>
              <w:rPr>
                <w:rFonts w:cstheme="minorHAnsi"/>
                <w:bCs/>
                <w:szCs w:val="24"/>
                <w:lang w:eastAsia="pl-PL"/>
              </w:rPr>
              <w:t>Poziom zagospodarowania turystycznego</w:t>
            </w:r>
          </w:p>
        </w:tc>
        <w:tc>
          <w:tcPr>
            <w:tcW w:w="4982" w:type="dxa"/>
            <w:gridSpan w:val="5"/>
            <w:shd w:val="clear" w:color="auto" w:fill="FFC000"/>
            <w:noWrap/>
          </w:tcPr>
          <w:p w14:paraId="5F964920" w14:textId="072C367B" w:rsidR="00D97684" w:rsidRPr="00D97684" w:rsidRDefault="00D97684" w:rsidP="00D97684">
            <w:pPr>
              <w:pStyle w:val="elementgraficznytabela"/>
              <w:spacing w:after="240"/>
              <w:contextualSpacing/>
              <w:jc w:val="center"/>
              <w:cnfStyle w:val="100000000000" w:firstRow="1" w:lastRow="0" w:firstColumn="0" w:lastColumn="0" w:oddVBand="0" w:evenVBand="0" w:oddHBand="0" w:evenHBand="0" w:firstRowFirstColumn="0" w:firstRowLastColumn="0" w:lastRowFirstColumn="0" w:lastRowLastColumn="0"/>
              <w:rPr>
                <w:rFonts w:cstheme="minorHAnsi"/>
                <w:bCs/>
                <w:szCs w:val="24"/>
                <w:lang w:eastAsia="pl-PL"/>
              </w:rPr>
            </w:pPr>
            <w:r>
              <w:rPr>
                <w:rFonts w:cstheme="minorHAnsi"/>
                <w:bCs/>
                <w:szCs w:val="24"/>
                <w:lang w:eastAsia="pl-PL"/>
              </w:rPr>
              <w:t xml:space="preserve">Intensywność ruchu turystycznego </w:t>
            </w:r>
          </w:p>
        </w:tc>
        <w:tc>
          <w:tcPr>
            <w:tcW w:w="2673" w:type="dxa"/>
            <w:gridSpan w:val="3"/>
            <w:vMerge w:val="restart"/>
            <w:shd w:val="clear" w:color="auto" w:fill="FFC000"/>
          </w:tcPr>
          <w:p w14:paraId="0A25C3A9" w14:textId="3CE02BFE" w:rsidR="00D97684" w:rsidRPr="00D97684" w:rsidRDefault="00D97684" w:rsidP="00D97684">
            <w:pPr>
              <w:pStyle w:val="elementgraficznytabela"/>
              <w:spacing w:after="240"/>
              <w:contextualSpacing/>
              <w:jc w:val="center"/>
              <w:cnfStyle w:val="100000000000" w:firstRow="1" w:lastRow="0" w:firstColumn="0" w:lastColumn="0" w:oddVBand="0" w:evenVBand="0" w:oddHBand="0" w:evenHBand="0" w:firstRowFirstColumn="0" w:firstRowLastColumn="0" w:lastRowFirstColumn="0" w:lastRowLastColumn="0"/>
              <w:rPr>
                <w:rFonts w:cstheme="minorHAnsi"/>
                <w:bCs/>
                <w:szCs w:val="24"/>
                <w:lang w:eastAsia="pl-PL"/>
              </w:rPr>
            </w:pPr>
            <w:r>
              <w:rPr>
                <w:rFonts w:cstheme="minorHAnsi"/>
                <w:bCs/>
                <w:szCs w:val="24"/>
                <w:lang w:eastAsia="pl-PL"/>
              </w:rPr>
              <w:t>Wskaźnik rozwoju funkcji turystycznej</w:t>
            </w:r>
          </w:p>
        </w:tc>
      </w:tr>
      <w:tr w:rsidR="00D97684" w:rsidRPr="00BE64FC" w14:paraId="702B863B" w14:textId="77777777" w:rsidTr="00D97684">
        <w:trPr>
          <w:trHeight w:val="772"/>
        </w:trPr>
        <w:tc>
          <w:tcPr>
            <w:cnfStyle w:val="001000000000" w:firstRow="0" w:lastRow="0" w:firstColumn="1" w:lastColumn="0" w:oddVBand="0" w:evenVBand="0" w:oddHBand="0" w:evenHBand="0" w:firstRowFirstColumn="0" w:firstRowLastColumn="0" w:lastRowFirstColumn="0" w:lastRowLastColumn="0"/>
            <w:tcW w:w="1487" w:type="dxa"/>
            <w:vMerge/>
            <w:shd w:val="clear" w:color="auto" w:fill="FFC000"/>
            <w:noWrap/>
            <w:hideMark/>
          </w:tcPr>
          <w:p w14:paraId="4A49D4A5" w14:textId="4903B6A9" w:rsidR="00D97684" w:rsidRPr="00D97684" w:rsidRDefault="00D97684" w:rsidP="00D97684">
            <w:pPr>
              <w:pStyle w:val="elementgraficznytabela"/>
              <w:spacing w:after="240"/>
              <w:contextualSpacing/>
              <w:rPr>
                <w:rFonts w:cstheme="minorHAnsi"/>
                <w:bCs/>
                <w:szCs w:val="24"/>
                <w:lang w:eastAsia="pl-PL"/>
              </w:rPr>
            </w:pPr>
          </w:p>
        </w:tc>
        <w:tc>
          <w:tcPr>
            <w:tcW w:w="2547" w:type="dxa"/>
            <w:gridSpan w:val="3"/>
            <w:shd w:val="clear" w:color="auto" w:fill="FFC000"/>
            <w:hideMark/>
          </w:tcPr>
          <w:p w14:paraId="0D6F8DD2" w14:textId="77777777" w:rsidR="00D97684" w:rsidRPr="00D97684" w:rsidRDefault="00D97684" w:rsidP="00D97684">
            <w:pPr>
              <w:pStyle w:val="elementgraficznytabela"/>
              <w:spacing w:after="240"/>
              <w:contextualSpacing/>
              <w:jc w:val="center"/>
              <w:cnfStyle w:val="000000000000" w:firstRow="0" w:lastRow="0" w:firstColumn="0" w:lastColumn="0" w:oddVBand="0" w:evenVBand="0" w:oddHBand="0" w:evenHBand="0" w:firstRowFirstColumn="0" w:firstRowLastColumn="0" w:lastRowFirstColumn="0" w:lastRowLastColumn="0"/>
              <w:rPr>
                <w:rFonts w:cstheme="minorHAnsi"/>
                <w:bCs/>
                <w:szCs w:val="24"/>
                <w:lang w:eastAsia="pl-PL"/>
              </w:rPr>
            </w:pPr>
            <w:r w:rsidRPr="00D97684">
              <w:rPr>
                <w:rFonts w:cstheme="minorHAnsi"/>
                <w:bCs/>
                <w:szCs w:val="24"/>
                <w:lang w:eastAsia="pl-PL"/>
              </w:rPr>
              <w:t>Wskaźnik Baretje’a-Deferta (Wbd)</w:t>
            </w:r>
          </w:p>
        </w:tc>
        <w:tc>
          <w:tcPr>
            <w:tcW w:w="2481" w:type="dxa"/>
            <w:gridSpan w:val="2"/>
            <w:shd w:val="clear" w:color="auto" w:fill="FFC000"/>
            <w:hideMark/>
          </w:tcPr>
          <w:p w14:paraId="0BA05688" w14:textId="77777777" w:rsidR="00D97684" w:rsidRPr="00D97684" w:rsidRDefault="00D97684" w:rsidP="00D97684">
            <w:pPr>
              <w:pStyle w:val="elementgraficznytabela"/>
              <w:spacing w:after="240"/>
              <w:contextualSpacing/>
              <w:jc w:val="center"/>
              <w:cnfStyle w:val="000000000000" w:firstRow="0" w:lastRow="0" w:firstColumn="0" w:lastColumn="0" w:oddVBand="0" w:evenVBand="0" w:oddHBand="0" w:evenHBand="0" w:firstRowFirstColumn="0" w:firstRowLastColumn="0" w:lastRowFirstColumn="0" w:lastRowLastColumn="0"/>
              <w:rPr>
                <w:rFonts w:cstheme="minorHAnsi"/>
                <w:bCs/>
                <w:szCs w:val="24"/>
                <w:lang w:eastAsia="pl-PL"/>
              </w:rPr>
            </w:pPr>
            <w:r w:rsidRPr="00D97684">
              <w:rPr>
                <w:rFonts w:cstheme="minorHAnsi"/>
                <w:bCs/>
                <w:szCs w:val="24"/>
                <w:lang w:eastAsia="pl-PL"/>
              </w:rPr>
              <w:t>Wskaźnik gęstości bazy noclegowej (W</w:t>
            </w:r>
            <w:r w:rsidRPr="00D97684">
              <w:rPr>
                <w:rFonts w:cstheme="minorHAnsi"/>
                <w:bCs/>
                <w:szCs w:val="24"/>
                <w:vertAlign w:val="subscript"/>
                <w:lang w:eastAsia="pl-PL"/>
              </w:rPr>
              <w:t>gbn</w:t>
            </w:r>
            <w:r w:rsidRPr="00D97684">
              <w:rPr>
                <w:rFonts w:cstheme="minorHAnsi"/>
                <w:bCs/>
                <w:szCs w:val="24"/>
                <w:lang w:eastAsia="pl-PL"/>
              </w:rPr>
              <w:t>)</w:t>
            </w:r>
          </w:p>
        </w:tc>
        <w:tc>
          <w:tcPr>
            <w:tcW w:w="2587" w:type="dxa"/>
            <w:gridSpan w:val="2"/>
            <w:shd w:val="clear" w:color="auto" w:fill="FFC000"/>
            <w:noWrap/>
            <w:hideMark/>
          </w:tcPr>
          <w:p w14:paraId="21245D73" w14:textId="77777777" w:rsidR="00D97684" w:rsidRPr="00D97684" w:rsidRDefault="00D97684" w:rsidP="00D97684">
            <w:pPr>
              <w:pStyle w:val="elementgraficznytabela"/>
              <w:spacing w:after="240"/>
              <w:contextualSpacing/>
              <w:jc w:val="center"/>
              <w:cnfStyle w:val="000000000000" w:firstRow="0" w:lastRow="0" w:firstColumn="0" w:lastColumn="0" w:oddVBand="0" w:evenVBand="0" w:oddHBand="0" w:evenHBand="0" w:firstRowFirstColumn="0" w:firstRowLastColumn="0" w:lastRowFirstColumn="0" w:lastRowLastColumn="0"/>
              <w:rPr>
                <w:rFonts w:cstheme="minorHAnsi"/>
                <w:bCs/>
                <w:szCs w:val="24"/>
                <w:lang w:eastAsia="pl-PL"/>
              </w:rPr>
            </w:pPr>
            <w:r w:rsidRPr="00D97684">
              <w:rPr>
                <w:rFonts w:cstheme="minorHAnsi"/>
                <w:bCs/>
                <w:szCs w:val="24"/>
                <w:lang w:eastAsia="pl-PL"/>
              </w:rPr>
              <w:t>Wskaźnik Schneidera (W</w:t>
            </w:r>
            <w:r w:rsidRPr="00D97684">
              <w:rPr>
                <w:rFonts w:cstheme="minorHAnsi"/>
                <w:bCs/>
                <w:szCs w:val="24"/>
                <w:vertAlign w:val="subscript"/>
                <w:lang w:eastAsia="pl-PL"/>
              </w:rPr>
              <w:t>sch</w:t>
            </w:r>
            <w:r w:rsidRPr="00D97684">
              <w:rPr>
                <w:rFonts w:cstheme="minorHAnsi"/>
                <w:bCs/>
                <w:szCs w:val="24"/>
                <w:lang w:eastAsia="pl-PL"/>
              </w:rPr>
              <w:t>)</w:t>
            </w:r>
          </w:p>
        </w:tc>
        <w:tc>
          <w:tcPr>
            <w:tcW w:w="2395" w:type="dxa"/>
            <w:gridSpan w:val="3"/>
            <w:shd w:val="clear" w:color="auto" w:fill="FFC000"/>
            <w:noWrap/>
            <w:hideMark/>
          </w:tcPr>
          <w:p w14:paraId="0B21C78B" w14:textId="77777777" w:rsidR="00D97684" w:rsidRPr="00D97684" w:rsidRDefault="00D97684" w:rsidP="00D97684">
            <w:pPr>
              <w:pStyle w:val="elementgraficznytabela"/>
              <w:spacing w:after="240"/>
              <w:contextualSpacing/>
              <w:jc w:val="center"/>
              <w:cnfStyle w:val="000000000000" w:firstRow="0" w:lastRow="0" w:firstColumn="0" w:lastColumn="0" w:oddVBand="0" w:evenVBand="0" w:oddHBand="0" w:evenHBand="0" w:firstRowFirstColumn="0" w:firstRowLastColumn="0" w:lastRowFirstColumn="0" w:lastRowLastColumn="0"/>
              <w:rPr>
                <w:rFonts w:cstheme="minorHAnsi"/>
                <w:bCs/>
                <w:szCs w:val="24"/>
                <w:lang w:eastAsia="pl-PL"/>
              </w:rPr>
            </w:pPr>
            <w:r w:rsidRPr="00D97684">
              <w:rPr>
                <w:rFonts w:cstheme="minorHAnsi"/>
                <w:bCs/>
                <w:szCs w:val="24"/>
                <w:lang w:eastAsia="pl-PL"/>
              </w:rPr>
              <w:t>Wskaźnik Deferta (W</w:t>
            </w:r>
            <w:r w:rsidRPr="00D97684">
              <w:rPr>
                <w:rFonts w:cstheme="minorHAnsi"/>
                <w:bCs/>
                <w:szCs w:val="24"/>
                <w:vertAlign w:val="subscript"/>
                <w:lang w:eastAsia="pl-PL"/>
              </w:rPr>
              <w:t>d</w:t>
            </w:r>
            <w:r w:rsidRPr="00D97684">
              <w:rPr>
                <w:rFonts w:cstheme="minorHAnsi"/>
                <w:bCs/>
                <w:szCs w:val="24"/>
                <w:lang w:eastAsia="pl-PL"/>
              </w:rPr>
              <w:t>)</w:t>
            </w:r>
          </w:p>
        </w:tc>
        <w:tc>
          <w:tcPr>
            <w:tcW w:w="2673" w:type="dxa"/>
            <w:gridSpan w:val="3"/>
            <w:vMerge/>
            <w:shd w:val="clear" w:color="auto" w:fill="FFC000"/>
          </w:tcPr>
          <w:p w14:paraId="15F1969B" w14:textId="77777777" w:rsidR="00D97684" w:rsidRPr="00D97684" w:rsidRDefault="00D97684" w:rsidP="00D9768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rFonts w:cstheme="minorHAnsi"/>
                <w:bCs/>
                <w:szCs w:val="24"/>
                <w:lang w:eastAsia="pl-PL"/>
              </w:rPr>
            </w:pPr>
          </w:p>
        </w:tc>
      </w:tr>
      <w:tr w:rsidR="00D97684" w:rsidRPr="00BE64FC" w14:paraId="001AFE57" w14:textId="77777777" w:rsidTr="00D97684">
        <w:trPr>
          <w:trHeight w:val="791"/>
        </w:trPr>
        <w:tc>
          <w:tcPr>
            <w:cnfStyle w:val="001000000000" w:firstRow="0" w:lastRow="0" w:firstColumn="1" w:lastColumn="0" w:oddVBand="0" w:evenVBand="0" w:oddHBand="0" w:evenHBand="0" w:firstRowFirstColumn="0" w:firstRowLastColumn="0" w:lastRowFirstColumn="0" w:lastRowLastColumn="0"/>
            <w:tcW w:w="1487" w:type="dxa"/>
            <w:vMerge/>
            <w:shd w:val="clear" w:color="auto" w:fill="FFC000"/>
            <w:noWrap/>
            <w:hideMark/>
          </w:tcPr>
          <w:p w14:paraId="50C9820A" w14:textId="77777777" w:rsidR="00D97684" w:rsidRPr="00D97684" w:rsidRDefault="00D97684" w:rsidP="00D97684">
            <w:pPr>
              <w:pStyle w:val="elementgraficznytabela"/>
              <w:spacing w:after="240"/>
              <w:contextualSpacing/>
              <w:rPr>
                <w:rFonts w:cstheme="minorHAnsi"/>
                <w:bCs/>
                <w:szCs w:val="24"/>
                <w:lang w:eastAsia="pl-PL"/>
              </w:rPr>
            </w:pPr>
          </w:p>
        </w:tc>
        <w:tc>
          <w:tcPr>
            <w:tcW w:w="1614" w:type="dxa"/>
            <w:shd w:val="clear" w:color="auto" w:fill="FFC000"/>
            <w:hideMark/>
          </w:tcPr>
          <w:p w14:paraId="5D8E962B" w14:textId="39764C07" w:rsidR="00D97684" w:rsidRPr="00D97684" w:rsidRDefault="00D97684" w:rsidP="00D97684">
            <w:pPr>
              <w:pStyle w:val="elementgraficznytabela"/>
              <w:spacing w:after="240"/>
              <w:contextualSpacing/>
              <w:jc w:val="center"/>
              <w:cnfStyle w:val="000000000000" w:firstRow="0" w:lastRow="0" w:firstColumn="0" w:lastColumn="0" w:oddVBand="0" w:evenVBand="0" w:oddHBand="0" w:evenHBand="0" w:firstRowFirstColumn="0" w:firstRowLastColumn="0" w:lastRowFirstColumn="0" w:lastRowLastColumn="0"/>
              <w:rPr>
                <w:rFonts w:cstheme="minorHAnsi"/>
                <w:szCs w:val="24"/>
                <w:lang w:eastAsia="pl-PL"/>
              </w:rPr>
            </w:pPr>
            <w:r w:rsidRPr="00D97684">
              <w:rPr>
                <w:rFonts w:cstheme="minorHAnsi"/>
                <w:szCs w:val="24"/>
                <w:lang w:eastAsia="pl-PL"/>
              </w:rPr>
              <w:t>Miejsca noclegowe/ 1000 mieszkańców</w:t>
            </w:r>
          </w:p>
        </w:tc>
        <w:tc>
          <w:tcPr>
            <w:tcW w:w="926" w:type="dxa"/>
            <w:shd w:val="clear" w:color="auto" w:fill="FFC000"/>
            <w:hideMark/>
          </w:tcPr>
          <w:p w14:paraId="4223D5F9" w14:textId="77777777" w:rsidR="00D97684" w:rsidRPr="00D97684" w:rsidRDefault="00D97684" w:rsidP="00D97684">
            <w:pPr>
              <w:pStyle w:val="elementgraficznytabela"/>
              <w:spacing w:after="240"/>
              <w:contextualSpacing/>
              <w:jc w:val="center"/>
              <w:cnfStyle w:val="000000000000" w:firstRow="0" w:lastRow="0" w:firstColumn="0" w:lastColumn="0" w:oddVBand="0" w:evenVBand="0" w:oddHBand="0" w:evenHBand="0" w:firstRowFirstColumn="0" w:firstRowLastColumn="0" w:lastRowFirstColumn="0" w:lastRowLastColumn="0"/>
              <w:rPr>
                <w:rFonts w:cstheme="minorHAnsi"/>
                <w:szCs w:val="24"/>
                <w:lang w:eastAsia="pl-PL"/>
              </w:rPr>
            </w:pPr>
            <w:r w:rsidRPr="00D97684">
              <w:rPr>
                <w:rFonts w:cstheme="minorHAnsi"/>
                <w:szCs w:val="24"/>
                <w:lang w:eastAsia="pl-PL"/>
              </w:rPr>
              <w:t>Poziom Wbd</w:t>
            </w:r>
          </w:p>
        </w:tc>
        <w:tc>
          <w:tcPr>
            <w:tcW w:w="1449" w:type="dxa"/>
            <w:gridSpan w:val="2"/>
            <w:shd w:val="clear" w:color="auto" w:fill="FFC000"/>
            <w:hideMark/>
          </w:tcPr>
          <w:p w14:paraId="73D48FF0" w14:textId="77777777" w:rsidR="00D97684" w:rsidRPr="00D97684" w:rsidRDefault="00D97684" w:rsidP="00D97684">
            <w:pPr>
              <w:pStyle w:val="elementgraficznytabela"/>
              <w:spacing w:after="240"/>
              <w:contextualSpacing/>
              <w:jc w:val="center"/>
              <w:cnfStyle w:val="000000000000" w:firstRow="0" w:lastRow="0" w:firstColumn="0" w:lastColumn="0" w:oddVBand="0" w:evenVBand="0" w:oddHBand="0" w:evenHBand="0" w:firstRowFirstColumn="0" w:firstRowLastColumn="0" w:lastRowFirstColumn="0" w:lastRowLastColumn="0"/>
              <w:rPr>
                <w:rFonts w:cstheme="minorHAnsi"/>
                <w:szCs w:val="24"/>
                <w:lang w:eastAsia="pl-PL"/>
              </w:rPr>
            </w:pPr>
            <w:r w:rsidRPr="00D97684">
              <w:rPr>
                <w:rFonts w:cstheme="minorHAnsi"/>
                <w:szCs w:val="24"/>
                <w:lang w:eastAsia="pl-PL"/>
              </w:rPr>
              <w:t>Miejsca noclegowe / 1km</w:t>
            </w:r>
            <w:r w:rsidRPr="00D97684">
              <w:rPr>
                <w:rFonts w:cstheme="minorHAnsi"/>
                <w:szCs w:val="24"/>
                <w:vertAlign w:val="superscript"/>
                <w:lang w:eastAsia="pl-PL"/>
              </w:rPr>
              <w:t>2</w:t>
            </w:r>
            <w:r w:rsidRPr="00D97684">
              <w:rPr>
                <w:rFonts w:cstheme="minorHAnsi"/>
                <w:szCs w:val="24"/>
                <w:lang w:eastAsia="pl-PL"/>
              </w:rPr>
              <w:t xml:space="preserve"> powierzchni</w:t>
            </w:r>
          </w:p>
        </w:tc>
        <w:tc>
          <w:tcPr>
            <w:tcW w:w="1039" w:type="dxa"/>
            <w:shd w:val="clear" w:color="auto" w:fill="FFC000"/>
            <w:hideMark/>
          </w:tcPr>
          <w:p w14:paraId="3CA2EC43" w14:textId="77777777" w:rsidR="00D97684" w:rsidRPr="00D97684" w:rsidRDefault="00D97684" w:rsidP="00D97684">
            <w:pPr>
              <w:pStyle w:val="elementgraficznytabela"/>
              <w:spacing w:after="240"/>
              <w:contextualSpacing/>
              <w:jc w:val="center"/>
              <w:cnfStyle w:val="000000000000" w:firstRow="0" w:lastRow="0" w:firstColumn="0" w:lastColumn="0" w:oddVBand="0" w:evenVBand="0" w:oddHBand="0" w:evenHBand="0" w:firstRowFirstColumn="0" w:firstRowLastColumn="0" w:lastRowFirstColumn="0" w:lastRowLastColumn="0"/>
              <w:rPr>
                <w:rFonts w:cstheme="minorHAnsi"/>
                <w:szCs w:val="24"/>
                <w:lang w:eastAsia="pl-PL"/>
              </w:rPr>
            </w:pPr>
            <w:r w:rsidRPr="00D97684">
              <w:rPr>
                <w:rFonts w:cstheme="minorHAnsi"/>
                <w:szCs w:val="24"/>
                <w:lang w:eastAsia="pl-PL"/>
              </w:rPr>
              <w:t>Poziom Wgbn</w:t>
            </w:r>
          </w:p>
        </w:tc>
        <w:tc>
          <w:tcPr>
            <w:tcW w:w="1600" w:type="dxa"/>
            <w:shd w:val="clear" w:color="auto" w:fill="FFC000"/>
            <w:hideMark/>
          </w:tcPr>
          <w:p w14:paraId="514EACC4" w14:textId="77777777" w:rsidR="00D97684" w:rsidRPr="00D97684" w:rsidRDefault="00D97684" w:rsidP="00D97684">
            <w:pPr>
              <w:pStyle w:val="elementgraficznytabela"/>
              <w:spacing w:after="240"/>
              <w:contextualSpacing/>
              <w:jc w:val="center"/>
              <w:cnfStyle w:val="000000000000" w:firstRow="0" w:lastRow="0" w:firstColumn="0" w:lastColumn="0" w:oddVBand="0" w:evenVBand="0" w:oddHBand="0" w:evenHBand="0" w:firstRowFirstColumn="0" w:firstRowLastColumn="0" w:lastRowFirstColumn="0" w:lastRowLastColumn="0"/>
              <w:rPr>
                <w:rFonts w:cstheme="minorHAnsi"/>
                <w:szCs w:val="24"/>
                <w:lang w:eastAsia="pl-PL"/>
              </w:rPr>
            </w:pPr>
            <w:r w:rsidRPr="00D97684">
              <w:rPr>
                <w:rFonts w:cstheme="minorHAnsi"/>
                <w:szCs w:val="24"/>
                <w:lang w:eastAsia="pl-PL"/>
              </w:rPr>
              <w:t>Liczba turystów /</w:t>
            </w:r>
          </w:p>
          <w:p w14:paraId="5246C0A8" w14:textId="56A249B1" w:rsidR="00D97684" w:rsidRPr="00D97684" w:rsidRDefault="00D97684" w:rsidP="00D97684">
            <w:pPr>
              <w:pStyle w:val="elementgraficznytabela"/>
              <w:spacing w:after="240"/>
              <w:contextualSpacing/>
              <w:jc w:val="center"/>
              <w:cnfStyle w:val="000000000000" w:firstRow="0" w:lastRow="0" w:firstColumn="0" w:lastColumn="0" w:oddVBand="0" w:evenVBand="0" w:oddHBand="0" w:evenHBand="0" w:firstRowFirstColumn="0" w:firstRowLastColumn="0" w:lastRowFirstColumn="0" w:lastRowLastColumn="0"/>
              <w:rPr>
                <w:rFonts w:cstheme="minorHAnsi"/>
                <w:szCs w:val="24"/>
                <w:lang w:eastAsia="pl-PL"/>
              </w:rPr>
            </w:pPr>
            <w:r w:rsidRPr="00D97684">
              <w:rPr>
                <w:rFonts w:cstheme="minorHAnsi"/>
                <w:szCs w:val="24"/>
                <w:lang w:eastAsia="pl-PL"/>
              </w:rPr>
              <w:t>100</w:t>
            </w:r>
            <w:r>
              <w:rPr>
                <w:rFonts w:cstheme="minorHAnsi"/>
                <w:szCs w:val="24"/>
                <w:lang w:eastAsia="pl-PL"/>
              </w:rPr>
              <w:t>0</w:t>
            </w:r>
            <w:r w:rsidRPr="00D97684">
              <w:rPr>
                <w:rFonts w:cstheme="minorHAnsi"/>
                <w:szCs w:val="24"/>
                <w:lang w:eastAsia="pl-PL"/>
              </w:rPr>
              <w:t xml:space="preserve"> mieszkańców</w:t>
            </w:r>
          </w:p>
        </w:tc>
        <w:tc>
          <w:tcPr>
            <w:tcW w:w="994" w:type="dxa"/>
            <w:gridSpan w:val="2"/>
            <w:shd w:val="clear" w:color="auto" w:fill="FFC000"/>
            <w:hideMark/>
          </w:tcPr>
          <w:p w14:paraId="7F59C49E" w14:textId="77777777" w:rsidR="00D97684" w:rsidRPr="00D97684" w:rsidRDefault="00D97684" w:rsidP="00D97684">
            <w:pPr>
              <w:pStyle w:val="elementgraficznytabela"/>
              <w:spacing w:after="240"/>
              <w:contextualSpacing/>
              <w:jc w:val="center"/>
              <w:cnfStyle w:val="000000000000" w:firstRow="0" w:lastRow="0" w:firstColumn="0" w:lastColumn="0" w:oddVBand="0" w:evenVBand="0" w:oddHBand="0" w:evenHBand="0" w:firstRowFirstColumn="0" w:firstRowLastColumn="0" w:lastRowFirstColumn="0" w:lastRowLastColumn="0"/>
              <w:rPr>
                <w:rFonts w:cstheme="minorHAnsi"/>
                <w:szCs w:val="24"/>
                <w:lang w:eastAsia="pl-PL"/>
              </w:rPr>
            </w:pPr>
            <w:r w:rsidRPr="00D97684">
              <w:rPr>
                <w:rFonts w:cstheme="minorHAnsi"/>
                <w:szCs w:val="24"/>
                <w:lang w:eastAsia="pl-PL"/>
              </w:rPr>
              <w:t>Poziom Wsch</w:t>
            </w:r>
          </w:p>
        </w:tc>
        <w:tc>
          <w:tcPr>
            <w:tcW w:w="1413" w:type="dxa"/>
            <w:shd w:val="clear" w:color="auto" w:fill="FFC000"/>
            <w:hideMark/>
          </w:tcPr>
          <w:p w14:paraId="31D8EE91" w14:textId="77777777" w:rsidR="00D97684" w:rsidRPr="00D97684" w:rsidRDefault="00D97684" w:rsidP="00D97684">
            <w:pPr>
              <w:pStyle w:val="elementgraficznytabela"/>
              <w:spacing w:after="240"/>
              <w:contextualSpacing/>
              <w:jc w:val="center"/>
              <w:cnfStyle w:val="000000000000" w:firstRow="0" w:lastRow="0" w:firstColumn="0" w:lastColumn="0" w:oddVBand="0" w:evenVBand="0" w:oddHBand="0" w:evenHBand="0" w:firstRowFirstColumn="0" w:firstRowLastColumn="0" w:lastRowFirstColumn="0" w:lastRowLastColumn="0"/>
              <w:rPr>
                <w:rFonts w:cstheme="minorHAnsi"/>
                <w:szCs w:val="24"/>
                <w:lang w:eastAsia="pl-PL"/>
              </w:rPr>
            </w:pPr>
            <w:r w:rsidRPr="00D97684">
              <w:rPr>
                <w:rFonts w:cstheme="minorHAnsi"/>
                <w:szCs w:val="24"/>
                <w:lang w:eastAsia="pl-PL"/>
              </w:rPr>
              <w:t>Liczba turystów / 1 km</w:t>
            </w:r>
            <w:r w:rsidRPr="00D97684">
              <w:rPr>
                <w:rFonts w:cstheme="minorHAnsi"/>
                <w:szCs w:val="24"/>
                <w:vertAlign w:val="superscript"/>
                <w:lang w:eastAsia="pl-PL"/>
              </w:rPr>
              <w:t>2</w:t>
            </w:r>
            <w:r w:rsidRPr="00D97684">
              <w:rPr>
                <w:rFonts w:cstheme="minorHAnsi"/>
                <w:szCs w:val="24"/>
                <w:lang w:eastAsia="pl-PL"/>
              </w:rPr>
              <w:t xml:space="preserve"> powierzchni</w:t>
            </w:r>
          </w:p>
        </w:tc>
        <w:tc>
          <w:tcPr>
            <w:tcW w:w="993" w:type="dxa"/>
            <w:gridSpan w:val="2"/>
            <w:shd w:val="clear" w:color="auto" w:fill="FFC000"/>
            <w:hideMark/>
          </w:tcPr>
          <w:p w14:paraId="6A44EC3E" w14:textId="77777777" w:rsidR="00D97684" w:rsidRPr="00D97684" w:rsidRDefault="00D97684" w:rsidP="00D97684">
            <w:pPr>
              <w:pStyle w:val="elementgraficznytabela"/>
              <w:spacing w:after="240"/>
              <w:contextualSpacing/>
              <w:jc w:val="center"/>
              <w:cnfStyle w:val="000000000000" w:firstRow="0" w:lastRow="0" w:firstColumn="0" w:lastColumn="0" w:oddVBand="0" w:evenVBand="0" w:oddHBand="0" w:evenHBand="0" w:firstRowFirstColumn="0" w:firstRowLastColumn="0" w:lastRowFirstColumn="0" w:lastRowLastColumn="0"/>
              <w:rPr>
                <w:rFonts w:cstheme="minorHAnsi"/>
                <w:szCs w:val="24"/>
                <w:lang w:eastAsia="pl-PL"/>
              </w:rPr>
            </w:pPr>
            <w:r w:rsidRPr="00D97684">
              <w:rPr>
                <w:rFonts w:cstheme="minorHAnsi"/>
                <w:szCs w:val="24"/>
                <w:lang w:eastAsia="pl-PL"/>
              </w:rPr>
              <w:t>Poziom Wd</w:t>
            </w:r>
          </w:p>
        </w:tc>
        <w:tc>
          <w:tcPr>
            <w:tcW w:w="1238" w:type="dxa"/>
            <w:shd w:val="clear" w:color="auto" w:fill="FFC000"/>
          </w:tcPr>
          <w:p w14:paraId="7127EFDF" w14:textId="016DE0D6" w:rsidR="00D97684" w:rsidRPr="00D97684" w:rsidRDefault="00D97684" w:rsidP="00726616">
            <w:pPr>
              <w:pStyle w:val="elementgraficznytabela"/>
              <w:spacing w:after="240"/>
              <w:contextualSpacing/>
              <w:jc w:val="center"/>
              <w:cnfStyle w:val="000000000000" w:firstRow="0" w:lastRow="0" w:firstColumn="0" w:lastColumn="0" w:oddVBand="0" w:evenVBand="0" w:oddHBand="0" w:evenHBand="0" w:firstRowFirstColumn="0" w:firstRowLastColumn="0" w:lastRowFirstColumn="0" w:lastRowLastColumn="0"/>
              <w:rPr>
                <w:rFonts w:cstheme="minorHAnsi"/>
                <w:szCs w:val="24"/>
                <w:lang w:eastAsia="pl-PL"/>
              </w:rPr>
            </w:pPr>
            <w:r w:rsidRPr="00D97684">
              <w:rPr>
                <w:rFonts w:cstheme="minorHAnsi"/>
                <w:szCs w:val="24"/>
                <w:lang w:eastAsia="pl-PL"/>
              </w:rPr>
              <w:t>Wartość</w:t>
            </w:r>
            <w:r w:rsidRPr="00D97684">
              <w:rPr>
                <w:rFonts w:cstheme="minorHAnsi"/>
                <w:szCs w:val="24"/>
                <w:lang w:eastAsia="pl-PL"/>
              </w:rPr>
              <w:br/>
              <w:t>wskaźnika</w:t>
            </w:r>
          </w:p>
        </w:tc>
        <w:tc>
          <w:tcPr>
            <w:tcW w:w="1417" w:type="dxa"/>
            <w:shd w:val="clear" w:color="auto" w:fill="FFC000"/>
          </w:tcPr>
          <w:p w14:paraId="242A26B0" w14:textId="78BC8BC5" w:rsidR="00D97684" w:rsidRPr="00D97684" w:rsidRDefault="00D97684" w:rsidP="00726616">
            <w:pPr>
              <w:pStyle w:val="elementgraficznytabela"/>
              <w:spacing w:after="240"/>
              <w:contextualSpacing/>
              <w:jc w:val="center"/>
              <w:cnfStyle w:val="000000000000" w:firstRow="0" w:lastRow="0" w:firstColumn="0" w:lastColumn="0" w:oddVBand="0" w:evenVBand="0" w:oddHBand="0" w:evenHBand="0" w:firstRowFirstColumn="0" w:firstRowLastColumn="0" w:lastRowFirstColumn="0" w:lastRowLastColumn="0"/>
              <w:rPr>
                <w:rFonts w:cstheme="minorHAnsi"/>
                <w:szCs w:val="24"/>
                <w:lang w:eastAsia="pl-PL"/>
              </w:rPr>
            </w:pPr>
            <w:r w:rsidRPr="00D97684">
              <w:rPr>
                <w:rFonts w:cstheme="minorHAnsi"/>
                <w:szCs w:val="24"/>
                <w:lang w:eastAsia="pl-PL"/>
              </w:rPr>
              <w:t>Poziom</w:t>
            </w:r>
            <w:r w:rsidR="00726616">
              <w:rPr>
                <w:rFonts w:cstheme="minorHAnsi"/>
                <w:szCs w:val="24"/>
                <w:lang w:eastAsia="pl-PL"/>
              </w:rPr>
              <w:t xml:space="preserve"> rozwoju funkcji</w:t>
            </w:r>
          </w:p>
        </w:tc>
      </w:tr>
      <w:tr w:rsidR="006A1007" w:rsidRPr="00BE64FC" w14:paraId="52AC3CC3" w14:textId="77777777" w:rsidTr="00D97684">
        <w:trPr>
          <w:trHeight w:val="288"/>
        </w:trPr>
        <w:tc>
          <w:tcPr>
            <w:cnfStyle w:val="001000000000" w:firstRow="0" w:lastRow="0" w:firstColumn="1" w:lastColumn="0" w:oddVBand="0" w:evenVBand="0" w:oddHBand="0" w:evenHBand="0" w:firstRowFirstColumn="0" w:firstRowLastColumn="0" w:lastRowFirstColumn="0" w:lastRowLastColumn="0"/>
            <w:tcW w:w="1487" w:type="dxa"/>
            <w:noWrap/>
            <w:hideMark/>
          </w:tcPr>
          <w:p w14:paraId="269BFF43" w14:textId="43B294E8" w:rsidR="006A1007" w:rsidRPr="00D97684" w:rsidRDefault="004205E2" w:rsidP="00D97684">
            <w:pPr>
              <w:pStyle w:val="elementgraficznytabela"/>
              <w:spacing w:after="240"/>
              <w:contextualSpacing/>
              <w:rPr>
                <w:rFonts w:cstheme="minorHAnsi"/>
                <w:b w:val="0"/>
                <w:bCs/>
                <w:szCs w:val="24"/>
                <w:lang w:eastAsia="pl-PL"/>
              </w:rPr>
            </w:pPr>
            <w:r w:rsidRPr="00D97684">
              <w:rPr>
                <w:rFonts w:cstheme="minorHAnsi"/>
                <w:b w:val="0"/>
                <w:bCs/>
                <w:szCs w:val="24"/>
                <w:lang w:eastAsia="pl-PL"/>
              </w:rPr>
              <w:t>P</w:t>
            </w:r>
            <w:r w:rsidR="00D97684" w:rsidRPr="00D97684">
              <w:rPr>
                <w:rFonts w:cstheme="minorHAnsi"/>
                <w:b w:val="0"/>
                <w:bCs/>
                <w:szCs w:val="24"/>
                <w:lang w:eastAsia="pl-PL"/>
              </w:rPr>
              <w:t>owiat działdowski</w:t>
            </w:r>
          </w:p>
        </w:tc>
        <w:tc>
          <w:tcPr>
            <w:tcW w:w="1614" w:type="dxa"/>
            <w:noWrap/>
            <w:hideMark/>
          </w:tcPr>
          <w:p w14:paraId="499C74E6" w14:textId="77777777" w:rsidR="006A1007" w:rsidRPr="00D97684" w:rsidRDefault="006A1007" w:rsidP="00D9768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rFonts w:cstheme="minorHAnsi"/>
                <w:szCs w:val="24"/>
                <w:lang w:eastAsia="pl-PL"/>
              </w:rPr>
            </w:pPr>
            <w:r w:rsidRPr="00D97684">
              <w:rPr>
                <w:rFonts w:cstheme="minorHAnsi"/>
                <w:szCs w:val="24"/>
                <w:lang w:eastAsia="pl-PL"/>
              </w:rPr>
              <w:t>1,47</w:t>
            </w:r>
          </w:p>
        </w:tc>
        <w:tc>
          <w:tcPr>
            <w:tcW w:w="926" w:type="dxa"/>
            <w:hideMark/>
          </w:tcPr>
          <w:p w14:paraId="123D6F54" w14:textId="77777777" w:rsidR="006A1007" w:rsidRPr="00D97684" w:rsidRDefault="006A1007" w:rsidP="00D9768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rFonts w:cstheme="minorHAnsi"/>
                <w:szCs w:val="24"/>
                <w:lang w:eastAsia="pl-PL"/>
              </w:rPr>
            </w:pPr>
            <w:r w:rsidRPr="00D97684">
              <w:rPr>
                <w:rFonts w:cstheme="minorHAnsi"/>
                <w:szCs w:val="24"/>
                <w:lang w:eastAsia="pl-PL"/>
              </w:rPr>
              <w:t>1</w:t>
            </w:r>
          </w:p>
        </w:tc>
        <w:tc>
          <w:tcPr>
            <w:tcW w:w="1449" w:type="dxa"/>
            <w:gridSpan w:val="2"/>
            <w:noWrap/>
            <w:hideMark/>
          </w:tcPr>
          <w:p w14:paraId="59E49FD6" w14:textId="77777777" w:rsidR="006A1007" w:rsidRPr="00D97684" w:rsidRDefault="006A1007" w:rsidP="00D9768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rFonts w:cstheme="minorHAnsi"/>
                <w:szCs w:val="24"/>
                <w:lang w:eastAsia="pl-PL"/>
              </w:rPr>
            </w:pPr>
            <w:r w:rsidRPr="00D97684">
              <w:rPr>
                <w:rFonts w:cstheme="minorHAnsi"/>
                <w:szCs w:val="24"/>
                <w:lang w:eastAsia="pl-PL"/>
              </w:rPr>
              <w:t>1,00</w:t>
            </w:r>
          </w:p>
        </w:tc>
        <w:tc>
          <w:tcPr>
            <w:tcW w:w="1039" w:type="dxa"/>
            <w:hideMark/>
          </w:tcPr>
          <w:p w14:paraId="32D4C908" w14:textId="77777777" w:rsidR="006A1007" w:rsidRPr="00D97684" w:rsidRDefault="006A1007" w:rsidP="00D9768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rFonts w:cstheme="minorHAnsi"/>
                <w:szCs w:val="24"/>
                <w:lang w:eastAsia="pl-PL"/>
              </w:rPr>
            </w:pPr>
            <w:r w:rsidRPr="00D97684">
              <w:rPr>
                <w:rFonts w:cstheme="minorHAnsi"/>
                <w:szCs w:val="24"/>
                <w:lang w:eastAsia="pl-PL"/>
              </w:rPr>
              <w:t>1</w:t>
            </w:r>
          </w:p>
        </w:tc>
        <w:tc>
          <w:tcPr>
            <w:tcW w:w="1600" w:type="dxa"/>
            <w:noWrap/>
            <w:hideMark/>
          </w:tcPr>
          <w:p w14:paraId="28310E27" w14:textId="40498B11" w:rsidR="006A1007" w:rsidRPr="00D97684" w:rsidRDefault="006A1007" w:rsidP="00D9768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rFonts w:cstheme="minorHAnsi"/>
                <w:szCs w:val="24"/>
                <w:lang w:eastAsia="pl-PL"/>
              </w:rPr>
            </w:pPr>
            <w:r w:rsidRPr="00D97684">
              <w:rPr>
                <w:rFonts w:cstheme="minorHAnsi"/>
                <w:szCs w:val="24"/>
                <w:lang w:eastAsia="pl-PL"/>
              </w:rPr>
              <w:t>16,13</w:t>
            </w:r>
          </w:p>
        </w:tc>
        <w:tc>
          <w:tcPr>
            <w:tcW w:w="994" w:type="dxa"/>
            <w:gridSpan w:val="2"/>
            <w:hideMark/>
          </w:tcPr>
          <w:p w14:paraId="7CF8A443" w14:textId="77777777" w:rsidR="006A1007" w:rsidRPr="00D97684" w:rsidRDefault="006A1007" w:rsidP="00D9768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rFonts w:cstheme="minorHAnsi"/>
                <w:szCs w:val="24"/>
                <w:lang w:eastAsia="pl-PL"/>
              </w:rPr>
            </w:pPr>
            <w:r w:rsidRPr="00D97684">
              <w:rPr>
                <w:rFonts w:cstheme="minorHAnsi"/>
                <w:szCs w:val="24"/>
                <w:lang w:eastAsia="pl-PL"/>
              </w:rPr>
              <w:t>1</w:t>
            </w:r>
          </w:p>
        </w:tc>
        <w:tc>
          <w:tcPr>
            <w:tcW w:w="1413" w:type="dxa"/>
            <w:noWrap/>
            <w:hideMark/>
          </w:tcPr>
          <w:p w14:paraId="69C2A416" w14:textId="77777777" w:rsidR="006A1007" w:rsidRPr="00D97684" w:rsidRDefault="006A1007" w:rsidP="00D9768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rFonts w:cstheme="minorHAnsi"/>
                <w:szCs w:val="24"/>
                <w:lang w:eastAsia="pl-PL"/>
              </w:rPr>
            </w:pPr>
            <w:r w:rsidRPr="00D97684">
              <w:rPr>
                <w:rFonts w:cstheme="minorHAnsi"/>
                <w:szCs w:val="24"/>
                <w:lang w:eastAsia="pl-PL"/>
              </w:rPr>
              <w:t>11,01</w:t>
            </w:r>
          </w:p>
        </w:tc>
        <w:tc>
          <w:tcPr>
            <w:tcW w:w="993" w:type="dxa"/>
            <w:gridSpan w:val="2"/>
            <w:hideMark/>
          </w:tcPr>
          <w:p w14:paraId="6B1DC2AC" w14:textId="77777777" w:rsidR="006A1007" w:rsidRPr="00D97684" w:rsidRDefault="006A1007" w:rsidP="00D9768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rFonts w:cstheme="minorHAnsi"/>
                <w:szCs w:val="24"/>
                <w:lang w:eastAsia="pl-PL"/>
              </w:rPr>
            </w:pPr>
            <w:r w:rsidRPr="00D97684">
              <w:rPr>
                <w:rFonts w:cstheme="minorHAnsi"/>
                <w:szCs w:val="24"/>
                <w:lang w:eastAsia="pl-PL"/>
              </w:rPr>
              <w:t>1</w:t>
            </w:r>
          </w:p>
        </w:tc>
        <w:tc>
          <w:tcPr>
            <w:tcW w:w="1238" w:type="dxa"/>
          </w:tcPr>
          <w:p w14:paraId="6FC222CA" w14:textId="77777777" w:rsidR="006A1007" w:rsidRPr="00D97684" w:rsidRDefault="006A1007" w:rsidP="00D9768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rFonts w:cstheme="minorHAnsi"/>
                <w:szCs w:val="24"/>
                <w:lang w:eastAsia="pl-PL"/>
              </w:rPr>
            </w:pPr>
            <w:r w:rsidRPr="00D97684">
              <w:rPr>
                <w:rFonts w:cstheme="minorHAnsi"/>
                <w:szCs w:val="24"/>
                <w:lang w:eastAsia="pl-PL"/>
              </w:rPr>
              <w:t>0,25</w:t>
            </w:r>
          </w:p>
        </w:tc>
        <w:tc>
          <w:tcPr>
            <w:tcW w:w="1417" w:type="dxa"/>
          </w:tcPr>
          <w:p w14:paraId="05BD8537" w14:textId="77777777" w:rsidR="006A1007" w:rsidRPr="00D97684" w:rsidRDefault="006A1007" w:rsidP="00D9768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rFonts w:cstheme="minorHAnsi"/>
                <w:szCs w:val="24"/>
                <w:lang w:eastAsia="pl-PL"/>
              </w:rPr>
            </w:pPr>
            <w:r w:rsidRPr="00D97684">
              <w:rPr>
                <w:rFonts w:cstheme="minorHAnsi"/>
                <w:szCs w:val="24"/>
                <w:lang w:eastAsia="pl-PL"/>
              </w:rPr>
              <w:t>1</w:t>
            </w:r>
          </w:p>
        </w:tc>
      </w:tr>
      <w:tr w:rsidR="006A1007" w:rsidRPr="00BE64FC" w14:paraId="72B52FA2" w14:textId="77777777" w:rsidTr="00D97684">
        <w:trPr>
          <w:trHeight w:val="288"/>
        </w:trPr>
        <w:tc>
          <w:tcPr>
            <w:cnfStyle w:val="001000000000" w:firstRow="0" w:lastRow="0" w:firstColumn="1" w:lastColumn="0" w:oddVBand="0" w:evenVBand="0" w:oddHBand="0" w:evenHBand="0" w:firstRowFirstColumn="0" w:firstRowLastColumn="0" w:lastRowFirstColumn="0" w:lastRowLastColumn="0"/>
            <w:tcW w:w="1487" w:type="dxa"/>
            <w:noWrap/>
            <w:hideMark/>
          </w:tcPr>
          <w:p w14:paraId="34A3DE01" w14:textId="44A7F833" w:rsidR="006A1007" w:rsidRPr="00D97684" w:rsidRDefault="00D97684" w:rsidP="00D97684">
            <w:pPr>
              <w:pStyle w:val="elementgraficznytabela"/>
              <w:spacing w:after="240"/>
              <w:contextualSpacing/>
              <w:rPr>
                <w:rFonts w:cstheme="minorHAnsi"/>
                <w:b w:val="0"/>
                <w:bCs/>
                <w:szCs w:val="24"/>
                <w:lang w:eastAsia="pl-PL"/>
              </w:rPr>
            </w:pPr>
            <w:r w:rsidRPr="00D97684">
              <w:rPr>
                <w:rFonts w:cstheme="minorHAnsi"/>
                <w:b w:val="0"/>
                <w:bCs/>
                <w:szCs w:val="24"/>
                <w:lang w:eastAsia="pl-PL"/>
              </w:rPr>
              <w:t>Powiat nidzicki</w:t>
            </w:r>
          </w:p>
        </w:tc>
        <w:tc>
          <w:tcPr>
            <w:tcW w:w="1614" w:type="dxa"/>
            <w:noWrap/>
            <w:hideMark/>
          </w:tcPr>
          <w:p w14:paraId="0D88AC0D" w14:textId="77777777" w:rsidR="006A1007" w:rsidRPr="00D97684" w:rsidRDefault="006A1007" w:rsidP="00D9768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rFonts w:cstheme="minorHAnsi"/>
                <w:szCs w:val="24"/>
                <w:lang w:eastAsia="pl-PL"/>
              </w:rPr>
            </w:pPr>
            <w:r w:rsidRPr="00D97684">
              <w:rPr>
                <w:rFonts w:cstheme="minorHAnsi"/>
                <w:szCs w:val="24"/>
                <w:lang w:eastAsia="pl-PL"/>
              </w:rPr>
              <w:t>1,17</w:t>
            </w:r>
          </w:p>
        </w:tc>
        <w:tc>
          <w:tcPr>
            <w:tcW w:w="926" w:type="dxa"/>
            <w:hideMark/>
          </w:tcPr>
          <w:p w14:paraId="4F3D2079" w14:textId="77777777" w:rsidR="006A1007" w:rsidRPr="00D97684" w:rsidRDefault="006A1007" w:rsidP="00D9768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rFonts w:cstheme="minorHAnsi"/>
                <w:szCs w:val="24"/>
                <w:lang w:eastAsia="pl-PL"/>
              </w:rPr>
            </w:pPr>
            <w:r w:rsidRPr="00D97684">
              <w:rPr>
                <w:rFonts w:cstheme="minorHAnsi"/>
                <w:szCs w:val="24"/>
                <w:lang w:eastAsia="pl-PL"/>
              </w:rPr>
              <w:t>1</w:t>
            </w:r>
          </w:p>
        </w:tc>
        <w:tc>
          <w:tcPr>
            <w:tcW w:w="1449" w:type="dxa"/>
            <w:gridSpan w:val="2"/>
            <w:noWrap/>
            <w:hideMark/>
          </w:tcPr>
          <w:p w14:paraId="7713B32C" w14:textId="77777777" w:rsidR="006A1007" w:rsidRPr="00D97684" w:rsidRDefault="006A1007" w:rsidP="00D9768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rFonts w:cstheme="minorHAnsi"/>
                <w:szCs w:val="24"/>
                <w:lang w:eastAsia="pl-PL"/>
              </w:rPr>
            </w:pPr>
            <w:r w:rsidRPr="00D97684">
              <w:rPr>
                <w:rFonts w:cstheme="minorHAnsi"/>
                <w:szCs w:val="24"/>
                <w:lang w:eastAsia="pl-PL"/>
              </w:rPr>
              <w:t>0,40</w:t>
            </w:r>
          </w:p>
        </w:tc>
        <w:tc>
          <w:tcPr>
            <w:tcW w:w="1039" w:type="dxa"/>
            <w:hideMark/>
          </w:tcPr>
          <w:p w14:paraId="49CD8A6E" w14:textId="77777777" w:rsidR="006A1007" w:rsidRPr="00D97684" w:rsidRDefault="006A1007" w:rsidP="00D9768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rFonts w:cstheme="minorHAnsi"/>
                <w:szCs w:val="24"/>
                <w:lang w:eastAsia="pl-PL"/>
              </w:rPr>
            </w:pPr>
            <w:r w:rsidRPr="00D97684">
              <w:rPr>
                <w:rFonts w:cstheme="minorHAnsi"/>
                <w:szCs w:val="24"/>
                <w:lang w:eastAsia="pl-PL"/>
              </w:rPr>
              <w:t>0</w:t>
            </w:r>
          </w:p>
        </w:tc>
        <w:tc>
          <w:tcPr>
            <w:tcW w:w="1600" w:type="dxa"/>
            <w:noWrap/>
            <w:hideMark/>
          </w:tcPr>
          <w:p w14:paraId="6D448A14" w14:textId="77777777" w:rsidR="006A1007" w:rsidRPr="00D97684" w:rsidRDefault="006A1007" w:rsidP="00D9768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rFonts w:cstheme="minorHAnsi"/>
                <w:szCs w:val="24"/>
                <w:lang w:eastAsia="pl-PL"/>
              </w:rPr>
            </w:pPr>
            <w:r w:rsidRPr="00D97684">
              <w:rPr>
                <w:rFonts w:cstheme="minorHAnsi"/>
                <w:szCs w:val="24"/>
                <w:lang w:eastAsia="pl-PL"/>
              </w:rPr>
              <w:t>13,86</w:t>
            </w:r>
          </w:p>
        </w:tc>
        <w:tc>
          <w:tcPr>
            <w:tcW w:w="994" w:type="dxa"/>
            <w:gridSpan w:val="2"/>
            <w:hideMark/>
          </w:tcPr>
          <w:p w14:paraId="79722596" w14:textId="77777777" w:rsidR="006A1007" w:rsidRPr="00D97684" w:rsidRDefault="006A1007" w:rsidP="00D9768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rFonts w:cstheme="minorHAnsi"/>
                <w:szCs w:val="24"/>
                <w:lang w:eastAsia="pl-PL"/>
              </w:rPr>
            </w:pPr>
            <w:r w:rsidRPr="00D97684">
              <w:rPr>
                <w:rFonts w:cstheme="minorHAnsi"/>
                <w:szCs w:val="24"/>
                <w:lang w:eastAsia="pl-PL"/>
              </w:rPr>
              <w:t>1</w:t>
            </w:r>
          </w:p>
        </w:tc>
        <w:tc>
          <w:tcPr>
            <w:tcW w:w="1413" w:type="dxa"/>
            <w:noWrap/>
            <w:hideMark/>
          </w:tcPr>
          <w:p w14:paraId="2B18E34E" w14:textId="77777777" w:rsidR="006A1007" w:rsidRPr="00D97684" w:rsidRDefault="006A1007" w:rsidP="00D9768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rFonts w:cstheme="minorHAnsi"/>
                <w:szCs w:val="24"/>
                <w:lang w:eastAsia="pl-PL"/>
              </w:rPr>
            </w:pPr>
            <w:r w:rsidRPr="00D97684">
              <w:rPr>
                <w:rFonts w:cstheme="minorHAnsi"/>
                <w:szCs w:val="24"/>
                <w:lang w:eastAsia="pl-PL"/>
              </w:rPr>
              <w:t>4,74</w:t>
            </w:r>
          </w:p>
        </w:tc>
        <w:tc>
          <w:tcPr>
            <w:tcW w:w="993" w:type="dxa"/>
            <w:gridSpan w:val="2"/>
            <w:hideMark/>
          </w:tcPr>
          <w:p w14:paraId="74D4EBE4" w14:textId="77777777" w:rsidR="006A1007" w:rsidRPr="00D97684" w:rsidRDefault="006A1007" w:rsidP="00D9768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rFonts w:cstheme="minorHAnsi"/>
                <w:szCs w:val="24"/>
                <w:lang w:eastAsia="pl-PL"/>
              </w:rPr>
            </w:pPr>
            <w:r w:rsidRPr="00D97684">
              <w:rPr>
                <w:rFonts w:cstheme="minorHAnsi"/>
                <w:szCs w:val="24"/>
                <w:lang w:eastAsia="pl-PL"/>
              </w:rPr>
              <w:t>0</w:t>
            </w:r>
          </w:p>
        </w:tc>
        <w:tc>
          <w:tcPr>
            <w:tcW w:w="1238" w:type="dxa"/>
          </w:tcPr>
          <w:p w14:paraId="276A91C0" w14:textId="77777777" w:rsidR="006A1007" w:rsidRPr="00D97684" w:rsidRDefault="006A1007" w:rsidP="00D9768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rFonts w:cstheme="minorHAnsi"/>
                <w:szCs w:val="24"/>
                <w:lang w:eastAsia="pl-PL"/>
              </w:rPr>
            </w:pPr>
            <w:r w:rsidRPr="00D97684">
              <w:rPr>
                <w:rFonts w:cstheme="minorHAnsi"/>
                <w:szCs w:val="24"/>
                <w:lang w:eastAsia="pl-PL"/>
              </w:rPr>
              <w:t>0,13</w:t>
            </w:r>
          </w:p>
        </w:tc>
        <w:tc>
          <w:tcPr>
            <w:tcW w:w="1417" w:type="dxa"/>
          </w:tcPr>
          <w:p w14:paraId="3E663968" w14:textId="77777777" w:rsidR="006A1007" w:rsidRPr="00D97684" w:rsidRDefault="006A1007" w:rsidP="00D9768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rFonts w:cstheme="minorHAnsi"/>
                <w:szCs w:val="24"/>
                <w:lang w:eastAsia="pl-PL"/>
              </w:rPr>
            </w:pPr>
            <w:r w:rsidRPr="00D97684">
              <w:rPr>
                <w:rFonts w:cstheme="minorHAnsi"/>
                <w:szCs w:val="24"/>
                <w:lang w:eastAsia="pl-PL"/>
              </w:rPr>
              <w:t>1</w:t>
            </w:r>
          </w:p>
        </w:tc>
      </w:tr>
      <w:tr w:rsidR="006A1007" w:rsidRPr="00BE64FC" w14:paraId="4AA19B67" w14:textId="77777777" w:rsidTr="00D97684">
        <w:trPr>
          <w:trHeight w:val="288"/>
        </w:trPr>
        <w:tc>
          <w:tcPr>
            <w:cnfStyle w:val="001000000000" w:firstRow="0" w:lastRow="0" w:firstColumn="1" w:lastColumn="0" w:oddVBand="0" w:evenVBand="0" w:oddHBand="0" w:evenHBand="0" w:firstRowFirstColumn="0" w:firstRowLastColumn="0" w:lastRowFirstColumn="0" w:lastRowLastColumn="0"/>
            <w:tcW w:w="1487" w:type="dxa"/>
            <w:noWrap/>
            <w:hideMark/>
          </w:tcPr>
          <w:p w14:paraId="2BF1466D" w14:textId="3E7028D5" w:rsidR="006A1007" w:rsidRPr="00D97684" w:rsidRDefault="004205E2" w:rsidP="00D97684">
            <w:pPr>
              <w:pStyle w:val="elementgraficznytabela"/>
              <w:spacing w:after="240"/>
              <w:contextualSpacing/>
              <w:rPr>
                <w:rFonts w:cstheme="minorHAnsi"/>
                <w:b w:val="0"/>
                <w:bCs/>
                <w:szCs w:val="24"/>
                <w:lang w:eastAsia="pl-PL"/>
              </w:rPr>
            </w:pPr>
            <w:r w:rsidRPr="00D97684">
              <w:rPr>
                <w:rFonts w:cstheme="minorHAnsi"/>
                <w:b w:val="0"/>
                <w:bCs/>
                <w:szCs w:val="24"/>
                <w:lang w:eastAsia="pl-PL"/>
              </w:rPr>
              <w:t>P</w:t>
            </w:r>
            <w:r w:rsidR="00D97684" w:rsidRPr="00D97684">
              <w:rPr>
                <w:rFonts w:cstheme="minorHAnsi"/>
                <w:b w:val="0"/>
                <w:bCs/>
                <w:szCs w:val="24"/>
                <w:lang w:eastAsia="pl-PL"/>
              </w:rPr>
              <w:t>owiat piski</w:t>
            </w:r>
          </w:p>
        </w:tc>
        <w:tc>
          <w:tcPr>
            <w:tcW w:w="1614" w:type="dxa"/>
            <w:noWrap/>
            <w:hideMark/>
          </w:tcPr>
          <w:p w14:paraId="62277EB7" w14:textId="77777777" w:rsidR="006A1007" w:rsidRPr="00D97684" w:rsidRDefault="006A1007" w:rsidP="00D9768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rFonts w:cstheme="minorHAnsi"/>
                <w:szCs w:val="24"/>
                <w:lang w:eastAsia="pl-PL"/>
              </w:rPr>
            </w:pPr>
            <w:r w:rsidRPr="00D97684">
              <w:rPr>
                <w:rFonts w:cstheme="minorHAnsi"/>
                <w:szCs w:val="24"/>
                <w:lang w:eastAsia="pl-PL"/>
              </w:rPr>
              <w:t>5,64</w:t>
            </w:r>
          </w:p>
        </w:tc>
        <w:tc>
          <w:tcPr>
            <w:tcW w:w="926" w:type="dxa"/>
            <w:hideMark/>
          </w:tcPr>
          <w:p w14:paraId="20351863" w14:textId="77777777" w:rsidR="006A1007" w:rsidRPr="00D97684" w:rsidRDefault="006A1007" w:rsidP="00D9768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rFonts w:cstheme="minorHAnsi"/>
                <w:szCs w:val="24"/>
                <w:lang w:eastAsia="pl-PL"/>
              </w:rPr>
            </w:pPr>
            <w:r w:rsidRPr="00D97684">
              <w:rPr>
                <w:rFonts w:cstheme="minorHAnsi"/>
                <w:szCs w:val="24"/>
                <w:lang w:eastAsia="pl-PL"/>
              </w:rPr>
              <w:t>1</w:t>
            </w:r>
          </w:p>
        </w:tc>
        <w:tc>
          <w:tcPr>
            <w:tcW w:w="1449" w:type="dxa"/>
            <w:gridSpan w:val="2"/>
            <w:noWrap/>
            <w:hideMark/>
          </w:tcPr>
          <w:p w14:paraId="2FF542A4" w14:textId="77777777" w:rsidR="006A1007" w:rsidRPr="00D97684" w:rsidRDefault="006A1007" w:rsidP="00D9768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rFonts w:cstheme="minorHAnsi"/>
                <w:szCs w:val="24"/>
                <w:lang w:eastAsia="pl-PL"/>
              </w:rPr>
            </w:pPr>
            <w:r w:rsidRPr="00D97684">
              <w:rPr>
                <w:rFonts w:cstheme="minorHAnsi"/>
                <w:szCs w:val="24"/>
                <w:lang w:eastAsia="pl-PL"/>
              </w:rPr>
              <w:t>1,78</w:t>
            </w:r>
          </w:p>
        </w:tc>
        <w:tc>
          <w:tcPr>
            <w:tcW w:w="1039" w:type="dxa"/>
            <w:hideMark/>
          </w:tcPr>
          <w:p w14:paraId="6F0A5BA7" w14:textId="77777777" w:rsidR="006A1007" w:rsidRPr="00D97684" w:rsidRDefault="006A1007" w:rsidP="00D9768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rFonts w:cstheme="minorHAnsi"/>
                <w:szCs w:val="24"/>
                <w:lang w:eastAsia="pl-PL"/>
              </w:rPr>
            </w:pPr>
            <w:r w:rsidRPr="00D97684">
              <w:rPr>
                <w:rFonts w:cstheme="minorHAnsi"/>
                <w:szCs w:val="24"/>
                <w:lang w:eastAsia="pl-PL"/>
              </w:rPr>
              <w:t>1</w:t>
            </w:r>
          </w:p>
        </w:tc>
        <w:tc>
          <w:tcPr>
            <w:tcW w:w="1600" w:type="dxa"/>
            <w:noWrap/>
            <w:hideMark/>
          </w:tcPr>
          <w:p w14:paraId="7B6AF9D8" w14:textId="77777777" w:rsidR="006A1007" w:rsidRPr="00D97684" w:rsidRDefault="006A1007" w:rsidP="00D9768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rFonts w:cstheme="minorHAnsi"/>
                <w:szCs w:val="24"/>
                <w:lang w:eastAsia="pl-PL"/>
              </w:rPr>
            </w:pPr>
            <w:r w:rsidRPr="00D97684">
              <w:rPr>
                <w:rFonts w:cstheme="minorHAnsi"/>
                <w:szCs w:val="24"/>
                <w:lang w:eastAsia="pl-PL"/>
              </w:rPr>
              <w:t>144,53</w:t>
            </w:r>
          </w:p>
        </w:tc>
        <w:tc>
          <w:tcPr>
            <w:tcW w:w="994" w:type="dxa"/>
            <w:gridSpan w:val="2"/>
            <w:hideMark/>
          </w:tcPr>
          <w:p w14:paraId="51FFCE20" w14:textId="77777777" w:rsidR="006A1007" w:rsidRPr="00D97684" w:rsidRDefault="006A1007" w:rsidP="00D9768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rFonts w:cstheme="minorHAnsi"/>
                <w:szCs w:val="24"/>
                <w:lang w:eastAsia="pl-PL"/>
              </w:rPr>
            </w:pPr>
            <w:r w:rsidRPr="00D97684">
              <w:rPr>
                <w:rFonts w:cstheme="minorHAnsi"/>
                <w:szCs w:val="24"/>
                <w:lang w:eastAsia="pl-PL"/>
              </w:rPr>
              <w:t>2</w:t>
            </w:r>
          </w:p>
        </w:tc>
        <w:tc>
          <w:tcPr>
            <w:tcW w:w="1413" w:type="dxa"/>
            <w:noWrap/>
            <w:hideMark/>
          </w:tcPr>
          <w:p w14:paraId="5D9388CD" w14:textId="77777777" w:rsidR="006A1007" w:rsidRPr="00D97684" w:rsidRDefault="006A1007" w:rsidP="00D9768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rFonts w:cstheme="minorHAnsi"/>
                <w:szCs w:val="24"/>
                <w:lang w:eastAsia="pl-PL"/>
              </w:rPr>
            </w:pPr>
            <w:r w:rsidRPr="00D97684">
              <w:rPr>
                <w:rFonts w:cstheme="minorHAnsi"/>
                <w:szCs w:val="24"/>
                <w:lang w:eastAsia="pl-PL"/>
              </w:rPr>
              <w:t>45,71</w:t>
            </w:r>
          </w:p>
        </w:tc>
        <w:tc>
          <w:tcPr>
            <w:tcW w:w="993" w:type="dxa"/>
            <w:gridSpan w:val="2"/>
            <w:hideMark/>
          </w:tcPr>
          <w:p w14:paraId="7FF3FEE1" w14:textId="77777777" w:rsidR="006A1007" w:rsidRPr="00D97684" w:rsidRDefault="006A1007" w:rsidP="00D9768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rFonts w:cstheme="minorHAnsi"/>
                <w:szCs w:val="24"/>
                <w:lang w:eastAsia="pl-PL"/>
              </w:rPr>
            </w:pPr>
            <w:r w:rsidRPr="00D97684">
              <w:rPr>
                <w:rFonts w:cstheme="minorHAnsi"/>
                <w:szCs w:val="24"/>
                <w:lang w:eastAsia="pl-PL"/>
              </w:rPr>
              <w:t>1</w:t>
            </w:r>
          </w:p>
        </w:tc>
        <w:tc>
          <w:tcPr>
            <w:tcW w:w="1238" w:type="dxa"/>
          </w:tcPr>
          <w:p w14:paraId="4E85F8D8" w14:textId="77777777" w:rsidR="006A1007" w:rsidRPr="00D97684" w:rsidRDefault="006A1007" w:rsidP="00D9768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rFonts w:cstheme="minorHAnsi"/>
                <w:szCs w:val="24"/>
                <w:lang w:eastAsia="pl-PL"/>
              </w:rPr>
            </w:pPr>
            <w:r w:rsidRPr="00D97684">
              <w:rPr>
                <w:rFonts w:cstheme="minorHAnsi"/>
                <w:szCs w:val="24"/>
                <w:lang w:eastAsia="pl-PL"/>
              </w:rPr>
              <w:t>0,31</w:t>
            </w:r>
          </w:p>
        </w:tc>
        <w:tc>
          <w:tcPr>
            <w:tcW w:w="1417" w:type="dxa"/>
          </w:tcPr>
          <w:p w14:paraId="04A86118" w14:textId="77777777" w:rsidR="006A1007" w:rsidRPr="00D97684" w:rsidRDefault="006A1007" w:rsidP="00D9768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rFonts w:cstheme="minorHAnsi"/>
                <w:szCs w:val="24"/>
                <w:lang w:eastAsia="pl-PL"/>
              </w:rPr>
            </w:pPr>
            <w:r w:rsidRPr="00D97684">
              <w:rPr>
                <w:rFonts w:cstheme="minorHAnsi"/>
                <w:szCs w:val="24"/>
                <w:lang w:eastAsia="pl-PL"/>
              </w:rPr>
              <w:t>2</w:t>
            </w:r>
          </w:p>
        </w:tc>
      </w:tr>
      <w:tr w:rsidR="006A1007" w:rsidRPr="00BE64FC" w14:paraId="7DD908D5" w14:textId="77777777" w:rsidTr="00D97684">
        <w:trPr>
          <w:trHeight w:val="288"/>
        </w:trPr>
        <w:tc>
          <w:tcPr>
            <w:cnfStyle w:val="001000000000" w:firstRow="0" w:lastRow="0" w:firstColumn="1" w:lastColumn="0" w:oddVBand="0" w:evenVBand="0" w:oddHBand="0" w:evenHBand="0" w:firstRowFirstColumn="0" w:firstRowLastColumn="0" w:lastRowFirstColumn="0" w:lastRowLastColumn="0"/>
            <w:tcW w:w="1487" w:type="dxa"/>
            <w:noWrap/>
            <w:hideMark/>
          </w:tcPr>
          <w:p w14:paraId="34D39569" w14:textId="135E4E82" w:rsidR="006A1007" w:rsidRPr="00D97684" w:rsidRDefault="004205E2" w:rsidP="00D97684">
            <w:pPr>
              <w:pStyle w:val="elementgraficznytabela"/>
              <w:spacing w:after="240"/>
              <w:contextualSpacing/>
              <w:rPr>
                <w:rFonts w:cstheme="minorHAnsi"/>
                <w:b w:val="0"/>
                <w:bCs/>
                <w:szCs w:val="24"/>
                <w:lang w:eastAsia="pl-PL"/>
              </w:rPr>
            </w:pPr>
            <w:r w:rsidRPr="00D97684">
              <w:rPr>
                <w:rFonts w:cstheme="minorHAnsi"/>
                <w:b w:val="0"/>
                <w:bCs/>
                <w:szCs w:val="24"/>
                <w:lang w:eastAsia="pl-PL"/>
              </w:rPr>
              <w:t>P</w:t>
            </w:r>
            <w:r w:rsidR="00D97684" w:rsidRPr="00D97684">
              <w:rPr>
                <w:rFonts w:cstheme="minorHAnsi"/>
                <w:b w:val="0"/>
                <w:bCs/>
                <w:szCs w:val="24"/>
                <w:lang w:eastAsia="pl-PL"/>
              </w:rPr>
              <w:t>owiat szczycieński</w:t>
            </w:r>
          </w:p>
        </w:tc>
        <w:tc>
          <w:tcPr>
            <w:tcW w:w="1614" w:type="dxa"/>
            <w:noWrap/>
            <w:hideMark/>
          </w:tcPr>
          <w:p w14:paraId="3417B290" w14:textId="77777777" w:rsidR="006A1007" w:rsidRPr="00D97684" w:rsidRDefault="006A1007" w:rsidP="00D9768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rFonts w:cstheme="minorHAnsi"/>
                <w:szCs w:val="24"/>
                <w:lang w:eastAsia="pl-PL"/>
              </w:rPr>
            </w:pPr>
            <w:r w:rsidRPr="00D97684">
              <w:rPr>
                <w:rFonts w:cstheme="minorHAnsi"/>
                <w:szCs w:val="24"/>
                <w:lang w:eastAsia="pl-PL"/>
              </w:rPr>
              <w:t>2,49</w:t>
            </w:r>
          </w:p>
        </w:tc>
        <w:tc>
          <w:tcPr>
            <w:tcW w:w="926" w:type="dxa"/>
            <w:hideMark/>
          </w:tcPr>
          <w:p w14:paraId="0C2A1ADA" w14:textId="77777777" w:rsidR="006A1007" w:rsidRPr="00D97684" w:rsidRDefault="006A1007" w:rsidP="00D9768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rFonts w:cstheme="minorHAnsi"/>
                <w:szCs w:val="24"/>
                <w:lang w:eastAsia="pl-PL"/>
              </w:rPr>
            </w:pPr>
            <w:r w:rsidRPr="00D97684">
              <w:rPr>
                <w:rFonts w:cstheme="minorHAnsi"/>
                <w:szCs w:val="24"/>
                <w:lang w:eastAsia="pl-PL"/>
              </w:rPr>
              <w:t>1</w:t>
            </w:r>
          </w:p>
        </w:tc>
        <w:tc>
          <w:tcPr>
            <w:tcW w:w="1449" w:type="dxa"/>
            <w:gridSpan w:val="2"/>
            <w:noWrap/>
            <w:hideMark/>
          </w:tcPr>
          <w:p w14:paraId="4654DD2F" w14:textId="77777777" w:rsidR="006A1007" w:rsidRPr="00D97684" w:rsidRDefault="006A1007" w:rsidP="00D9768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rFonts w:cstheme="minorHAnsi"/>
                <w:szCs w:val="24"/>
                <w:lang w:eastAsia="pl-PL"/>
              </w:rPr>
            </w:pPr>
            <w:r w:rsidRPr="00D97684">
              <w:rPr>
                <w:rFonts w:cstheme="minorHAnsi"/>
                <w:szCs w:val="24"/>
                <w:lang w:eastAsia="pl-PL"/>
              </w:rPr>
              <w:t>0,89</w:t>
            </w:r>
          </w:p>
        </w:tc>
        <w:tc>
          <w:tcPr>
            <w:tcW w:w="1039" w:type="dxa"/>
            <w:hideMark/>
          </w:tcPr>
          <w:p w14:paraId="40B6328F" w14:textId="77777777" w:rsidR="006A1007" w:rsidRPr="00D97684" w:rsidRDefault="006A1007" w:rsidP="00D9768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rFonts w:cstheme="minorHAnsi"/>
                <w:szCs w:val="24"/>
                <w:lang w:eastAsia="pl-PL"/>
              </w:rPr>
            </w:pPr>
            <w:r w:rsidRPr="00D97684">
              <w:rPr>
                <w:rFonts w:cstheme="minorHAnsi"/>
                <w:szCs w:val="24"/>
                <w:lang w:eastAsia="pl-PL"/>
              </w:rPr>
              <w:t>1</w:t>
            </w:r>
          </w:p>
        </w:tc>
        <w:tc>
          <w:tcPr>
            <w:tcW w:w="1600" w:type="dxa"/>
            <w:noWrap/>
            <w:hideMark/>
          </w:tcPr>
          <w:p w14:paraId="28BE73AA" w14:textId="77777777" w:rsidR="006A1007" w:rsidRPr="00D97684" w:rsidRDefault="006A1007" w:rsidP="00D9768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rFonts w:cstheme="minorHAnsi"/>
                <w:szCs w:val="24"/>
                <w:lang w:eastAsia="pl-PL"/>
              </w:rPr>
            </w:pPr>
            <w:r w:rsidRPr="00D97684">
              <w:rPr>
                <w:rFonts w:cstheme="minorHAnsi"/>
                <w:szCs w:val="24"/>
                <w:lang w:eastAsia="pl-PL"/>
              </w:rPr>
              <w:t>72,67</w:t>
            </w:r>
          </w:p>
        </w:tc>
        <w:tc>
          <w:tcPr>
            <w:tcW w:w="994" w:type="dxa"/>
            <w:gridSpan w:val="2"/>
            <w:hideMark/>
          </w:tcPr>
          <w:p w14:paraId="2D6800D3" w14:textId="77777777" w:rsidR="006A1007" w:rsidRPr="00D97684" w:rsidRDefault="006A1007" w:rsidP="00D9768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rFonts w:cstheme="minorHAnsi"/>
                <w:szCs w:val="24"/>
                <w:lang w:eastAsia="pl-PL"/>
              </w:rPr>
            </w:pPr>
            <w:r w:rsidRPr="00D97684">
              <w:rPr>
                <w:rFonts w:cstheme="minorHAnsi"/>
                <w:szCs w:val="24"/>
                <w:lang w:eastAsia="pl-PL"/>
              </w:rPr>
              <w:t>2</w:t>
            </w:r>
          </w:p>
        </w:tc>
        <w:tc>
          <w:tcPr>
            <w:tcW w:w="1413" w:type="dxa"/>
            <w:noWrap/>
            <w:hideMark/>
          </w:tcPr>
          <w:p w14:paraId="09F45DBF" w14:textId="77777777" w:rsidR="006A1007" w:rsidRPr="00D97684" w:rsidRDefault="006A1007" w:rsidP="00D9768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rFonts w:cstheme="minorHAnsi"/>
                <w:szCs w:val="24"/>
                <w:lang w:eastAsia="pl-PL"/>
              </w:rPr>
            </w:pPr>
            <w:r w:rsidRPr="00D97684">
              <w:rPr>
                <w:rFonts w:cstheme="minorHAnsi"/>
                <w:szCs w:val="24"/>
                <w:lang w:eastAsia="pl-PL"/>
              </w:rPr>
              <w:t>26,08</w:t>
            </w:r>
          </w:p>
        </w:tc>
        <w:tc>
          <w:tcPr>
            <w:tcW w:w="993" w:type="dxa"/>
            <w:gridSpan w:val="2"/>
            <w:hideMark/>
          </w:tcPr>
          <w:p w14:paraId="7EBD199C" w14:textId="77777777" w:rsidR="006A1007" w:rsidRPr="00D97684" w:rsidRDefault="006A1007" w:rsidP="00D9768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rFonts w:cstheme="minorHAnsi"/>
                <w:szCs w:val="24"/>
                <w:lang w:eastAsia="pl-PL"/>
              </w:rPr>
            </w:pPr>
            <w:r w:rsidRPr="00D97684">
              <w:rPr>
                <w:rFonts w:cstheme="minorHAnsi"/>
                <w:szCs w:val="24"/>
                <w:lang w:eastAsia="pl-PL"/>
              </w:rPr>
              <w:t>1</w:t>
            </w:r>
          </w:p>
        </w:tc>
        <w:tc>
          <w:tcPr>
            <w:tcW w:w="1238" w:type="dxa"/>
          </w:tcPr>
          <w:p w14:paraId="378C82D6" w14:textId="77777777" w:rsidR="006A1007" w:rsidRPr="00D97684" w:rsidRDefault="006A1007" w:rsidP="00D9768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rFonts w:cstheme="minorHAnsi"/>
                <w:szCs w:val="24"/>
                <w:lang w:eastAsia="pl-PL"/>
              </w:rPr>
            </w:pPr>
            <w:r w:rsidRPr="00D97684">
              <w:rPr>
                <w:rFonts w:cstheme="minorHAnsi"/>
                <w:szCs w:val="24"/>
                <w:lang w:eastAsia="pl-PL"/>
              </w:rPr>
              <w:t>0,31</w:t>
            </w:r>
          </w:p>
        </w:tc>
        <w:tc>
          <w:tcPr>
            <w:tcW w:w="1417" w:type="dxa"/>
          </w:tcPr>
          <w:p w14:paraId="24842DAD" w14:textId="77777777" w:rsidR="006A1007" w:rsidRPr="00D97684" w:rsidRDefault="006A1007" w:rsidP="00D9768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rFonts w:cstheme="minorHAnsi"/>
                <w:szCs w:val="24"/>
                <w:lang w:eastAsia="pl-PL"/>
              </w:rPr>
            </w:pPr>
            <w:r w:rsidRPr="00D97684">
              <w:rPr>
                <w:rFonts w:cstheme="minorHAnsi"/>
                <w:szCs w:val="24"/>
                <w:lang w:eastAsia="pl-PL"/>
              </w:rPr>
              <w:t>2</w:t>
            </w:r>
          </w:p>
        </w:tc>
      </w:tr>
      <w:tr w:rsidR="006A1007" w:rsidRPr="00BE64FC" w14:paraId="52A42224" w14:textId="77777777" w:rsidTr="00D97684">
        <w:trPr>
          <w:trHeight w:val="288"/>
        </w:trPr>
        <w:tc>
          <w:tcPr>
            <w:cnfStyle w:val="001000000000" w:firstRow="0" w:lastRow="0" w:firstColumn="1" w:lastColumn="0" w:oddVBand="0" w:evenVBand="0" w:oddHBand="0" w:evenHBand="0" w:firstRowFirstColumn="0" w:firstRowLastColumn="0" w:lastRowFirstColumn="0" w:lastRowLastColumn="0"/>
            <w:tcW w:w="1487" w:type="dxa"/>
            <w:noWrap/>
          </w:tcPr>
          <w:p w14:paraId="0A34BC0F" w14:textId="215A4BF9" w:rsidR="006A1007" w:rsidRPr="00D97684" w:rsidRDefault="004205E2" w:rsidP="00D97684">
            <w:pPr>
              <w:pStyle w:val="elementgraficznytabela"/>
              <w:spacing w:after="240"/>
              <w:contextualSpacing/>
              <w:rPr>
                <w:rFonts w:cstheme="minorHAnsi"/>
                <w:b w:val="0"/>
                <w:szCs w:val="24"/>
                <w:lang w:eastAsia="pl-PL"/>
              </w:rPr>
            </w:pPr>
            <w:r w:rsidRPr="00D97684">
              <w:rPr>
                <w:rFonts w:cstheme="minorHAnsi"/>
                <w:b w:val="0"/>
                <w:szCs w:val="24"/>
                <w:lang w:eastAsia="pl-PL"/>
              </w:rPr>
              <w:t>P</w:t>
            </w:r>
            <w:r w:rsidR="00D97684" w:rsidRPr="00D97684">
              <w:rPr>
                <w:rFonts w:cstheme="minorHAnsi"/>
                <w:b w:val="0"/>
                <w:szCs w:val="24"/>
                <w:lang w:eastAsia="pl-PL"/>
              </w:rPr>
              <w:t xml:space="preserve">ołudniowe Mazury </w:t>
            </w:r>
          </w:p>
        </w:tc>
        <w:tc>
          <w:tcPr>
            <w:tcW w:w="1614" w:type="dxa"/>
            <w:noWrap/>
          </w:tcPr>
          <w:p w14:paraId="241F357C" w14:textId="77777777" w:rsidR="006A1007" w:rsidRPr="00D97684" w:rsidRDefault="006A1007" w:rsidP="00D9768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rFonts w:cstheme="minorHAnsi"/>
                <w:szCs w:val="24"/>
                <w:lang w:eastAsia="pl-PL"/>
              </w:rPr>
            </w:pPr>
            <w:r w:rsidRPr="00D97684">
              <w:rPr>
                <w:rFonts w:cstheme="minorHAnsi"/>
                <w:szCs w:val="24"/>
                <w:lang w:eastAsia="pl-PL"/>
              </w:rPr>
              <w:t>2,69</w:t>
            </w:r>
          </w:p>
        </w:tc>
        <w:tc>
          <w:tcPr>
            <w:tcW w:w="926" w:type="dxa"/>
          </w:tcPr>
          <w:p w14:paraId="5C53AC10" w14:textId="77777777" w:rsidR="006A1007" w:rsidRPr="00D97684" w:rsidRDefault="006A1007" w:rsidP="00D9768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rFonts w:cstheme="minorHAnsi"/>
                <w:szCs w:val="24"/>
                <w:lang w:eastAsia="pl-PL"/>
              </w:rPr>
            </w:pPr>
            <w:r w:rsidRPr="00D97684">
              <w:rPr>
                <w:rFonts w:cstheme="minorHAnsi"/>
                <w:szCs w:val="24"/>
                <w:lang w:eastAsia="pl-PL"/>
              </w:rPr>
              <w:t>1</w:t>
            </w:r>
          </w:p>
        </w:tc>
        <w:tc>
          <w:tcPr>
            <w:tcW w:w="1449" w:type="dxa"/>
            <w:gridSpan w:val="2"/>
            <w:noWrap/>
          </w:tcPr>
          <w:p w14:paraId="10FCCFBC" w14:textId="77777777" w:rsidR="006A1007" w:rsidRPr="00D97684" w:rsidRDefault="006A1007" w:rsidP="00D9768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rFonts w:cstheme="minorHAnsi"/>
                <w:szCs w:val="24"/>
                <w:lang w:eastAsia="pl-PL"/>
              </w:rPr>
            </w:pPr>
            <w:r w:rsidRPr="00D97684">
              <w:rPr>
                <w:rFonts w:cstheme="minorHAnsi"/>
                <w:szCs w:val="24"/>
                <w:lang w:eastAsia="pl-PL"/>
              </w:rPr>
              <w:t>1,02</w:t>
            </w:r>
          </w:p>
        </w:tc>
        <w:tc>
          <w:tcPr>
            <w:tcW w:w="1039" w:type="dxa"/>
          </w:tcPr>
          <w:p w14:paraId="4DBA24AE" w14:textId="77777777" w:rsidR="006A1007" w:rsidRPr="00D97684" w:rsidRDefault="006A1007" w:rsidP="00D9768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rFonts w:cstheme="minorHAnsi"/>
                <w:szCs w:val="24"/>
                <w:lang w:eastAsia="pl-PL"/>
              </w:rPr>
            </w:pPr>
            <w:r w:rsidRPr="00D97684">
              <w:rPr>
                <w:rFonts w:cstheme="minorHAnsi"/>
                <w:szCs w:val="24"/>
                <w:lang w:eastAsia="pl-PL"/>
              </w:rPr>
              <w:t>1</w:t>
            </w:r>
          </w:p>
        </w:tc>
        <w:tc>
          <w:tcPr>
            <w:tcW w:w="1600" w:type="dxa"/>
            <w:noWrap/>
          </w:tcPr>
          <w:p w14:paraId="791E08B1" w14:textId="77777777" w:rsidR="006A1007" w:rsidRPr="00D97684" w:rsidRDefault="006A1007" w:rsidP="00D9768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rFonts w:cstheme="minorHAnsi"/>
                <w:szCs w:val="24"/>
                <w:lang w:eastAsia="pl-PL"/>
              </w:rPr>
            </w:pPr>
            <w:r w:rsidRPr="00D97684">
              <w:rPr>
                <w:rFonts w:cstheme="minorHAnsi"/>
                <w:szCs w:val="24"/>
                <w:lang w:eastAsia="pl-PL"/>
              </w:rPr>
              <w:t>61,80</w:t>
            </w:r>
          </w:p>
        </w:tc>
        <w:tc>
          <w:tcPr>
            <w:tcW w:w="994" w:type="dxa"/>
            <w:gridSpan w:val="2"/>
          </w:tcPr>
          <w:p w14:paraId="10405435" w14:textId="77777777" w:rsidR="006A1007" w:rsidRPr="00D97684" w:rsidRDefault="006A1007" w:rsidP="00D9768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rFonts w:cstheme="minorHAnsi"/>
                <w:szCs w:val="24"/>
                <w:lang w:eastAsia="pl-PL"/>
              </w:rPr>
            </w:pPr>
            <w:r w:rsidRPr="00D97684">
              <w:rPr>
                <w:rFonts w:cstheme="minorHAnsi"/>
                <w:szCs w:val="24"/>
                <w:lang w:eastAsia="pl-PL"/>
              </w:rPr>
              <w:t>2</w:t>
            </w:r>
          </w:p>
        </w:tc>
        <w:tc>
          <w:tcPr>
            <w:tcW w:w="1413" w:type="dxa"/>
            <w:noWrap/>
          </w:tcPr>
          <w:p w14:paraId="0EEB29EF" w14:textId="77777777" w:rsidR="006A1007" w:rsidRPr="00D97684" w:rsidRDefault="006A1007" w:rsidP="00D9768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rFonts w:cstheme="minorHAnsi"/>
                <w:szCs w:val="24"/>
                <w:lang w:eastAsia="pl-PL"/>
              </w:rPr>
            </w:pPr>
            <w:r w:rsidRPr="00D97684">
              <w:rPr>
                <w:rFonts w:cstheme="minorHAnsi"/>
                <w:szCs w:val="24"/>
                <w:lang w:eastAsia="pl-PL"/>
              </w:rPr>
              <w:t>21,88</w:t>
            </w:r>
          </w:p>
        </w:tc>
        <w:tc>
          <w:tcPr>
            <w:tcW w:w="993" w:type="dxa"/>
            <w:gridSpan w:val="2"/>
          </w:tcPr>
          <w:p w14:paraId="6EB45D89" w14:textId="77777777" w:rsidR="006A1007" w:rsidRPr="00D97684" w:rsidRDefault="006A1007" w:rsidP="00D9768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rFonts w:cstheme="minorHAnsi"/>
                <w:szCs w:val="24"/>
                <w:lang w:eastAsia="pl-PL"/>
              </w:rPr>
            </w:pPr>
            <w:r w:rsidRPr="00D97684">
              <w:rPr>
                <w:rFonts w:cstheme="minorHAnsi"/>
                <w:szCs w:val="24"/>
                <w:lang w:eastAsia="pl-PL"/>
              </w:rPr>
              <w:t>1</w:t>
            </w:r>
          </w:p>
        </w:tc>
        <w:tc>
          <w:tcPr>
            <w:tcW w:w="1238" w:type="dxa"/>
          </w:tcPr>
          <w:p w14:paraId="187534F4" w14:textId="77777777" w:rsidR="006A1007" w:rsidRPr="00D97684" w:rsidRDefault="006A1007" w:rsidP="00D9768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rFonts w:cstheme="minorHAnsi"/>
                <w:szCs w:val="24"/>
                <w:lang w:eastAsia="pl-PL"/>
              </w:rPr>
            </w:pPr>
            <w:r w:rsidRPr="00D97684">
              <w:rPr>
                <w:rFonts w:cstheme="minorHAnsi"/>
                <w:szCs w:val="24"/>
                <w:lang w:eastAsia="pl-PL"/>
              </w:rPr>
              <w:t>0,25</w:t>
            </w:r>
          </w:p>
        </w:tc>
        <w:tc>
          <w:tcPr>
            <w:tcW w:w="1417" w:type="dxa"/>
          </w:tcPr>
          <w:p w14:paraId="637D2292" w14:textId="77777777" w:rsidR="006A1007" w:rsidRPr="00D97684" w:rsidRDefault="006A1007" w:rsidP="00D9768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rFonts w:cstheme="minorHAnsi"/>
                <w:szCs w:val="24"/>
                <w:lang w:eastAsia="pl-PL"/>
              </w:rPr>
            </w:pPr>
            <w:r w:rsidRPr="00D97684">
              <w:rPr>
                <w:rFonts w:cstheme="minorHAnsi"/>
                <w:szCs w:val="24"/>
                <w:lang w:eastAsia="pl-PL"/>
              </w:rPr>
              <w:t>1</w:t>
            </w:r>
          </w:p>
        </w:tc>
      </w:tr>
      <w:tr w:rsidR="006A1007" w:rsidRPr="00BE64FC" w14:paraId="093D1D31" w14:textId="77777777" w:rsidTr="00D97684">
        <w:trPr>
          <w:trHeight w:val="288"/>
        </w:trPr>
        <w:tc>
          <w:tcPr>
            <w:cnfStyle w:val="001000000000" w:firstRow="0" w:lastRow="0" w:firstColumn="1" w:lastColumn="0" w:oddVBand="0" w:evenVBand="0" w:oddHBand="0" w:evenHBand="0" w:firstRowFirstColumn="0" w:firstRowLastColumn="0" w:lastRowFirstColumn="0" w:lastRowLastColumn="0"/>
            <w:tcW w:w="1487" w:type="dxa"/>
            <w:noWrap/>
          </w:tcPr>
          <w:p w14:paraId="2F708B45" w14:textId="77777777" w:rsidR="00D97684" w:rsidRPr="00D97684" w:rsidRDefault="004205E2" w:rsidP="00D97684">
            <w:pPr>
              <w:pStyle w:val="elementgraficznytabela"/>
              <w:spacing w:after="240"/>
              <w:contextualSpacing/>
              <w:rPr>
                <w:rFonts w:cstheme="minorHAnsi"/>
                <w:szCs w:val="24"/>
                <w:lang w:eastAsia="pl-PL"/>
              </w:rPr>
            </w:pPr>
            <w:r w:rsidRPr="00D97684">
              <w:rPr>
                <w:rFonts w:cstheme="minorHAnsi"/>
                <w:b w:val="0"/>
                <w:szCs w:val="24"/>
                <w:lang w:eastAsia="pl-PL"/>
              </w:rPr>
              <w:t>W</w:t>
            </w:r>
            <w:r w:rsidR="00D97684" w:rsidRPr="00D97684">
              <w:rPr>
                <w:rFonts w:cstheme="minorHAnsi"/>
                <w:b w:val="0"/>
                <w:szCs w:val="24"/>
                <w:lang w:eastAsia="pl-PL"/>
              </w:rPr>
              <w:t>ojewó-</w:t>
            </w:r>
          </w:p>
          <w:p w14:paraId="7DBE9684" w14:textId="43264D4E" w:rsidR="006A1007" w:rsidRPr="00D97684" w:rsidRDefault="00D97684" w:rsidP="00D97684">
            <w:pPr>
              <w:pStyle w:val="elementgraficznytabela"/>
              <w:spacing w:after="240"/>
              <w:contextualSpacing/>
              <w:rPr>
                <w:rFonts w:cstheme="minorHAnsi"/>
                <w:b w:val="0"/>
                <w:szCs w:val="24"/>
                <w:lang w:eastAsia="pl-PL"/>
              </w:rPr>
            </w:pPr>
            <w:r w:rsidRPr="00D97684">
              <w:rPr>
                <w:rFonts w:cstheme="minorHAnsi"/>
                <w:b w:val="0"/>
                <w:szCs w:val="24"/>
                <w:lang w:eastAsia="pl-PL"/>
              </w:rPr>
              <w:t>dztwo warminsko-mazurskie</w:t>
            </w:r>
          </w:p>
        </w:tc>
        <w:tc>
          <w:tcPr>
            <w:tcW w:w="1614" w:type="dxa"/>
            <w:noWrap/>
          </w:tcPr>
          <w:p w14:paraId="13A1452F" w14:textId="77777777" w:rsidR="006A1007" w:rsidRPr="00D97684" w:rsidRDefault="006A1007" w:rsidP="00D9768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rFonts w:cstheme="minorHAnsi"/>
                <w:szCs w:val="24"/>
                <w:lang w:eastAsia="pl-PL"/>
              </w:rPr>
            </w:pPr>
            <w:r w:rsidRPr="00D97684">
              <w:rPr>
                <w:rFonts w:cstheme="minorHAnsi"/>
                <w:szCs w:val="24"/>
                <w:lang w:eastAsia="pl-PL"/>
              </w:rPr>
              <w:t>3,11</w:t>
            </w:r>
          </w:p>
        </w:tc>
        <w:tc>
          <w:tcPr>
            <w:tcW w:w="926" w:type="dxa"/>
          </w:tcPr>
          <w:p w14:paraId="2CE7E009" w14:textId="77777777" w:rsidR="006A1007" w:rsidRPr="00D97684" w:rsidRDefault="006A1007" w:rsidP="00D9768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rFonts w:cstheme="minorHAnsi"/>
                <w:szCs w:val="24"/>
                <w:lang w:eastAsia="pl-PL"/>
              </w:rPr>
            </w:pPr>
            <w:r w:rsidRPr="00D97684">
              <w:rPr>
                <w:rFonts w:cstheme="minorHAnsi"/>
                <w:szCs w:val="24"/>
                <w:lang w:eastAsia="pl-PL"/>
              </w:rPr>
              <w:t>1</w:t>
            </w:r>
          </w:p>
        </w:tc>
        <w:tc>
          <w:tcPr>
            <w:tcW w:w="1449" w:type="dxa"/>
            <w:gridSpan w:val="2"/>
            <w:noWrap/>
          </w:tcPr>
          <w:p w14:paraId="568A8971" w14:textId="77777777" w:rsidR="006A1007" w:rsidRPr="00D97684" w:rsidRDefault="006A1007" w:rsidP="00D9768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rFonts w:cstheme="minorHAnsi"/>
                <w:szCs w:val="24"/>
                <w:lang w:eastAsia="pl-PL"/>
              </w:rPr>
            </w:pPr>
            <w:r w:rsidRPr="00D97684">
              <w:rPr>
                <w:rFonts w:cstheme="minorHAnsi"/>
                <w:szCs w:val="24"/>
                <w:lang w:eastAsia="pl-PL"/>
              </w:rPr>
              <w:t>5,63</w:t>
            </w:r>
          </w:p>
        </w:tc>
        <w:tc>
          <w:tcPr>
            <w:tcW w:w="1039" w:type="dxa"/>
          </w:tcPr>
          <w:p w14:paraId="1BC79B87" w14:textId="77777777" w:rsidR="006A1007" w:rsidRPr="00D97684" w:rsidRDefault="006A1007" w:rsidP="00D9768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rFonts w:cstheme="minorHAnsi"/>
                <w:szCs w:val="24"/>
                <w:lang w:eastAsia="pl-PL"/>
              </w:rPr>
            </w:pPr>
            <w:r w:rsidRPr="00D97684">
              <w:rPr>
                <w:rFonts w:cstheme="minorHAnsi"/>
                <w:szCs w:val="24"/>
                <w:lang w:eastAsia="pl-PL"/>
              </w:rPr>
              <w:t>1</w:t>
            </w:r>
          </w:p>
        </w:tc>
        <w:tc>
          <w:tcPr>
            <w:tcW w:w="1600" w:type="dxa"/>
            <w:noWrap/>
          </w:tcPr>
          <w:p w14:paraId="53A65DF6" w14:textId="77777777" w:rsidR="006A1007" w:rsidRPr="00D97684" w:rsidRDefault="006A1007" w:rsidP="00D9768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rFonts w:cstheme="minorHAnsi"/>
                <w:szCs w:val="24"/>
                <w:lang w:eastAsia="pl-PL"/>
              </w:rPr>
            </w:pPr>
            <w:r w:rsidRPr="00D97684">
              <w:rPr>
                <w:rFonts w:cstheme="minorHAnsi"/>
                <w:szCs w:val="24"/>
                <w:lang w:eastAsia="pl-PL"/>
              </w:rPr>
              <w:t>96,55</w:t>
            </w:r>
          </w:p>
        </w:tc>
        <w:tc>
          <w:tcPr>
            <w:tcW w:w="994" w:type="dxa"/>
            <w:gridSpan w:val="2"/>
          </w:tcPr>
          <w:p w14:paraId="306F90FE" w14:textId="77777777" w:rsidR="006A1007" w:rsidRPr="00D97684" w:rsidRDefault="006A1007" w:rsidP="00D9768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rFonts w:cstheme="minorHAnsi"/>
                <w:szCs w:val="24"/>
                <w:lang w:eastAsia="pl-PL"/>
              </w:rPr>
            </w:pPr>
            <w:r w:rsidRPr="00D97684">
              <w:rPr>
                <w:rFonts w:cstheme="minorHAnsi"/>
                <w:szCs w:val="24"/>
                <w:lang w:eastAsia="pl-PL"/>
              </w:rPr>
              <w:t>2</w:t>
            </w:r>
          </w:p>
        </w:tc>
        <w:tc>
          <w:tcPr>
            <w:tcW w:w="1413" w:type="dxa"/>
            <w:noWrap/>
          </w:tcPr>
          <w:p w14:paraId="431A25F5" w14:textId="77777777" w:rsidR="006A1007" w:rsidRPr="00D97684" w:rsidRDefault="006A1007" w:rsidP="00D9768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rFonts w:cstheme="minorHAnsi"/>
                <w:szCs w:val="24"/>
                <w:lang w:eastAsia="pl-PL"/>
              </w:rPr>
            </w:pPr>
            <w:r w:rsidRPr="00D97684">
              <w:rPr>
                <w:rFonts w:cstheme="minorHAnsi"/>
                <w:szCs w:val="24"/>
                <w:lang w:eastAsia="pl-PL"/>
              </w:rPr>
              <w:t>190,58</w:t>
            </w:r>
          </w:p>
        </w:tc>
        <w:tc>
          <w:tcPr>
            <w:tcW w:w="993" w:type="dxa"/>
            <w:gridSpan w:val="2"/>
          </w:tcPr>
          <w:p w14:paraId="5D2EFEFF" w14:textId="77777777" w:rsidR="006A1007" w:rsidRPr="00D97684" w:rsidRDefault="006A1007" w:rsidP="00D9768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rFonts w:cstheme="minorHAnsi"/>
                <w:szCs w:val="24"/>
                <w:lang w:eastAsia="pl-PL"/>
              </w:rPr>
            </w:pPr>
            <w:r w:rsidRPr="00D97684">
              <w:rPr>
                <w:rFonts w:cstheme="minorHAnsi"/>
                <w:szCs w:val="24"/>
                <w:lang w:eastAsia="pl-PL"/>
              </w:rPr>
              <w:t>1</w:t>
            </w:r>
          </w:p>
        </w:tc>
        <w:tc>
          <w:tcPr>
            <w:tcW w:w="1238" w:type="dxa"/>
          </w:tcPr>
          <w:p w14:paraId="6EF9520D" w14:textId="77777777" w:rsidR="006A1007" w:rsidRPr="00D97684" w:rsidRDefault="006A1007" w:rsidP="00D9768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rFonts w:cstheme="minorHAnsi"/>
                <w:szCs w:val="24"/>
                <w:lang w:eastAsia="pl-PL"/>
              </w:rPr>
            </w:pPr>
            <w:r w:rsidRPr="00D97684">
              <w:rPr>
                <w:rFonts w:cstheme="minorHAnsi"/>
                <w:szCs w:val="24"/>
                <w:lang w:eastAsia="pl-PL"/>
              </w:rPr>
              <w:t>0,30</w:t>
            </w:r>
          </w:p>
        </w:tc>
        <w:tc>
          <w:tcPr>
            <w:tcW w:w="1417" w:type="dxa"/>
          </w:tcPr>
          <w:p w14:paraId="6DCDBF9F" w14:textId="77777777" w:rsidR="006A1007" w:rsidRPr="00D97684" w:rsidRDefault="006A1007" w:rsidP="00D97684">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rPr>
                <w:rFonts w:cstheme="minorHAnsi"/>
                <w:szCs w:val="24"/>
                <w:lang w:eastAsia="pl-PL"/>
              </w:rPr>
            </w:pPr>
            <w:r w:rsidRPr="00D97684">
              <w:rPr>
                <w:rFonts w:cstheme="minorHAnsi"/>
                <w:szCs w:val="24"/>
                <w:lang w:eastAsia="pl-PL"/>
              </w:rPr>
              <w:t>2</w:t>
            </w:r>
          </w:p>
        </w:tc>
      </w:tr>
    </w:tbl>
    <w:p w14:paraId="08959FF8" w14:textId="090872ED" w:rsidR="006A1007" w:rsidRPr="00733091" w:rsidRDefault="006A1007" w:rsidP="00733091">
      <w:pPr>
        <w:pStyle w:val="podpiselementu"/>
        <w:spacing w:after="240"/>
        <w:rPr>
          <w:lang w:val="pl-PL"/>
        </w:rPr>
      </w:pPr>
      <w:r w:rsidRPr="00733091">
        <w:rPr>
          <w:lang w:val="pl-PL"/>
        </w:rPr>
        <w:t>Źrodło: opracowanie ZMP na podstawie danych z BDL</w:t>
      </w:r>
    </w:p>
    <w:p w14:paraId="40E5048C" w14:textId="77777777" w:rsidR="00C16CB1" w:rsidRDefault="00C16CB1" w:rsidP="002E24A9">
      <w:pPr>
        <w:pStyle w:val="Legenda"/>
        <w:rPr>
          <w:lang w:val="pl-PL"/>
        </w:rPr>
        <w:sectPr w:rsidR="00C16CB1" w:rsidSect="00427A68">
          <w:pgSz w:w="16838" w:h="11906" w:orient="landscape"/>
          <w:pgMar w:top="1418" w:right="1418" w:bottom="1418" w:left="1701" w:header="709" w:footer="709" w:gutter="0"/>
          <w:cols w:space="708"/>
          <w:docGrid w:linePitch="360"/>
        </w:sectPr>
      </w:pPr>
    </w:p>
    <w:p w14:paraId="263545CB" w14:textId="7A70A582" w:rsidR="001E162D" w:rsidRPr="00733091" w:rsidRDefault="00E82F94" w:rsidP="00733091">
      <w:pPr>
        <w:pStyle w:val="Nagwek3"/>
        <w:spacing w:after="240"/>
        <w:rPr>
          <w:lang w:val="pl-PL"/>
        </w:rPr>
      </w:pPr>
      <w:bookmarkStart w:id="115" w:name="_Toc69725444"/>
      <w:r w:rsidRPr="00733091">
        <w:rPr>
          <w:lang w:val="pl-PL"/>
        </w:rPr>
        <w:lastRenderedPageBreak/>
        <w:t>Rynek pracy i kwalifikacje siły roboczej</w:t>
      </w:r>
      <w:bookmarkEnd w:id="115"/>
    </w:p>
    <w:p w14:paraId="0C93A467" w14:textId="44585113" w:rsidR="006A1007" w:rsidRPr="00733091" w:rsidRDefault="006A1007" w:rsidP="00733091">
      <w:pPr>
        <w:rPr>
          <w:lang w:val="pl-PL"/>
        </w:rPr>
      </w:pPr>
      <w:r w:rsidRPr="00733091">
        <w:rPr>
          <w:lang w:val="pl-PL"/>
        </w:rPr>
        <w:t xml:space="preserve">Zrównoważony rynek pracy jest czynnikiem istotnym dla rozwoju lokalnej gospodarki, a jednocześnie należy do najważniejszych czynników determinujących jakość życia. Sytuacja na rynku pracy immanentnie związana jest z demografią (która z jednej strony może kształtować rynek pracy, a z drugiej być od niego </w:t>
      </w:r>
      <w:r w:rsidR="00C6675B">
        <w:rPr>
          <w:lang w:val="pl-PL"/>
        </w:rPr>
        <w:br/>
      </w:r>
      <w:r w:rsidRPr="00733091">
        <w:rPr>
          <w:lang w:val="pl-PL"/>
        </w:rPr>
        <w:t>w</w:t>
      </w:r>
      <w:r w:rsidR="00C6675B">
        <w:rPr>
          <w:lang w:val="pl-PL"/>
        </w:rPr>
        <w:t xml:space="preserve"> </w:t>
      </w:r>
      <w:r w:rsidRPr="00733091">
        <w:rPr>
          <w:lang w:val="pl-PL"/>
        </w:rPr>
        <w:t>pewnym stopniu zależna), popytem na różnego rodzaju dobra i usługi oraz gotowością lokalnych przedsiębiorstw do zwiększania produkcji i zatrudnienia.</w:t>
      </w:r>
    </w:p>
    <w:p w14:paraId="64C34DE4" w14:textId="0E34674E" w:rsidR="001E162D" w:rsidRPr="00D97684" w:rsidRDefault="006A1007" w:rsidP="00D97684">
      <w:pPr>
        <w:rPr>
          <w:rFonts w:eastAsiaTheme="minorEastAsia"/>
          <w:shd w:val="clear" w:color="auto" w:fill="FFFFFF"/>
          <w:lang w:val="pl-PL"/>
        </w:rPr>
      </w:pPr>
      <w:r w:rsidRPr="00733091">
        <w:rPr>
          <w:rFonts w:eastAsiaTheme="minorEastAsia"/>
          <w:shd w:val="clear" w:color="auto" w:fill="FFFFFF"/>
          <w:lang w:val="pl-PL"/>
        </w:rPr>
        <w:t xml:space="preserve">Rynek pracy w Południowych Mazurach zostanie przeanalizowany pod kątem podaży i popytu na pracę, jako elementów warunkujących równowagę na rynku pracy. </w:t>
      </w:r>
      <w:hyperlink r:id="rId118" w:history="1">
        <w:r w:rsidRPr="00733091">
          <w:rPr>
            <w:rFonts w:eastAsiaTheme="minorEastAsia"/>
            <w:lang w:val="pl-PL"/>
          </w:rPr>
          <w:t>Podaż pracy</w:t>
        </w:r>
      </w:hyperlink>
      <w:r w:rsidRPr="00733091">
        <w:rPr>
          <w:rFonts w:eastAsiaTheme="minorEastAsia"/>
          <w:shd w:val="clear" w:color="auto" w:fill="FFFFFF"/>
          <w:lang w:val="pl-PL"/>
        </w:rPr>
        <w:t xml:space="preserve"> jest tożsama z pojęciem zasobów siły roboczej, na które składa się ogół ludności zawodowo czynnej. </w:t>
      </w:r>
      <w:hyperlink r:id="rId119" w:history="1">
        <w:r w:rsidRPr="00733091">
          <w:rPr>
            <w:rFonts w:eastAsiaTheme="minorEastAsia"/>
            <w:lang w:val="pl-PL"/>
          </w:rPr>
          <w:t>Popyt na pracę</w:t>
        </w:r>
      </w:hyperlink>
      <w:r w:rsidRPr="00733091">
        <w:rPr>
          <w:rFonts w:eastAsiaTheme="minorEastAsia"/>
          <w:shd w:val="clear" w:color="auto" w:fill="FFFFFF"/>
          <w:lang w:val="pl-PL"/>
        </w:rPr>
        <w:t xml:space="preserve"> to zapotrzebowanie na potencjał ludzi zdolnych do pracy. W praktyce jest on równy liczbie oferowanych miejsc pracy (wolnych i zajętych) w gospodarce.</w:t>
      </w:r>
    </w:p>
    <w:p w14:paraId="5800A836" w14:textId="6AA96780" w:rsidR="001E162D" w:rsidRPr="00690E7F" w:rsidRDefault="008737A7" w:rsidP="00733091">
      <w:pPr>
        <w:pStyle w:val="Nagwek4"/>
        <w:spacing w:before="120" w:after="240"/>
      </w:pPr>
      <w:r w:rsidRPr="008737A7">
        <w:t>Podaż pracy. Kwalifikacje siły roboczej</w:t>
      </w:r>
    </w:p>
    <w:p w14:paraId="37D8E7BB" w14:textId="0B2B10E9" w:rsidR="006A1007" w:rsidRPr="00733091" w:rsidRDefault="006A1007" w:rsidP="00733091">
      <w:pPr>
        <w:rPr>
          <w:b/>
          <w:bCs/>
          <w:lang w:val="pl-PL"/>
        </w:rPr>
      </w:pPr>
      <w:r w:rsidRPr="00733091">
        <w:rPr>
          <w:lang w:val="pl-PL"/>
        </w:rPr>
        <w:t xml:space="preserve">W 2019 r. ludność Południowych Mazur stanowiły głównie osoby w wieku produkcyjnym (62,04%) i poprodukcyjnym (19,35%); najmniej było osób w wieku przedprodukcyjnym (18,60%). </w:t>
      </w:r>
      <w:r w:rsidRPr="00733091">
        <w:rPr>
          <w:b/>
          <w:bCs/>
          <w:lang w:val="pl-PL"/>
        </w:rPr>
        <w:t xml:space="preserve">Struktura funkcjonalnych grup mieszkańców Południowych Mazur była korzystniejsza </w:t>
      </w:r>
      <w:r w:rsidRPr="00733091">
        <w:rPr>
          <w:lang w:val="pl-PL"/>
        </w:rPr>
        <w:t xml:space="preserve">od struktury produkcyjnej mieszkańców województwa warmińsko-mazurskiego (61,2% osób w wieku produkcyjnym, 20,5% osób w wieku poprodukcyjnym oraz 18,2% w wieku przedprodukcyjnym). </w:t>
      </w:r>
      <w:r w:rsidRPr="00733091">
        <w:rPr>
          <w:lang w:val="pl-PL"/>
        </w:rPr>
        <w:br/>
        <w:t xml:space="preserve">W badanym okresie (2009-2019) populacja mieszkańców Południowych Mazur </w:t>
      </w:r>
      <w:r w:rsidR="00C6675B">
        <w:rPr>
          <w:lang w:val="pl-PL"/>
        </w:rPr>
        <w:br/>
      </w:r>
      <w:r w:rsidRPr="00733091">
        <w:rPr>
          <w:lang w:val="pl-PL"/>
        </w:rPr>
        <w:t>w wieku przedprodukcyjnym zmalała o 15,98%, produkcyjnym – o 3,55%; wzrosła natomiast populacja osób w wieku poprodukcyjnym (o 36,25% - efekt starzenia się społeczeństwa) – wykres poniżej.</w:t>
      </w:r>
    </w:p>
    <w:p w14:paraId="173EB3B3" w14:textId="5B2EAC40" w:rsidR="006A1007" w:rsidRPr="00733091" w:rsidRDefault="00E50187" w:rsidP="002E24A9">
      <w:pPr>
        <w:pStyle w:val="Legenda"/>
        <w:rPr>
          <w:rFonts w:cstheme="minorHAnsi"/>
          <w:color w:val="000000"/>
          <w:lang w:val="pl-PL"/>
        </w:rPr>
      </w:pPr>
      <w:bookmarkStart w:id="116" w:name="_Toc69723199"/>
      <w:r w:rsidRPr="00733091">
        <w:rPr>
          <w:lang w:val="pl-PL"/>
        </w:rPr>
        <w:t xml:space="preserve">Wykres </w:t>
      </w:r>
      <w:r w:rsidR="00733091">
        <w:fldChar w:fldCharType="begin"/>
      </w:r>
      <w:r w:rsidR="00733091" w:rsidRPr="00733091">
        <w:rPr>
          <w:lang w:val="pl-PL"/>
        </w:rPr>
        <w:instrText xml:space="preserve"> SEQ Wykres \* ARABIC </w:instrText>
      </w:r>
      <w:r w:rsidR="00733091">
        <w:fldChar w:fldCharType="separate"/>
      </w:r>
      <w:r w:rsidR="00B14787">
        <w:rPr>
          <w:noProof/>
          <w:lang w:val="pl-PL"/>
        </w:rPr>
        <w:t>41</w:t>
      </w:r>
      <w:r w:rsidR="00733091">
        <w:rPr>
          <w:noProof/>
        </w:rPr>
        <w:fldChar w:fldCharType="end"/>
      </w:r>
      <w:r w:rsidRPr="00733091">
        <w:rPr>
          <w:lang w:val="pl-PL"/>
        </w:rPr>
        <w:t xml:space="preserve">: </w:t>
      </w:r>
      <w:r w:rsidR="006A1007" w:rsidRPr="00733091">
        <w:rPr>
          <w:lang w:val="pl-PL"/>
        </w:rPr>
        <w:t>Produkcyjne grupy wieku mieszkańców Południowych Mazur w latach 2009-2019</w:t>
      </w:r>
      <w:bookmarkEnd w:id="116"/>
    </w:p>
    <w:p w14:paraId="704B024E" w14:textId="20AB4101" w:rsidR="006A1007" w:rsidRPr="009F2D1C" w:rsidRDefault="006A1007" w:rsidP="00733091">
      <w:pPr>
        <w:pStyle w:val="podpiselementu"/>
        <w:spacing w:after="240"/>
        <w:rPr>
          <w:rFonts w:cstheme="minorHAnsi"/>
          <w:color w:val="000000"/>
          <w:highlight w:val="yellow"/>
          <w:lang w:val="pl-PL"/>
        </w:rPr>
      </w:pPr>
      <w:r>
        <w:rPr>
          <w:noProof/>
        </w:rPr>
        <w:drawing>
          <wp:inline distT="0" distB="0" distL="0" distR="0" wp14:anchorId="4FC26B1E" wp14:editId="6F13AB7B">
            <wp:extent cx="5760720" cy="2205990"/>
            <wp:effectExtent l="19050" t="19050" r="11430" b="22860"/>
            <wp:docPr id="39" name="Obraz 39" descr="wykres liniowy wskazujący produkcyjne grupy wieku mieszkańców Południowych Mazur w latach 2009-2019; kolorem zielonym zaznaczona jest ludność w wieku produkcyjnym, kolorem niebieskim – ludność w wieku przedprodukcyjnym, a szarym – w wieku poprodukcyj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Obraz 39" descr="wykres liniowy wskazujący produkcyjne grupy wieku mieszkańców Południowych Mazur w latach 2009-2019; kolorem zielonym zaznaczona jest ludność w wieku produkcyjnym, kolorem niebieskim – ludność w wieku przedprodukcyjnym, a szarym – w wieku poprodukcyjnym"/>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760720" cy="2205990"/>
                    </a:xfrm>
                    <a:prstGeom prst="rect">
                      <a:avLst/>
                    </a:prstGeom>
                    <a:noFill/>
                    <a:ln>
                      <a:solidFill>
                        <a:schemeClr val="tx2"/>
                      </a:solidFill>
                    </a:ln>
                  </pic:spPr>
                </pic:pic>
              </a:graphicData>
            </a:graphic>
          </wp:inline>
        </w:drawing>
      </w:r>
      <w:r w:rsidRPr="00733091">
        <w:rPr>
          <w:lang w:val="pl-PL"/>
        </w:rPr>
        <w:t>Źródło: opracowanie ZMP na podstawie https://analizy.monitorrozwoju.pl</w:t>
      </w:r>
    </w:p>
    <w:p w14:paraId="6FD7BD46" w14:textId="77777777" w:rsidR="006A1007" w:rsidRPr="00733091" w:rsidRDefault="006A1007" w:rsidP="00E736E3">
      <w:pPr>
        <w:ind w:left="0"/>
        <w:contextualSpacing/>
        <w:rPr>
          <w:rFonts w:cstheme="minorHAnsi"/>
          <w:b/>
          <w:bCs/>
          <w:color w:val="000000"/>
          <w:lang w:val="pl-PL"/>
        </w:rPr>
      </w:pPr>
    </w:p>
    <w:p w14:paraId="42852C2D" w14:textId="6D80A7C2" w:rsidR="006A1007" w:rsidRPr="00733091" w:rsidRDefault="006A1007" w:rsidP="00733091">
      <w:pPr>
        <w:contextualSpacing/>
        <w:rPr>
          <w:rFonts w:cstheme="minorHAnsi"/>
          <w:b/>
          <w:bCs/>
          <w:color w:val="000000"/>
          <w:lang w:val="pl-PL"/>
        </w:rPr>
      </w:pPr>
      <w:r w:rsidRPr="00733091">
        <w:rPr>
          <w:rFonts w:cstheme="minorHAnsi"/>
          <w:b/>
          <w:bCs/>
          <w:color w:val="000000"/>
          <w:lang w:val="pl-PL"/>
        </w:rPr>
        <w:t>Zmiany struktury funkcjonalnych grup ludności</w:t>
      </w:r>
      <w:r w:rsidRPr="00733091">
        <w:rPr>
          <w:rFonts w:cstheme="minorHAnsi"/>
          <w:color w:val="000000"/>
          <w:lang w:val="pl-PL"/>
        </w:rPr>
        <w:t xml:space="preserve">, tj. zmniejszająca się liczba osób </w:t>
      </w:r>
      <w:r w:rsidR="00C6675B">
        <w:rPr>
          <w:rFonts w:cstheme="minorHAnsi"/>
          <w:color w:val="000000"/>
          <w:lang w:val="pl-PL"/>
        </w:rPr>
        <w:br/>
      </w:r>
      <w:r w:rsidRPr="00733091">
        <w:rPr>
          <w:rFonts w:cstheme="minorHAnsi"/>
          <w:color w:val="000000"/>
          <w:lang w:val="pl-PL"/>
        </w:rPr>
        <w:t>w wieku produkcyjnym i przedprodukcyjnym</w:t>
      </w:r>
      <w:r w:rsidRPr="00733091">
        <w:rPr>
          <w:lang w:val="pl-PL"/>
        </w:rPr>
        <w:t xml:space="preserve"> oraz rosnąca liczba osób w wieku poprodukcyjnym </w:t>
      </w:r>
      <w:r w:rsidRPr="00733091">
        <w:rPr>
          <w:rFonts w:cstheme="minorHAnsi"/>
          <w:color w:val="000000"/>
          <w:lang w:val="pl-PL"/>
        </w:rPr>
        <w:t xml:space="preserve">mogą mieć </w:t>
      </w:r>
      <w:r w:rsidRPr="00733091">
        <w:rPr>
          <w:rFonts w:cstheme="minorHAnsi"/>
          <w:b/>
          <w:bCs/>
          <w:color w:val="000000"/>
          <w:lang w:val="pl-PL"/>
        </w:rPr>
        <w:t xml:space="preserve">niekorzystny wpływ na rynek pracy – zarówno </w:t>
      </w:r>
      <w:r w:rsidR="00C6675B">
        <w:rPr>
          <w:rFonts w:cstheme="minorHAnsi"/>
          <w:b/>
          <w:bCs/>
          <w:color w:val="000000"/>
          <w:lang w:val="pl-PL"/>
        </w:rPr>
        <w:br/>
      </w:r>
      <w:r w:rsidRPr="00733091">
        <w:rPr>
          <w:rFonts w:cstheme="minorHAnsi"/>
          <w:b/>
          <w:bCs/>
          <w:color w:val="000000"/>
          <w:lang w:val="pl-PL"/>
        </w:rPr>
        <w:t xml:space="preserve">w najbliższych latach, jak i w przyszłości </w:t>
      </w:r>
      <w:r w:rsidRPr="003F5E0D">
        <w:rPr>
          <w:rStyle w:val="Odwoanieprzypisudolnego"/>
          <w:rFonts w:cstheme="minorHAnsi"/>
          <w:b/>
          <w:bCs/>
          <w:color w:val="000000"/>
        </w:rPr>
        <w:footnoteReference w:id="79"/>
      </w:r>
    </w:p>
    <w:p w14:paraId="09FC9D08" w14:textId="77777777" w:rsidR="006A1007" w:rsidRPr="00733091" w:rsidRDefault="006A1007" w:rsidP="00733091">
      <w:pPr>
        <w:contextualSpacing/>
        <w:rPr>
          <w:rFonts w:asciiTheme="majorHAnsi" w:hAnsiTheme="majorHAnsi" w:cstheme="majorHAnsi"/>
          <w:lang w:val="pl-PL"/>
        </w:rPr>
      </w:pPr>
    </w:p>
    <w:p w14:paraId="3B20F7D9" w14:textId="7BB0AF84" w:rsidR="006A1007" w:rsidRPr="00733091" w:rsidRDefault="006A1007" w:rsidP="00733091">
      <w:pPr>
        <w:contextualSpacing/>
        <w:rPr>
          <w:rFonts w:cstheme="minorHAnsi"/>
          <w:lang w:val="pl-PL"/>
        </w:rPr>
      </w:pPr>
      <w:r w:rsidRPr="00733091">
        <w:rPr>
          <w:rFonts w:cstheme="minorHAnsi"/>
          <w:lang w:val="pl-PL"/>
        </w:rPr>
        <w:t xml:space="preserve">Istotny dla rynku pracy jest udział osób w </w:t>
      </w:r>
      <w:r w:rsidRPr="00733091">
        <w:rPr>
          <w:rFonts w:cstheme="minorHAnsi"/>
          <w:b/>
          <w:bCs/>
          <w:lang w:val="pl-PL"/>
        </w:rPr>
        <w:t>wieku produkcyjnym mobilnym</w:t>
      </w:r>
      <w:r w:rsidRPr="00733091">
        <w:rPr>
          <w:rFonts w:cstheme="minorHAnsi"/>
          <w:lang w:val="pl-PL"/>
        </w:rPr>
        <w:t xml:space="preserve"> (18-44 lata) w populacji obszaru. Grupa ta posiada możliwości podnoszenia i zmiany kwalifikacji. Jest ona również skłonna do zmiany miejsca pracy i zamieszkania </w:t>
      </w:r>
      <w:r w:rsidR="00C6675B">
        <w:rPr>
          <w:rFonts w:cstheme="minorHAnsi"/>
          <w:lang w:val="pl-PL"/>
        </w:rPr>
        <w:br/>
      </w:r>
      <w:r w:rsidRPr="00733091">
        <w:rPr>
          <w:rFonts w:cstheme="minorHAnsi"/>
          <w:lang w:val="pl-PL"/>
        </w:rPr>
        <w:t>w przypadku braku atrakcyjnej oferty pracy, w tym warunków płacy.</w:t>
      </w:r>
    </w:p>
    <w:p w14:paraId="7AD125A8" w14:textId="77777777" w:rsidR="006A1007" w:rsidRPr="00733091" w:rsidRDefault="006A1007" w:rsidP="00733091">
      <w:pPr>
        <w:contextualSpacing/>
        <w:rPr>
          <w:rFonts w:cstheme="minorHAnsi"/>
          <w:lang w:val="pl-PL"/>
        </w:rPr>
      </w:pPr>
      <w:r w:rsidRPr="00733091">
        <w:rPr>
          <w:rFonts w:cstheme="minorHAnsi"/>
          <w:lang w:val="pl-PL"/>
        </w:rPr>
        <w:t>W 2019 r. udział osób w wieku produkcyjnym mobilnym wobec ogólnej liczby osób w wieku produkcyjnym wynosił 62,14% (średnia dla województwa warmińsko-mazurskiego – 62,5%). Udział ten maleje od 2009 r. (spadek liczby osób w tym przedziale wiekowym wynosi 5,12 % wobec 2009 r.). Zmniejszająca się liczba osób w wieku produkcyjnym mobilnym (w latach 2020-2050 przewiduje się spadek liczby ludności Południowych Mazur w tym przedziale wiekowym o 42,10% z prognozowanej w 2020 r. - 85.032 do 49.230 w 2050 r.) stanowi duże zagrożenie dla dostępności zasobów siły roboczej na rynku pracy.</w:t>
      </w:r>
    </w:p>
    <w:p w14:paraId="45624E5B" w14:textId="77777777" w:rsidR="0053183F" w:rsidRDefault="0053183F" w:rsidP="00C16CB1">
      <w:pPr>
        <w:contextualSpacing/>
        <w:rPr>
          <w:rFonts w:cstheme="minorHAnsi"/>
          <w:lang w:val="pl-PL"/>
        </w:rPr>
      </w:pPr>
    </w:p>
    <w:p w14:paraId="24D03576" w14:textId="198E27D6" w:rsidR="0053183F" w:rsidRPr="00C6675B" w:rsidRDefault="006A1007" w:rsidP="00C6675B">
      <w:pPr>
        <w:contextualSpacing/>
        <w:rPr>
          <w:rFonts w:cstheme="minorHAnsi"/>
          <w:lang w:val="pl-PL"/>
        </w:rPr>
      </w:pPr>
      <w:r w:rsidRPr="00733091">
        <w:rPr>
          <w:rFonts w:cstheme="minorHAnsi"/>
          <w:lang w:val="pl-PL"/>
        </w:rPr>
        <w:t>Liczbę osób w wieku produkcyjnym mobilnym (18-44 lata) w podziale na powiaty prezentuje tabela</w:t>
      </w:r>
      <w:r w:rsidR="00E736E3">
        <w:rPr>
          <w:rFonts w:cstheme="minorHAnsi"/>
          <w:lang w:val="pl-PL"/>
        </w:rPr>
        <w:t xml:space="preserve"> nr 18</w:t>
      </w:r>
      <w:r w:rsidRPr="00733091">
        <w:rPr>
          <w:rFonts w:cstheme="minorHAnsi"/>
          <w:lang w:val="pl-PL"/>
        </w:rPr>
        <w:t>.</w:t>
      </w:r>
      <w:r w:rsidR="00C6675B">
        <w:rPr>
          <w:rFonts w:cstheme="minorHAnsi"/>
          <w:lang w:val="pl-PL"/>
        </w:rPr>
        <w:br/>
      </w:r>
    </w:p>
    <w:p w14:paraId="333FF0DA" w14:textId="53DB5D7C" w:rsidR="00C6675B" w:rsidRDefault="00C6675B" w:rsidP="00C6675B">
      <w:pPr>
        <w:rPr>
          <w:b/>
          <w:bCs/>
          <w:lang w:val="pl-PL"/>
        </w:rPr>
      </w:pPr>
      <w:r w:rsidRPr="00733091">
        <w:rPr>
          <w:lang w:val="pl-PL"/>
        </w:rPr>
        <w:t xml:space="preserve">O zasobach lokalnego rynku pracy i dostępności siły roboczej – oprócz liczby osób </w:t>
      </w:r>
      <w:r w:rsidR="00AA3128">
        <w:rPr>
          <w:lang w:val="pl-PL"/>
        </w:rPr>
        <w:br/>
      </w:r>
      <w:r w:rsidRPr="00733091">
        <w:rPr>
          <w:lang w:val="pl-PL"/>
        </w:rPr>
        <w:t xml:space="preserve">w wieku produkcyjnym, w tym mobilnym - świadczy także </w:t>
      </w:r>
      <w:r w:rsidRPr="00733091">
        <w:rPr>
          <w:b/>
          <w:bCs/>
          <w:lang w:val="pl-PL"/>
        </w:rPr>
        <w:t>różnica liczby mieszkańców w wieku 20-24 i 60-64 lat na 1000 mieszkańców obszaru</w:t>
      </w:r>
      <w:r w:rsidRPr="00733091">
        <w:rPr>
          <w:lang w:val="pl-PL"/>
        </w:rPr>
        <w:t xml:space="preserve">. Jest to różnica między liczebnością grupy osób rozpoczynających aktywność ekonomiczną </w:t>
      </w:r>
      <w:r w:rsidR="00AA3128">
        <w:rPr>
          <w:lang w:val="pl-PL"/>
        </w:rPr>
        <w:br/>
      </w:r>
      <w:r w:rsidRPr="00733091">
        <w:rPr>
          <w:lang w:val="pl-PL"/>
        </w:rPr>
        <w:t xml:space="preserve">i grupy ją kończącej. W Południowych Mazurach w okresie 2009-2019 różnica ta maleje, osiągając od 2017 r. wartości ujemne. </w:t>
      </w:r>
      <w:r w:rsidRPr="00733091">
        <w:rPr>
          <w:b/>
          <w:bCs/>
          <w:lang w:val="pl-PL"/>
        </w:rPr>
        <w:t>Oznacza to niską dostępność lokalnej siły roboczej (ludzi młodych), a co z tym związane niską zastępowalnoś</w:t>
      </w:r>
      <w:r>
        <w:rPr>
          <w:b/>
          <w:bCs/>
          <w:lang w:val="pl-PL"/>
        </w:rPr>
        <w:t xml:space="preserve">ć </w:t>
      </w:r>
      <w:r w:rsidRPr="00733091">
        <w:rPr>
          <w:b/>
          <w:bCs/>
          <w:lang w:val="pl-PL"/>
        </w:rPr>
        <w:t>(wymianę) pokoleń na rynku pracy, zarówno obecnie, jak i w przyszłości.</w:t>
      </w:r>
    </w:p>
    <w:p w14:paraId="1AE18DA4" w14:textId="1D205C72" w:rsidR="00C6675B" w:rsidRPr="00AA3128" w:rsidRDefault="00AA3128" w:rsidP="00AA3128">
      <w:pPr>
        <w:rPr>
          <w:b/>
          <w:bCs/>
          <w:lang w:val="pl-PL"/>
        </w:rPr>
        <w:sectPr w:rsidR="00C6675B" w:rsidRPr="00AA3128" w:rsidSect="00C16CB1">
          <w:pgSz w:w="11906" w:h="16838"/>
          <w:pgMar w:top="1418" w:right="1418" w:bottom="1701" w:left="1418" w:header="709" w:footer="709" w:gutter="0"/>
          <w:cols w:space="708"/>
          <w:docGrid w:linePitch="360"/>
        </w:sectPr>
      </w:pPr>
      <w:r>
        <w:rPr>
          <w:lang w:val="pl-PL"/>
        </w:rPr>
        <w:t xml:space="preserve">Niekorzystna </w:t>
      </w:r>
      <w:r w:rsidRPr="00AA3128">
        <w:rPr>
          <w:rFonts w:ascii="Calibri" w:eastAsia="Times New Roman" w:hAnsi="Calibri" w:cs="Times New Roman"/>
          <w:szCs w:val="24"/>
          <w:lang w:val="pl-PL" w:eastAsia="pl-PL"/>
        </w:rPr>
        <w:t>t</w:t>
      </w:r>
      <w:r w:rsidR="00C6675B" w:rsidRPr="00C6675B">
        <w:rPr>
          <w:rFonts w:ascii="Calibri" w:eastAsia="Times New Roman" w:hAnsi="Calibri" w:cs="Times New Roman"/>
          <w:szCs w:val="24"/>
          <w:lang w:val="pl-PL" w:eastAsia="pl-PL"/>
        </w:rPr>
        <w:t>endencja wynikająca z zastępowalności pokoleń może być</w:t>
      </w:r>
      <w:r>
        <w:rPr>
          <w:rFonts w:ascii="Calibri" w:eastAsia="Times New Roman" w:hAnsi="Calibri" w:cs="Times New Roman"/>
          <w:szCs w:val="24"/>
          <w:lang w:val="pl-PL" w:eastAsia="pl-PL"/>
        </w:rPr>
        <w:t xml:space="preserve"> </w:t>
      </w:r>
      <w:r w:rsidR="00C6675B" w:rsidRPr="00C6675B">
        <w:rPr>
          <w:rFonts w:ascii="Calibri" w:eastAsia="Times New Roman" w:hAnsi="Calibri" w:cs="Times New Roman"/>
          <w:szCs w:val="24"/>
          <w:lang w:val="pl-PL" w:eastAsia="pl-PL"/>
        </w:rPr>
        <w:t xml:space="preserve">wzmocniona migracjami </w:t>
      </w:r>
      <w:r>
        <w:rPr>
          <w:rFonts w:ascii="Calibri" w:eastAsia="Times New Roman" w:hAnsi="Calibri" w:cs="Times New Roman"/>
          <w:szCs w:val="24"/>
          <w:lang w:val="pl-PL" w:eastAsia="pl-PL"/>
        </w:rPr>
        <w:t xml:space="preserve">ludzi </w:t>
      </w:r>
      <w:r w:rsidR="00C6675B" w:rsidRPr="00C6675B">
        <w:rPr>
          <w:rFonts w:ascii="Calibri" w:eastAsia="Times New Roman" w:hAnsi="Calibri" w:cs="Times New Roman"/>
          <w:szCs w:val="24"/>
          <w:lang w:val="pl-PL" w:eastAsia="pl-PL"/>
        </w:rPr>
        <w:t>młodych</w:t>
      </w:r>
      <w:r>
        <w:rPr>
          <w:rFonts w:ascii="Calibri" w:eastAsia="Times New Roman" w:hAnsi="Calibri" w:cs="Times New Roman"/>
          <w:szCs w:val="24"/>
          <w:lang w:val="pl-PL" w:eastAsia="pl-PL"/>
        </w:rPr>
        <w:t xml:space="preserve"> (większość uczniów ostatnich klas szkół ponadpodstawowych biorących udział w badaniu zamiesza opuścić teren Południowych Mazur w celu kontunuowania nauki lub podjęcia pracy).</w:t>
      </w:r>
    </w:p>
    <w:p w14:paraId="1C362B99" w14:textId="0BE20F60" w:rsidR="0053183F" w:rsidRPr="00733091" w:rsidRDefault="0053183F" w:rsidP="002E24A9">
      <w:pPr>
        <w:pStyle w:val="Legenda"/>
        <w:rPr>
          <w:lang w:val="pl-PL"/>
        </w:rPr>
      </w:pPr>
      <w:bookmarkStart w:id="117" w:name="_Toc69723267"/>
      <w:r w:rsidRPr="00733091">
        <w:rPr>
          <w:lang w:val="pl-PL"/>
        </w:rPr>
        <w:lastRenderedPageBreak/>
        <w:t xml:space="preserve">Tabela </w:t>
      </w:r>
      <w:r>
        <w:fldChar w:fldCharType="begin"/>
      </w:r>
      <w:r w:rsidRPr="00733091">
        <w:rPr>
          <w:lang w:val="pl-PL"/>
        </w:rPr>
        <w:instrText xml:space="preserve"> SEQ Tabela \* ARABIC </w:instrText>
      </w:r>
      <w:r>
        <w:fldChar w:fldCharType="separate"/>
      </w:r>
      <w:r w:rsidR="00B14787">
        <w:rPr>
          <w:noProof/>
          <w:lang w:val="pl-PL"/>
        </w:rPr>
        <w:t>18</w:t>
      </w:r>
      <w:r>
        <w:rPr>
          <w:noProof/>
        </w:rPr>
        <w:fldChar w:fldCharType="end"/>
      </w:r>
      <w:r w:rsidRPr="00733091">
        <w:rPr>
          <w:lang w:val="pl-PL"/>
        </w:rPr>
        <w:t>: Osoby w wieku produkcyjnym mobilnym w Południowych Mazurach w latach 2015-2019</w:t>
      </w:r>
      <w:bookmarkEnd w:id="117"/>
    </w:p>
    <w:tbl>
      <w:tblPr>
        <w:tblStyle w:val="CWD"/>
        <w:tblpPr w:leftFromText="141" w:rightFromText="141" w:vertAnchor="text" w:tblpY="1"/>
        <w:tblOverlap w:val="never"/>
        <w:tblW w:w="4781" w:type="pct"/>
        <w:tblLook w:val="04A0" w:firstRow="1" w:lastRow="0" w:firstColumn="1" w:lastColumn="0" w:noHBand="0" w:noVBand="1"/>
      </w:tblPr>
      <w:tblGrid>
        <w:gridCol w:w="2300"/>
        <w:gridCol w:w="982"/>
        <w:gridCol w:w="982"/>
        <w:gridCol w:w="982"/>
        <w:gridCol w:w="982"/>
        <w:gridCol w:w="983"/>
        <w:gridCol w:w="983"/>
        <w:gridCol w:w="983"/>
        <w:gridCol w:w="983"/>
        <w:gridCol w:w="983"/>
        <w:gridCol w:w="983"/>
        <w:gridCol w:w="983"/>
      </w:tblGrid>
      <w:tr w:rsidR="0053183F" w:rsidRPr="00A5570A" w14:paraId="0A5CD9CB" w14:textId="77777777" w:rsidTr="00CE0F0B">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271" w:type="dxa"/>
            <w:vMerge w:val="restart"/>
            <w:shd w:val="clear" w:color="auto" w:fill="FFC000"/>
          </w:tcPr>
          <w:p w14:paraId="65334381" w14:textId="77777777" w:rsidR="0053183F" w:rsidRPr="00BA1554" w:rsidRDefault="0053183F" w:rsidP="00CE0F0B">
            <w:pPr>
              <w:pStyle w:val="elementgraficznytabela"/>
              <w:spacing w:after="240"/>
              <w:rPr>
                <w:rFonts w:cstheme="minorHAnsi"/>
                <w:bCs/>
                <w:lang w:eastAsia="pl-PL"/>
              </w:rPr>
            </w:pPr>
            <w:r w:rsidRPr="00BA1554">
              <w:rPr>
                <w:rFonts w:cstheme="minorHAnsi"/>
                <w:bCs/>
                <w:lang w:eastAsia="pl-PL"/>
              </w:rPr>
              <w:t>Jednostka samorządu</w:t>
            </w:r>
            <w:r w:rsidRPr="00BA1554">
              <w:rPr>
                <w:rFonts w:cstheme="minorHAnsi"/>
                <w:bCs/>
                <w:lang w:eastAsia="pl-PL"/>
              </w:rPr>
              <w:br/>
              <w:t>terytorialnego</w:t>
            </w:r>
          </w:p>
        </w:tc>
        <w:tc>
          <w:tcPr>
            <w:tcW w:w="7392" w:type="dxa"/>
            <w:gridSpan w:val="11"/>
            <w:shd w:val="clear" w:color="auto" w:fill="FFC000"/>
          </w:tcPr>
          <w:p w14:paraId="7AB1998E" w14:textId="77777777" w:rsidR="0053183F" w:rsidRPr="00BA1554" w:rsidRDefault="0053183F" w:rsidP="00CE0F0B">
            <w:pPr>
              <w:pStyle w:val="elementgraficznytabela"/>
              <w:spacing w:after="240"/>
              <w:jc w:val="center"/>
              <w:cnfStyle w:val="100000000000" w:firstRow="1" w:lastRow="0" w:firstColumn="0" w:lastColumn="0" w:oddVBand="0" w:evenVBand="0" w:oddHBand="0" w:evenHBand="0" w:firstRowFirstColumn="0" w:firstRowLastColumn="0" w:lastRowFirstColumn="0" w:lastRowLastColumn="0"/>
              <w:rPr>
                <w:rFonts w:cstheme="minorHAnsi"/>
                <w:bCs/>
                <w:lang w:eastAsia="pl-PL"/>
              </w:rPr>
            </w:pPr>
            <w:r w:rsidRPr="00BA1554">
              <w:rPr>
                <w:rFonts w:cstheme="minorHAnsi"/>
                <w:bCs/>
                <w:lang w:eastAsia="pl-PL"/>
              </w:rPr>
              <w:t>Lata</w:t>
            </w:r>
          </w:p>
        </w:tc>
      </w:tr>
      <w:tr w:rsidR="0053183F" w:rsidRPr="00A5570A" w14:paraId="794F9583" w14:textId="77777777" w:rsidTr="00CE0F0B">
        <w:trPr>
          <w:cantSplit/>
          <w:trHeight w:val="1134"/>
        </w:trPr>
        <w:tc>
          <w:tcPr>
            <w:cnfStyle w:val="001000000000" w:firstRow="0" w:lastRow="0" w:firstColumn="1" w:lastColumn="0" w:oddVBand="0" w:evenVBand="0" w:oddHBand="0" w:evenHBand="0" w:firstRowFirstColumn="0" w:firstRowLastColumn="0" w:lastRowFirstColumn="0" w:lastRowLastColumn="0"/>
            <w:tcW w:w="1271" w:type="dxa"/>
            <w:vMerge/>
            <w:shd w:val="clear" w:color="auto" w:fill="FFC000"/>
            <w:hideMark/>
          </w:tcPr>
          <w:p w14:paraId="271C084E" w14:textId="77777777" w:rsidR="0053183F" w:rsidRPr="00BA1554" w:rsidRDefault="0053183F" w:rsidP="00CE0F0B">
            <w:pPr>
              <w:pStyle w:val="elementgraficznytabela"/>
              <w:spacing w:after="240"/>
              <w:rPr>
                <w:rFonts w:cstheme="minorHAnsi"/>
                <w:bCs/>
                <w:lang w:eastAsia="pl-PL"/>
              </w:rPr>
            </w:pPr>
          </w:p>
        </w:tc>
        <w:tc>
          <w:tcPr>
            <w:tcW w:w="634" w:type="dxa"/>
            <w:shd w:val="clear" w:color="auto" w:fill="FFC000"/>
            <w:hideMark/>
          </w:tcPr>
          <w:p w14:paraId="79775DB7" w14:textId="77777777" w:rsidR="0053183F" w:rsidRPr="00BA1554" w:rsidRDefault="0053183F" w:rsidP="00CE0F0B">
            <w:pPr>
              <w:pStyle w:val="elementgraficznytabela"/>
              <w:spacing w:after="240"/>
              <w:jc w:val="center"/>
              <w:cnfStyle w:val="000000000000" w:firstRow="0" w:lastRow="0" w:firstColumn="0" w:lastColumn="0" w:oddVBand="0" w:evenVBand="0" w:oddHBand="0" w:evenHBand="0" w:firstRowFirstColumn="0" w:firstRowLastColumn="0" w:lastRowFirstColumn="0" w:lastRowLastColumn="0"/>
              <w:rPr>
                <w:rFonts w:cstheme="minorHAnsi"/>
                <w:b/>
                <w:bCs/>
                <w:szCs w:val="24"/>
                <w:lang w:eastAsia="pl-PL"/>
              </w:rPr>
            </w:pPr>
            <w:r w:rsidRPr="00BA1554">
              <w:rPr>
                <w:rFonts w:cstheme="minorHAnsi"/>
                <w:b/>
                <w:bCs/>
                <w:szCs w:val="24"/>
                <w:lang w:eastAsia="pl-PL"/>
              </w:rPr>
              <w:t>2009</w:t>
            </w:r>
          </w:p>
        </w:tc>
        <w:tc>
          <w:tcPr>
            <w:tcW w:w="676" w:type="dxa"/>
            <w:shd w:val="clear" w:color="auto" w:fill="FFC000"/>
            <w:hideMark/>
          </w:tcPr>
          <w:p w14:paraId="73533D53" w14:textId="77777777" w:rsidR="0053183F" w:rsidRPr="00BA1554" w:rsidRDefault="0053183F" w:rsidP="00CE0F0B">
            <w:pPr>
              <w:pStyle w:val="elementgraficznytabela"/>
              <w:spacing w:after="240"/>
              <w:jc w:val="center"/>
              <w:cnfStyle w:val="000000000000" w:firstRow="0" w:lastRow="0" w:firstColumn="0" w:lastColumn="0" w:oddVBand="0" w:evenVBand="0" w:oddHBand="0" w:evenHBand="0" w:firstRowFirstColumn="0" w:firstRowLastColumn="0" w:lastRowFirstColumn="0" w:lastRowLastColumn="0"/>
              <w:rPr>
                <w:rFonts w:cstheme="minorHAnsi"/>
                <w:b/>
                <w:bCs/>
                <w:szCs w:val="24"/>
                <w:lang w:eastAsia="pl-PL"/>
              </w:rPr>
            </w:pPr>
            <w:r w:rsidRPr="00BA1554">
              <w:rPr>
                <w:rFonts w:cstheme="minorHAnsi"/>
                <w:b/>
                <w:bCs/>
                <w:szCs w:val="24"/>
                <w:lang w:eastAsia="pl-PL"/>
              </w:rPr>
              <w:t>2010</w:t>
            </w:r>
          </w:p>
        </w:tc>
        <w:tc>
          <w:tcPr>
            <w:tcW w:w="676" w:type="dxa"/>
            <w:shd w:val="clear" w:color="auto" w:fill="FFC000"/>
            <w:hideMark/>
          </w:tcPr>
          <w:p w14:paraId="5B647F21" w14:textId="77777777" w:rsidR="0053183F" w:rsidRPr="00BA1554" w:rsidRDefault="0053183F" w:rsidP="00CE0F0B">
            <w:pPr>
              <w:pStyle w:val="elementgraficznytabela"/>
              <w:spacing w:after="240"/>
              <w:jc w:val="center"/>
              <w:cnfStyle w:val="000000000000" w:firstRow="0" w:lastRow="0" w:firstColumn="0" w:lastColumn="0" w:oddVBand="0" w:evenVBand="0" w:oddHBand="0" w:evenHBand="0" w:firstRowFirstColumn="0" w:firstRowLastColumn="0" w:lastRowFirstColumn="0" w:lastRowLastColumn="0"/>
              <w:rPr>
                <w:rFonts w:cstheme="minorHAnsi"/>
                <w:b/>
                <w:bCs/>
                <w:szCs w:val="24"/>
                <w:lang w:eastAsia="pl-PL"/>
              </w:rPr>
            </w:pPr>
            <w:r w:rsidRPr="00BA1554">
              <w:rPr>
                <w:rFonts w:cstheme="minorHAnsi"/>
                <w:b/>
                <w:bCs/>
                <w:szCs w:val="24"/>
                <w:lang w:eastAsia="pl-PL"/>
              </w:rPr>
              <w:t>2011</w:t>
            </w:r>
          </w:p>
        </w:tc>
        <w:tc>
          <w:tcPr>
            <w:tcW w:w="675" w:type="dxa"/>
            <w:shd w:val="clear" w:color="auto" w:fill="FFC000"/>
            <w:hideMark/>
          </w:tcPr>
          <w:p w14:paraId="396DF712" w14:textId="77777777" w:rsidR="0053183F" w:rsidRPr="00BA1554" w:rsidRDefault="0053183F" w:rsidP="00CE0F0B">
            <w:pPr>
              <w:pStyle w:val="elementgraficznytabela"/>
              <w:spacing w:after="240"/>
              <w:jc w:val="center"/>
              <w:cnfStyle w:val="000000000000" w:firstRow="0" w:lastRow="0" w:firstColumn="0" w:lastColumn="0" w:oddVBand="0" w:evenVBand="0" w:oddHBand="0" w:evenHBand="0" w:firstRowFirstColumn="0" w:firstRowLastColumn="0" w:lastRowFirstColumn="0" w:lastRowLastColumn="0"/>
              <w:rPr>
                <w:rFonts w:cstheme="minorHAnsi"/>
                <w:b/>
                <w:bCs/>
                <w:szCs w:val="24"/>
                <w:lang w:eastAsia="pl-PL"/>
              </w:rPr>
            </w:pPr>
            <w:r w:rsidRPr="00BA1554">
              <w:rPr>
                <w:rFonts w:cstheme="minorHAnsi"/>
                <w:b/>
                <w:bCs/>
                <w:szCs w:val="24"/>
                <w:lang w:eastAsia="pl-PL"/>
              </w:rPr>
              <w:t>2012</w:t>
            </w:r>
          </w:p>
        </w:tc>
        <w:tc>
          <w:tcPr>
            <w:tcW w:w="676" w:type="dxa"/>
            <w:shd w:val="clear" w:color="auto" w:fill="FFC000"/>
            <w:hideMark/>
          </w:tcPr>
          <w:p w14:paraId="4AAC3E76" w14:textId="77777777" w:rsidR="0053183F" w:rsidRPr="00BA1554" w:rsidRDefault="0053183F" w:rsidP="00CE0F0B">
            <w:pPr>
              <w:pStyle w:val="elementgraficznytabela"/>
              <w:spacing w:after="240"/>
              <w:jc w:val="center"/>
              <w:cnfStyle w:val="000000000000" w:firstRow="0" w:lastRow="0" w:firstColumn="0" w:lastColumn="0" w:oddVBand="0" w:evenVBand="0" w:oddHBand="0" w:evenHBand="0" w:firstRowFirstColumn="0" w:firstRowLastColumn="0" w:lastRowFirstColumn="0" w:lastRowLastColumn="0"/>
              <w:rPr>
                <w:rFonts w:cstheme="minorHAnsi"/>
                <w:b/>
                <w:bCs/>
                <w:szCs w:val="24"/>
                <w:lang w:eastAsia="pl-PL"/>
              </w:rPr>
            </w:pPr>
            <w:r w:rsidRPr="00BA1554">
              <w:rPr>
                <w:rFonts w:cstheme="minorHAnsi"/>
                <w:b/>
                <w:bCs/>
                <w:szCs w:val="24"/>
                <w:lang w:eastAsia="pl-PL"/>
              </w:rPr>
              <w:t>2013</w:t>
            </w:r>
          </w:p>
        </w:tc>
        <w:tc>
          <w:tcPr>
            <w:tcW w:w="676" w:type="dxa"/>
            <w:shd w:val="clear" w:color="auto" w:fill="FFC000"/>
            <w:hideMark/>
          </w:tcPr>
          <w:p w14:paraId="4CE5154D" w14:textId="77777777" w:rsidR="0053183F" w:rsidRPr="00BA1554" w:rsidRDefault="0053183F" w:rsidP="00CE0F0B">
            <w:pPr>
              <w:pStyle w:val="elementgraficznytabela"/>
              <w:spacing w:after="240"/>
              <w:jc w:val="center"/>
              <w:cnfStyle w:val="000000000000" w:firstRow="0" w:lastRow="0" w:firstColumn="0" w:lastColumn="0" w:oddVBand="0" w:evenVBand="0" w:oddHBand="0" w:evenHBand="0" w:firstRowFirstColumn="0" w:firstRowLastColumn="0" w:lastRowFirstColumn="0" w:lastRowLastColumn="0"/>
              <w:rPr>
                <w:rFonts w:cstheme="minorHAnsi"/>
                <w:b/>
                <w:bCs/>
                <w:szCs w:val="24"/>
                <w:lang w:eastAsia="pl-PL"/>
              </w:rPr>
            </w:pPr>
            <w:r w:rsidRPr="00BA1554">
              <w:rPr>
                <w:rFonts w:cstheme="minorHAnsi"/>
                <w:b/>
                <w:bCs/>
                <w:szCs w:val="24"/>
                <w:lang w:eastAsia="pl-PL"/>
              </w:rPr>
              <w:t>2014</w:t>
            </w:r>
          </w:p>
        </w:tc>
        <w:tc>
          <w:tcPr>
            <w:tcW w:w="676" w:type="dxa"/>
            <w:shd w:val="clear" w:color="auto" w:fill="FFC000"/>
            <w:hideMark/>
          </w:tcPr>
          <w:p w14:paraId="0B6EFC0C" w14:textId="77777777" w:rsidR="0053183F" w:rsidRPr="00BA1554" w:rsidRDefault="0053183F" w:rsidP="00CE0F0B">
            <w:pPr>
              <w:pStyle w:val="elementgraficznytabela"/>
              <w:spacing w:after="240"/>
              <w:jc w:val="center"/>
              <w:cnfStyle w:val="000000000000" w:firstRow="0" w:lastRow="0" w:firstColumn="0" w:lastColumn="0" w:oddVBand="0" w:evenVBand="0" w:oddHBand="0" w:evenHBand="0" w:firstRowFirstColumn="0" w:firstRowLastColumn="0" w:lastRowFirstColumn="0" w:lastRowLastColumn="0"/>
              <w:rPr>
                <w:rFonts w:cstheme="minorHAnsi"/>
                <w:b/>
                <w:bCs/>
                <w:szCs w:val="24"/>
                <w:lang w:eastAsia="pl-PL"/>
              </w:rPr>
            </w:pPr>
            <w:r w:rsidRPr="00BA1554">
              <w:rPr>
                <w:rFonts w:cstheme="minorHAnsi"/>
                <w:b/>
                <w:bCs/>
                <w:szCs w:val="24"/>
                <w:lang w:eastAsia="pl-PL"/>
              </w:rPr>
              <w:t>2015</w:t>
            </w:r>
          </w:p>
        </w:tc>
        <w:tc>
          <w:tcPr>
            <w:tcW w:w="675" w:type="dxa"/>
            <w:shd w:val="clear" w:color="auto" w:fill="FFC000"/>
            <w:hideMark/>
          </w:tcPr>
          <w:p w14:paraId="3BC8205E" w14:textId="77777777" w:rsidR="0053183F" w:rsidRPr="00BA1554" w:rsidRDefault="0053183F" w:rsidP="00CE0F0B">
            <w:pPr>
              <w:pStyle w:val="elementgraficznytabela"/>
              <w:spacing w:after="240"/>
              <w:jc w:val="center"/>
              <w:cnfStyle w:val="000000000000" w:firstRow="0" w:lastRow="0" w:firstColumn="0" w:lastColumn="0" w:oddVBand="0" w:evenVBand="0" w:oddHBand="0" w:evenHBand="0" w:firstRowFirstColumn="0" w:firstRowLastColumn="0" w:lastRowFirstColumn="0" w:lastRowLastColumn="0"/>
              <w:rPr>
                <w:rFonts w:cstheme="minorHAnsi"/>
                <w:b/>
                <w:bCs/>
                <w:szCs w:val="24"/>
                <w:lang w:eastAsia="pl-PL"/>
              </w:rPr>
            </w:pPr>
            <w:r w:rsidRPr="00BA1554">
              <w:rPr>
                <w:rFonts w:cstheme="minorHAnsi"/>
                <w:b/>
                <w:bCs/>
                <w:szCs w:val="24"/>
                <w:lang w:eastAsia="pl-PL"/>
              </w:rPr>
              <w:t>2016</w:t>
            </w:r>
          </w:p>
        </w:tc>
        <w:tc>
          <w:tcPr>
            <w:tcW w:w="676" w:type="dxa"/>
            <w:shd w:val="clear" w:color="auto" w:fill="FFC000"/>
            <w:hideMark/>
          </w:tcPr>
          <w:p w14:paraId="078E7EFC" w14:textId="77777777" w:rsidR="0053183F" w:rsidRPr="00BA1554" w:rsidRDefault="0053183F" w:rsidP="00CE0F0B">
            <w:pPr>
              <w:pStyle w:val="elementgraficznytabela"/>
              <w:spacing w:after="240"/>
              <w:jc w:val="center"/>
              <w:cnfStyle w:val="000000000000" w:firstRow="0" w:lastRow="0" w:firstColumn="0" w:lastColumn="0" w:oddVBand="0" w:evenVBand="0" w:oddHBand="0" w:evenHBand="0" w:firstRowFirstColumn="0" w:firstRowLastColumn="0" w:lastRowFirstColumn="0" w:lastRowLastColumn="0"/>
              <w:rPr>
                <w:rFonts w:cstheme="minorHAnsi"/>
                <w:b/>
                <w:bCs/>
                <w:szCs w:val="24"/>
                <w:lang w:eastAsia="pl-PL"/>
              </w:rPr>
            </w:pPr>
            <w:r w:rsidRPr="00BA1554">
              <w:rPr>
                <w:rFonts w:cstheme="minorHAnsi"/>
                <w:b/>
                <w:bCs/>
                <w:szCs w:val="24"/>
                <w:lang w:eastAsia="pl-PL"/>
              </w:rPr>
              <w:t>2017</w:t>
            </w:r>
          </w:p>
        </w:tc>
        <w:tc>
          <w:tcPr>
            <w:tcW w:w="676" w:type="dxa"/>
            <w:shd w:val="clear" w:color="auto" w:fill="FFC000"/>
            <w:hideMark/>
          </w:tcPr>
          <w:p w14:paraId="00AA2BF1" w14:textId="77777777" w:rsidR="0053183F" w:rsidRPr="00BA1554" w:rsidRDefault="0053183F" w:rsidP="00CE0F0B">
            <w:pPr>
              <w:pStyle w:val="elementgraficznytabela"/>
              <w:spacing w:after="240"/>
              <w:jc w:val="center"/>
              <w:cnfStyle w:val="000000000000" w:firstRow="0" w:lastRow="0" w:firstColumn="0" w:lastColumn="0" w:oddVBand="0" w:evenVBand="0" w:oddHBand="0" w:evenHBand="0" w:firstRowFirstColumn="0" w:firstRowLastColumn="0" w:lastRowFirstColumn="0" w:lastRowLastColumn="0"/>
              <w:rPr>
                <w:rFonts w:cstheme="minorHAnsi"/>
                <w:b/>
                <w:bCs/>
                <w:szCs w:val="24"/>
                <w:lang w:eastAsia="pl-PL"/>
              </w:rPr>
            </w:pPr>
            <w:r w:rsidRPr="00BA1554">
              <w:rPr>
                <w:rFonts w:cstheme="minorHAnsi"/>
                <w:b/>
                <w:bCs/>
                <w:szCs w:val="24"/>
                <w:lang w:eastAsia="pl-PL"/>
              </w:rPr>
              <w:t>2018</w:t>
            </w:r>
          </w:p>
        </w:tc>
        <w:tc>
          <w:tcPr>
            <w:tcW w:w="676" w:type="dxa"/>
            <w:shd w:val="clear" w:color="auto" w:fill="FFC000"/>
            <w:hideMark/>
          </w:tcPr>
          <w:p w14:paraId="1B647E57" w14:textId="77777777" w:rsidR="0053183F" w:rsidRPr="00BA1554" w:rsidRDefault="0053183F" w:rsidP="00CE0F0B">
            <w:pPr>
              <w:pStyle w:val="elementgraficznytabela"/>
              <w:spacing w:after="240"/>
              <w:jc w:val="center"/>
              <w:cnfStyle w:val="000000000000" w:firstRow="0" w:lastRow="0" w:firstColumn="0" w:lastColumn="0" w:oddVBand="0" w:evenVBand="0" w:oddHBand="0" w:evenHBand="0" w:firstRowFirstColumn="0" w:firstRowLastColumn="0" w:lastRowFirstColumn="0" w:lastRowLastColumn="0"/>
              <w:rPr>
                <w:rFonts w:cstheme="minorHAnsi"/>
                <w:b/>
                <w:bCs/>
                <w:szCs w:val="24"/>
                <w:lang w:eastAsia="pl-PL"/>
              </w:rPr>
            </w:pPr>
            <w:r w:rsidRPr="00BA1554">
              <w:rPr>
                <w:rFonts w:cstheme="minorHAnsi"/>
                <w:b/>
                <w:bCs/>
                <w:szCs w:val="24"/>
                <w:lang w:eastAsia="pl-PL"/>
              </w:rPr>
              <w:t>2019</w:t>
            </w:r>
          </w:p>
        </w:tc>
      </w:tr>
      <w:tr w:rsidR="0053183F" w:rsidRPr="00A5570A" w14:paraId="2650B197" w14:textId="77777777" w:rsidTr="00CE0F0B">
        <w:trPr>
          <w:cantSplit/>
          <w:trHeight w:val="1549"/>
        </w:trPr>
        <w:tc>
          <w:tcPr>
            <w:cnfStyle w:val="001000000000" w:firstRow="0" w:lastRow="0" w:firstColumn="1" w:lastColumn="0" w:oddVBand="0" w:evenVBand="0" w:oddHBand="0" w:evenHBand="0" w:firstRowFirstColumn="0" w:firstRowLastColumn="0" w:lastRowFirstColumn="0" w:lastRowLastColumn="0"/>
            <w:tcW w:w="1271" w:type="dxa"/>
            <w:noWrap/>
            <w:hideMark/>
          </w:tcPr>
          <w:p w14:paraId="7D27B9FC" w14:textId="77777777" w:rsidR="0053183F" w:rsidRPr="00BA1554" w:rsidRDefault="0053183F" w:rsidP="00CE0F0B">
            <w:pPr>
              <w:pStyle w:val="elementgraficznytabela"/>
              <w:spacing w:after="240"/>
              <w:rPr>
                <w:rFonts w:cstheme="minorHAnsi"/>
                <w:lang w:eastAsia="pl-PL"/>
              </w:rPr>
            </w:pPr>
            <w:r w:rsidRPr="00BA1554">
              <w:rPr>
                <w:rFonts w:cstheme="minorHAnsi"/>
                <w:lang w:eastAsia="pl-PL"/>
              </w:rPr>
              <w:t>Powiat działdowski</w:t>
            </w:r>
          </w:p>
        </w:tc>
        <w:tc>
          <w:tcPr>
            <w:tcW w:w="634" w:type="dxa"/>
            <w:noWrap/>
            <w:hideMark/>
          </w:tcPr>
          <w:p w14:paraId="7816F6A6" w14:textId="77777777" w:rsidR="0053183F" w:rsidRPr="00BA1554" w:rsidRDefault="0053183F" w:rsidP="00CE0F0B">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lang w:eastAsia="pl-PL"/>
              </w:rPr>
            </w:pPr>
            <w:r w:rsidRPr="00BA1554">
              <w:rPr>
                <w:rFonts w:cstheme="minorHAnsi"/>
                <w:lang w:eastAsia="pl-PL"/>
              </w:rPr>
              <w:t>25 952</w:t>
            </w:r>
          </w:p>
        </w:tc>
        <w:tc>
          <w:tcPr>
            <w:tcW w:w="676" w:type="dxa"/>
            <w:noWrap/>
            <w:hideMark/>
          </w:tcPr>
          <w:p w14:paraId="2401331F" w14:textId="77777777" w:rsidR="0053183F" w:rsidRPr="00BA1554" w:rsidRDefault="0053183F" w:rsidP="00CE0F0B">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lang w:eastAsia="pl-PL"/>
              </w:rPr>
            </w:pPr>
            <w:r w:rsidRPr="00BA1554">
              <w:rPr>
                <w:rFonts w:cstheme="minorHAnsi"/>
                <w:lang w:eastAsia="pl-PL"/>
              </w:rPr>
              <w:t>26 977</w:t>
            </w:r>
          </w:p>
        </w:tc>
        <w:tc>
          <w:tcPr>
            <w:tcW w:w="676" w:type="dxa"/>
            <w:noWrap/>
            <w:hideMark/>
          </w:tcPr>
          <w:p w14:paraId="5D12E6A1" w14:textId="77777777" w:rsidR="0053183F" w:rsidRPr="00BA1554" w:rsidRDefault="0053183F" w:rsidP="00CE0F0B">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lang w:eastAsia="pl-PL"/>
              </w:rPr>
            </w:pPr>
            <w:r w:rsidRPr="00BA1554">
              <w:rPr>
                <w:rFonts w:cstheme="minorHAnsi"/>
                <w:lang w:eastAsia="pl-PL"/>
              </w:rPr>
              <w:t>26 853</w:t>
            </w:r>
          </w:p>
        </w:tc>
        <w:tc>
          <w:tcPr>
            <w:tcW w:w="675" w:type="dxa"/>
            <w:noWrap/>
            <w:hideMark/>
          </w:tcPr>
          <w:p w14:paraId="39269B6F" w14:textId="77777777" w:rsidR="0053183F" w:rsidRPr="00BA1554" w:rsidRDefault="0053183F" w:rsidP="00CE0F0B">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lang w:eastAsia="pl-PL"/>
              </w:rPr>
            </w:pPr>
            <w:r w:rsidRPr="00BA1554">
              <w:rPr>
                <w:rFonts w:cstheme="minorHAnsi"/>
                <w:lang w:eastAsia="pl-PL"/>
              </w:rPr>
              <w:t>26 837</w:t>
            </w:r>
          </w:p>
        </w:tc>
        <w:tc>
          <w:tcPr>
            <w:tcW w:w="676" w:type="dxa"/>
            <w:noWrap/>
            <w:hideMark/>
          </w:tcPr>
          <w:p w14:paraId="1925CF36" w14:textId="77777777" w:rsidR="0053183F" w:rsidRPr="00BA1554" w:rsidRDefault="0053183F" w:rsidP="00CE0F0B">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lang w:eastAsia="pl-PL"/>
              </w:rPr>
            </w:pPr>
            <w:r w:rsidRPr="00BA1554">
              <w:rPr>
                <w:rFonts w:cstheme="minorHAnsi"/>
                <w:lang w:eastAsia="pl-PL"/>
              </w:rPr>
              <w:t>26 631</w:t>
            </w:r>
          </w:p>
        </w:tc>
        <w:tc>
          <w:tcPr>
            <w:tcW w:w="676" w:type="dxa"/>
            <w:noWrap/>
            <w:hideMark/>
          </w:tcPr>
          <w:p w14:paraId="5A8B14F2" w14:textId="77777777" w:rsidR="0053183F" w:rsidRPr="00BA1554" w:rsidRDefault="0053183F" w:rsidP="00CE0F0B">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lang w:eastAsia="pl-PL"/>
              </w:rPr>
            </w:pPr>
            <w:r w:rsidRPr="00BA1554">
              <w:rPr>
                <w:rFonts w:cstheme="minorHAnsi"/>
                <w:lang w:eastAsia="pl-PL"/>
              </w:rPr>
              <w:t>26 444</w:t>
            </w:r>
          </w:p>
        </w:tc>
        <w:tc>
          <w:tcPr>
            <w:tcW w:w="676" w:type="dxa"/>
            <w:noWrap/>
            <w:hideMark/>
          </w:tcPr>
          <w:p w14:paraId="24AF68F3" w14:textId="77777777" w:rsidR="0053183F" w:rsidRPr="00BA1554" w:rsidRDefault="0053183F" w:rsidP="00CE0F0B">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lang w:eastAsia="pl-PL"/>
              </w:rPr>
            </w:pPr>
            <w:r w:rsidRPr="00BA1554">
              <w:rPr>
                <w:rFonts w:cstheme="minorHAnsi"/>
                <w:lang w:eastAsia="pl-PL"/>
              </w:rPr>
              <w:t>26 258</w:t>
            </w:r>
          </w:p>
        </w:tc>
        <w:tc>
          <w:tcPr>
            <w:tcW w:w="675" w:type="dxa"/>
            <w:noWrap/>
            <w:hideMark/>
          </w:tcPr>
          <w:p w14:paraId="7859EE5E" w14:textId="77777777" w:rsidR="0053183F" w:rsidRPr="00BA1554" w:rsidRDefault="0053183F" w:rsidP="00CE0F0B">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lang w:eastAsia="pl-PL"/>
              </w:rPr>
            </w:pPr>
            <w:r w:rsidRPr="00BA1554">
              <w:rPr>
                <w:rFonts w:cstheme="minorHAnsi"/>
                <w:lang w:eastAsia="pl-PL"/>
              </w:rPr>
              <w:t>26 075</w:t>
            </w:r>
          </w:p>
        </w:tc>
        <w:tc>
          <w:tcPr>
            <w:tcW w:w="676" w:type="dxa"/>
            <w:noWrap/>
            <w:hideMark/>
          </w:tcPr>
          <w:p w14:paraId="2D1A7FEA" w14:textId="77777777" w:rsidR="0053183F" w:rsidRPr="00BA1554" w:rsidRDefault="0053183F" w:rsidP="00CE0F0B">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lang w:eastAsia="pl-PL"/>
              </w:rPr>
            </w:pPr>
            <w:r w:rsidRPr="00BA1554">
              <w:rPr>
                <w:rFonts w:cstheme="minorHAnsi"/>
                <w:lang w:eastAsia="pl-PL"/>
              </w:rPr>
              <w:t>25 717</w:t>
            </w:r>
          </w:p>
        </w:tc>
        <w:tc>
          <w:tcPr>
            <w:tcW w:w="676" w:type="dxa"/>
            <w:noWrap/>
            <w:hideMark/>
          </w:tcPr>
          <w:p w14:paraId="6CA9FFE8" w14:textId="77777777" w:rsidR="0053183F" w:rsidRPr="00BA1554" w:rsidRDefault="0053183F" w:rsidP="00CE0F0B">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lang w:eastAsia="pl-PL"/>
              </w:rPr>
            </w:pPr>
            <w:r w:rsidRPr="00BA1554">
              <w:rPr>
                <w:rFonts w:cstheme="minorHAnsi"/>
                <w:lang w:eastAsia="pl-PL"/>
              </w:rPr>
              <w:t>25 383</w:t>
            </w:r>
          </w:p>
        </w:tc>
        <w:tc>
          <w:tcPr>
            <w:tcW w:w="676" w:type="dxa"/>
            <w:noWrap/>
            <w:hideMark/>
          </w:tcPr>
          <w:p w14:paraId="50CB678F" w14:textId="77777777" w:rsidR="0053183F" w:rsidRPr="00BA1554" w:rsidRDefault="0053183F" w:rsidP="00CE0F0B">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lang w:eastAsia="pl-PL"/>
              </w:rPr>
            </w:pPr>
            <w:r w:rsidRPr="00BA1554">
              <w:rPr>
                <w:rFonts w:cstheme="minorHAnsi"/>
                <w:lang w:eastAsia="pl-PL"/>
              </w:rPr>
              <w:t>25 014</w:t>
            </w:r>
          </w:p>
        </w:tc>
      </w:tr>
      <w:tr w:rsidR="0053183F" w:rsidRPr="00A5570A" w14:paraId="6B0C6BA1" w14:textId="77777777" w:rsidTr="00CE0F0B">
        <w:trPr>
          <w:cantSplit/>
          <w:trHeight w:val="1134"/>
        </w:trPr>
        <w:tc>
          <w:tcPr>
            <w:cnfStyle w:val="001000000000" w:firstRow="0" w:lastRow="0" w:firstColumn="1" w:lastColumn="0" w:oddVBand="0" w:evenVBand="0" w:oddHBand="0" w:evenHBand="0" w:firstRowFirstColumn="0" w:firstRowLastColumn="0" w:lastRowFirstColumn="0" w:lastRowLastColumn="0"/>
            <w:tcW w:w="1271" w:type="dxa"/>
            <w:noWrap/>
            <w:hideMark/>
          </w:tcPr>
          <w:p w14:paraId="00B9C321" w14:textId="77777777" w:rsidR="0053183F" w:rsidRPr="00BA1554" w:rsidRDefault="0053183F" w:rsidP="00CE0F0B">
            <w:pPr>
              <w:pStyle w:val="elementgraficznytabela"/>
              <w:spacing w:after="240"/>
              <w:rPr>
                <w:rFonts w:cstheme="minorHAnsi"/>
                <w:lang w:eastAsia="pl-PL"/>
              </w:rPr>
            </w:pPr>
            <w:r w:rsidRPr="00BA1554">
              <w:rPr>
                <w:rFonts w:cstheme="minorHAnsi"/>
                <w:lang w:eastAsia="pl-PL"/>
              </w:rPr>
              <w:t>Powiat nidzicki</w:t>
            </w:r>
          </w:p>
          <w:p w14:paraId="717F7139" w14:textId="77777777" w:rsidR="0053183F" w:rsidRPr="00BA1554" w:rsidRDefault="0053183F" w:rsidP="00CE0F0B">
            <w:pPr>
              <w:pStyle w:val="elementgraficznytabela"/>
              <w:spacing w:after="240"/>
              <w:rPr>
                <w:rFonts w:cstheme="minorHAnsi"/>
                <w:lang w:eastAsia="pl-PL"/>
              </w:rPr>
            </w:pPr>
          </w:p>
        </w:tc>
        <w:tc>
          <w:tcPr>
            <w:tcW w:w="634" w:type="dxa"/>
            <w:noWrap/>
            <w:hideMark/>
          </w:tcPr>
          <w:p w14:paraId="4127864D" w14:textId="77777777" w:rsidR="0053183F" w:rsidRPr="00BA1554" w:rsidRDefault="0053183F" w:rsidP="00CE0F0B">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lang w:eastAsia="pl-PL"/>
              </w:rPr>
            </w:pPr>
            <w:r w:rsidRPr="00BA1554">
              <w:rPr>
                <w:rFonts w:cstheme="minorHAnsi"/>
                <w:lang w:eastAsia="pl-PL"/>
              </w:rPr>
              <w:t>13 451</w:t>
            </w:r>
          </w:p>
        </w:tc>
        <w:tc>
          <w:tcPr>
            <w:tcW w:w="676" w:type="dxa"/>
            <w:noWrap/>
            <w:hideMark/>
          </w:tcPr>
          <w:p w14:paraId="24582140" w14:textId="77777777" w:rsidR="0053183F" w:rsidRPr="00BA1554" w:rsidRDefault="0053183F" w:rsidP="00CE0F0B">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lang w:eastAsia="pl-PL"/>
              </w:rPr>
            </w:pPr>
            <w:r w:rsidRPr="00BA1554">
              <w:rPr>
                <w:rFonts w:cstheme="minorHAnsi"/>
                <w:lang w:eastAsia="pl-PL"/>
              </w:rPr>
              <w:t>13 969</w:t>
            </w:r>
          </w:p>
        </w:tc>
        <w:tc>
          <w:tcPr>
            <w:tcW w:w="676" w:type="dxa"/>
            <w:noWrap/>
            <w:hideMark/>
          </w:tcPr>
          <w:p w14:paraId="64004F97" w14:textId="77777777" w:rsidR="0053183F" w:rsidRPr="00BA1554" w:rsidRDefault="0053183F" w:rsidP="00CE0F0B">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lang w:eastAsia="pl-PL"/>
              </w:rPr>
            </w:pPr>
            <w:r w:rsidRPr="00BA1554">
              <w:rPr>
                <w:rFonts w:cstheme="minorHAnsi"/>
                <w:lang w:eastAsia="pl-PL"/>
              </w:rPr>
              <w:t>13 873</w:t>
            </w:r>
          </w:p>
        </w:tc>
        <w:tc>
          <w:tcPr>
            <w:tcW w:w="675" w:type="dxa"/>
            <w:noWrap/>
            <w:hideMark/>
          </w:tcPr>
          <w:p w14:paraId="7AFA4EA9" w14:textId="77777777" w:rsidR="0053183F" w:rsidRPr="00BA1554" w:rsidRDefault="0053183F" w:rsidP="00CE0F0B">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lang w:eastAsia="pl-PL"/>
              </w:rPr>
            </w:pPr>
            <w:r w:rsidRPr="00BA1554">
              <w:rPr>
                <w:rFonts w:cstheme="minorHAnsi"/>
                <w:lang w:eastAsia="pl-PL"/>
              </w:rPr>
              <w:t>13 758</w:t>
            </w:r>
          </w:p>
        </w:tc>
        <w:tc>
          <w:tcPr>
            <w:tcW w:w="676" w:type="dxa"/>
            <w:noWrap/>
            <w:hideMark/>
          </w:tcPr>
          <w:p w14:paraId="6FA89E6E" w14:textId="77777777" w:rsidR="0053183F" w:rsidRPr="00BA1554" w:rsidRDefault="0053183F" w:rsidP="00CE0F0B">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lang w:eastAsia="pl-PL"/>
              </w:rPr>
            </w:pPr>
            <w:r w:rsidRPr="00BA1554">
              <w:rPr>
                <w:rFonts w:cstheme="minorHAnsi"/>
                <w:lang w:eastAsia="pl-PL"/>
              </w:rPr>
              <w:t>13 680</w:t>
            </w:r>
          </w:p>
        </w:tc>
        <w:tc>
          <w:tcPr>
            <w:tcW w:w="676" w:type="dxa"/>
            <w:noWrap/>
            <w:hideMark/>
          </w:tcPr>
          <w:p w14:paraId="32D2D7AD" w14:textId="77777777" w:rsidR="0053183F" w:rsidRPr="00BA1554" w:rsidRDefault="0053183F" w:rsidP="00CE0F0B">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lang w:eastAsia="pl-PL"/>
              </w:rPr>
            </w:pPr>
            <w:r w:rsidRPr="00BA1554">
              <w:rPr>
                <w:rFonts w:cstheme="minorHAnsi"/>
                <w:lang w:eastAsia="pl-PL"/>
              </w:rPr>
              <w:t>13 617</w:t>
            </w:r>
          </w:p>
        </w:tc>
        <w:tc>
          <w:tcPr>
            <w:tcW w:w="676" w:type="dxa"/>
            <w:noWrap/>
            <w:hideMark/>
          </w:tcPr>
          <w:p w14:paraId="5DA8C91C" w14:textId="77777777" w:rsidR="0053183F" w:rsidRPr="00BA1554" w:rsidRDefault="0053183F" w:rsidP="00CE0F0B">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lang w:eastAsia="pl-PL"/>
              </w:rPr>
            </w:pPr>
            <w:r w:rsidRPr="00BA1554">
              <w:rPr>
                <w:rFonts w:cstheme="minorHAnsi"/>
                <w:lang w:eastAsia="pl-PL"/>
              </w:rPr>
              <w:t>13 503</w:t>
            </w:r>
          </w:p>
        </w:tc>
        <w:tc>
          <w:tcPr>
            <w:tcW w:w="675" w:type="dxa"/>
            <w:noWrap/>
            <w:hideMark/>
          </w:tcPr>
          <w:p w14:paraId="2F381908" w14:textId="77777777" w:rsidR="0053183F" w:rsidRPr="00BA1554" w:rsidRDefault="0053183F" w:rsidP="00CE0F0B">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lang w:eastAsia="pl-PL"/>
              </w:rPr>
            </w:pPr>
            <w:r w:rsidRPr="00BA1554">
              <w:rPr>
                <w:rFonts w:cstheme="minorHAnsi"/>
                <w:lang w:eastAsia="pl-PL"/>
              </w:rPr>
              <w:t>13 298</w:t>
            </w:r>
          </w:p>
        </w:tc>
        <w:tc>
          <w:tcPr>
            <w:tcW w:w="676" w:type="dxa"/>
            <w:noWrap/>
            <w:hideMark/>
          </w:tcPr>
          <w:p w14:paraId="162503ED" w14:textId="77777777" w:rsidR="0053183F" w:rsidRPr="00BA1554" w:rsidRDefault="0053183F" w:rsidP="00CE0F0B">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lang w:eastAsia="pl-PL"/>
              </w:rPr>
            </w:pPr>
            <w:r w:rsidRPr="00BA1554">
              <w:rPr>
                <w:rFonts w:cstheme="minorHAnsi"/>
                <w:lang w:eastAsia="pl-PL"/>
              </w:rPr>
              <w:t>13 086</w:t>
            </w:r>
          </w:p>
        </w:tc>
        <w:tc>
          <w:tcPr>
            <w:tcW w:w="676" w:type="dxa"/>
            <w:noWrap/>
            <w:hideMark/>
          </w:tcPr>
          <w:p w14:paraId="25146188" w14:textId="77777777" w:rsidR="0053183F" w:rsidRPr="00BA1554" w:rsidRDefault="0053183F" w:rsidP="00CE0F0B">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lang w:eastAsia="pl-PL"/>
              </w:rPr>
            </w:pPr>
            <w:r w:rsidRPr="00BA1554">
              <w:rPr>
                <w:rFonts w:cstheme="minorHAnsi"/>
                <w:lang w:eastAsia="pl-PL"/>
              </w:rPr>
              <w:t>12 836</w:t>
            </w:r>
          </w:p>
        </w:tc>
        <w:tc>
          <w:tcPr>
            <w:tcW w:w="676" w:type="dxa"/>
            <w:noWrap/>
            <w:hideMark/>
          </w:tcPr>
          <w:p w14:paraId="19EE6E5B" w14:textId="77777777" w:rsidR="0053183F" w:rsidRPr="00BA1554" w:rsidRDefault="0053183F" w:rsidP="00CE0F0B">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lang w:eastAsia="pl-PL"/>
              </w:rPr>
            </w:pPr>
            <w:r w:rsidRPr="00BA1554">
              <w:rPr>
                <w:rFonts w:cstheme="minorHAnsi"/>
                <w:lang w:eastAsia="pl-PL"/>
              </w:rPr>
              <w:t>12 619</w:t>
            </w:r>
          </w:p>
        </w:tc>
      </w:tr>
      <w:tr w:rsidR="0053183F" w:rsidRPr="00A5570A" w14:paraId="399C562A" w14:textId="77777777" w:rsidTr="00CE0F0B">
        <w:trPr>
          <w:cantSplit/>
          <w:trHeight w:val="1134"/>
        </w:trPr>
        <w:tc>
          <w:tcPr>
            <w:cnfStyle w:val="001000000000" w:firstRow="0" w:lastRow="0" w:firstColumn="1" w:lastColumn="0" w:oddVBand="0" w:evenVBand="0" w:oddHBand="0" w:evenHBand="0" w:firstRowFirstColumn="0" w:firstRowLastColumn="0" w:lastRowFirstColumn="0" w:lastRowLastColumn="0"/>
            <w:tcW w:w="1271" w:type="dxa"/>
            <w:noWrap/>
            <w:hideMark/>
          </w:tcPr>
          <w:p w14:paraId="5689DFC5" w14:textId="77777777" w:rsidR="0053183F" w:rsidRPr="00BA1554" w:rsidRDefault="0053183F" w:rsidP="00CE0F0B">
            <w:pPr>
              <w:pStyle w:val="elementgraficznytabela"/>
              <w:spacing w:after="240"/>
              <w:rPr>
                <w:rFonts w:cstheme="minorHAnsi"/>
                <w:lang w:eastAsia="pl-PL"/>
              </w:rPr>
            </w:pPr>
            <w:r w:rsidRPr="00BA1554">
              <w:rPr>
                <w:rFonts w:cstheme="minorHAnsi"/>
                <w:lang w:eastAsia="pl-PL"/>
              </w:rPr>
              <w:t>Powiat piski</w:t>
            </w:r>
          </w:p>
          <w:p w14:paraId="025A7225" w14:textId="77777777" w:rsidR="0053183F" w:rsidRPr="00BA1554" w:rsidRDefault="0053183F" w:rsidP="00CE0F0B">
            <w:pPr>
              <w:pStyle w:val="elementgraficznytabela"/>
              <w:spacing w:after="240"/>
              <w:rPr>
                <w:rFonts w:cstheme="minorHAnsi"/>
                <w:lang w:eastAsia="pl-PL"/>
              </w:rPr>
            </w:pPr>
          </w:p>
        </w:tc>
        <w:tc>
          <w:tcPr>
            <w:tcW w:w="634" w:type="dxa"/>
            <w:noWrap/>
            <w:hideMark/>
          </w:tcPr>
          <w:p w14:paraId="62D9A64B" w14:textId="77777777" w:rsidR="0053183F" w:rsidRPr="00BA1554" w:rsidRDefault="0053183F" w:rsidP="00CE0F0B">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lang w:eastAsia="pl-PL"/>
              </w:rPr>
            </w:pPr>
            <w:r w:rsidRPr="00BA1554">
              <w:rPr>
                <w:rFonts w:cstheme="minorHAnsi"/>
                <w:lang w:eastAsia="pl-PL"/>
              </w:rPr>
              <w:t>23 276</w:t>
            </w:r>
          </w:p>
        </w:tc>
        <w:tc>
          <w:tcPr>
            <w:tcW w:w="676" w:type="dxa"/>
            <w:noWrap/>
            <w:hideMark/>
          </w:tcPr>
          <w:p w14:paraId="52CD7592" w14:textId="77777777" w:rsidR="0053183F" w:rsidRPr="00BA1554" w:rsidRDefault="0053183F" w:rsidP="00CE0F0B">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lang w:eastAsia="pl-PL"/>
              </w:rPr>
            </w:pPr>
            <w:r w:rsidRPr="00BA1554">
              <w:rPr>
                <w:rFonts w:cstheme="minorHAnsi"/>
                <w:lang w:eastAsia="pl-PL"/>
              </w:rPr>
              <w:t>24 157</w:t>
            </w:r>
          </w:p>
        </w:tc>
        <w:tc>
          <w:tcPr>
            <w:tcW w:w="676" w:type="dxa"/>
            <w:noWrap/>
            <w:hideMark/>
          </w:tcPr>
          <w:p w14:paraId="2F244937" w14:textId="77777777" w:rsidR="0053183F" w:rsidRPr="00BA1554" w:rsidRDefault="0053183F" w:rsidP="00CE0F0B">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lang w:eastAsia="pl-PL"/>
              </w:rPr>
            </w:pPr>
            <w:r w:rsidRPr="00BA1554">
              <w:rPr>
                <w:rFonts w:cstheme="minorHAnsi"/>
                <w:lang w:eastAsia="pl-PL"/>
              </w:rPr>
              <w:t>24 025</w:t>
            </w:r>
          </w:p>
        </w:tc>
        <w:tc>
          <w:tcPr>
            <w:tcW w:w="675" w:type="dxa"/>
            <w:noWrap/>
            <w:hideMark/>
          </w:tcPr>
          <w:p w14:paraId="1E19A164" w14:textId="77777777" w:rsidR="0053183F" w:rsidRPr="00BA1554" w:rsidRDefault="0053183F" w:rsidP="00CE0F0B">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lang w:eastAsia="pl-PL"/>
              </w:rPr>
            </w:pPr>
            <w:r w:rsidRPr="00BA1554">
              <w:rPr>
                <w:rFonts w:cstheme="minorHAnsi"/>
                <w:lang w:eastAsia="pl-PL"/>
              </w:rPr>
              <w:t>23 882</w:t>
            </w:r>
          </w:p>
        </w:tc>
        <w:tc>
          <w:tcPr>
            <w:tcW w:w="676" w:type="dxa"/>
            <w:noWrap/>
            <w:hideMark/>
          </w:tcPr>
          <w:p w14:paraId="58514E12" w14:textId="77777777" w:rsidR="0053183F" w:rsidRPr="00BA1554" w:rsidRDefault="0053183F" w:rsidP="00CE0F0B">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lang w:eastAsia="pl-PL"/>
              </w:rPr>
            </w:pPr>
            <w:r w:rsidRPr="00BA1554">
              <w:rPr>
                <w:rFonts w:cstheme="minorHAnsi"/>
                <w:lang w:eastAsia="pl-PL"/>
              </w:rPr>
              <w:t>23 723</w:t>
            </w:r>
          </w:p>
        </w:tc>
        <w:tc>
          <w:tcPr>
            <w:tcW w:w="676" w:type="dxa"/>
            <w:noWrap/>
            <w:hideMark/>
          </w:tcPr>
          <w:p w14:paraId="422CF316" w14:textId="77777777" w:rsidR="0053183F" w:rsidRPr="00BA1554" w:rsidRDefault="0053183F" w:rsidP="00CE0F0B">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lang w:eastAsia="pl-PL"/>
              </w:rPr>
            </w:pPr>
            <w:r w:rsidRPr="00BA1554">
              <w:rPr>
                <w:rFonts w:cstheme="minorHAnsi"/>
                <w:lang w:eastAsia="pl-PL"/>
              </w:rPr>
              <w:t>23 565</w:t>
            </w:r>
          </w:p>
        </w:tc>
        <w:tc>
          <w:tcPr>
            <w:tcW w:w="676" w:type="dxa"/>
            <w:noWrap/>
            <w:hideMark/>
          </w:tcPr>
          <w:p w14:paraId="51767812" w14:textId="77777777" w:rsidR="0053183F" w:rsidRPr="00BA1554" w:rsidRDefault="0053183F" w:rsidP="00CE0F0B">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lang w:eastAsia="pl-PL"/>
              </w:rPr>
            </w:pPr>
            <w:r w:rsidRPr="00BA1554">
              <w:rPr>
                <w:rFonts w:cstheme="minorHAnsi"/>
                <w:lang w:eastAsia="pl-PL"/>
              </w:rPr>
              <w:t>23 270</w:t>
            </w:r>
          </w:p>
        </w:tc>
        <w:tc>
          <w:tcPr>
            <w:tcW w:w="675" w:type="dxa"/>
            <w:noWrap/>
            <w:hideMark/>
          </w:tcPr>
          <w:p w14:paraId="48E925A7" w14:textId="77777777" w:rsidR="0053183F" w:rsidRPr="00BA1554" w:rsidRDefault="0053183F" w:rsidP="00CE0F0B">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lang w:eastAsia="pl-PL"/>
              </w:rPr>
            </w:pPr>
            <w:r w:rsidRPr="00BA1554">
              <w:rPr>
                <w:rFonts w:cstheme="minorHAnsi"/>
                <w:lang w:eastAsia="pl-PL"/>
              </w:rPr>
              <w:t>23 009</w:t>
            </w:r>
          </w:p>
        </w:tc>
        <w:tc>
          <w:tcPr>
            <w:tcW w:w="676" w:type="dxa"/>
            <w:noWrap/>
            <w:hideMark/>
          </w:tcPr>
          <w:p w14:paraId="33564CB6" w14:textId="77777777" w:rsidR="0053183F" w:rsidRPr="00BA1554" w:rsidRDefault="0053183F" w:rsidP="00CE0F0B">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lang w:eastAsia="pl-PL"/>
              </w:rPr>
            </w:pPr>
            <w:r w:rsidRPr="00BA1554">
              <w:rPr>
                <w:rFonts w:cstheme="minorHAnsi"/>
                <w:lang w:eastAsia="pl-PL"/>
              </w:rPr>
              <w:t>22 674</w:t>
            </w:r>
          </w:p>
        </w:tc>
        <w:tc>
          <w:tcPr>
            <w:tcW w:w="676" w:type="dxa"/>
            <w:noWrap/>
            <w:hideMark/>
          </w:tcPr>
          <w:p w14:paraId="10C9C22E" w14:textId="77777777" w:rsidR="0053183F" w:rsidRPr="00BA1554" w:rsidRDefault="0053183F" w:rsidP="00CE0F0B">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lang w:eastAsia="pl-PL"/>
              </w:rPr>
            </w:pPr>
            <w:r w:rsidRPr="00BA1554">
              <w:rPr>
                <w:rFonts w:cstheme="minorHAnsi"/>
                <w:lang w:eastAsia="pl-PL"/>
              </w:rPr>
              <w:t>22 225</w:t>
            </w:r>
          </w:p>
        </w:tc>
        <w:tc>
          <w:tcPr>
            <w:tcW w:w="676" w:type="dxa"/>
            <w:noWrap/>
            <w:hideMark/>
          </w:tcPr>
          <w:p w14:paraId="272B0CF2" w14:textId="77777777" w:rsidR="0053183F" w:rsidRPr="00BA1554" w:rsidRDefault="0053183F" w:rsidP="00CE0F0B">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lang w:eastAsia="pl-PL"/>
              </w:rPr>
            </w:pPr>
            <w:r w:rsidRPr="00BA1554">
              <w:rPr>
                <w:rFonts w:cstheme="minorHAnsi"/>
                <w:lang w:eastAsia="pl-PL"/>
              </w:rPr>
              <w:t>21 685</w:t>
            </w:r>
          </w:p>
        </w:tc>
      </w:tr>
      <w:tr w:rsidR="0053183F" w:rsidRPr="00A5570A" w14:paraId="6A633800" w14:textId="77777777" w:rsidTr="00CE0F0B">
        <w:trPr>
          <w:cantSplit/>
          <w:trHeight w:val="1518"/>
        </w:trPr>
        <w:tc>
          <w:tcPr>
            <w:cnfStyle w:val="001000000000" w:firstRow="0" w:lastRow="0" w:firstColumn="1" w:lastColumn="0" w:oddVBand="0" w:evenVBand="0" w:oddHBand="0" w:evenHBand="0" w:firstRowFirstColumn="0" w:firstRowLastColumn="0" w:lastRowFirstColumn="0" w:lastRowLastColumn="0"/>
            <w:tcW w:w="1271" w:type="dxa"/>
            <w:noWrap/>
            <w:hideMark/>
          </w:tcPr>
          <w:p w14:paraId="3DA25037" w14:textId="77777777" w:rsidR="0053183F" w:rsidRPr="00BA1554" w:rsidRDefault="0053183F" w:rsidP="00CE0F0B">
            <w:pPr>
              <w:pStyle w:val="elementgraficznytabela"/>
              <w:spacing w:after="240"/>
              <w:rPr>
                <w:rFonts w:cstheme="minorHAnsi"/>
                <w:lang w:eastAsia="pl-PL"/>
              </w:rPr>
            </w:pPr>
            <w:r w:rsidRPr="00BA1554">
              <w:rPr>
                <w:rFonts w:cstheme="minorHAnsi"/>
                <w:lang w:eastAsia="pl-PL"/>
              </w:rPr>
              <w:t>Powiat szczycieński</w:t>
            </w:r>
          </w:p>
        </w:tc>
        <w:tc>
          <w:tcPr>
            <w:tcW w:w="634" w:type="dxa"/>
            <w:noWrap/>
            <w:hideMark/>
          </w:tcPr>
          <w:p w14:paraId="16EC2859" w14:textId="77777777" w:rsidR="0053183F" w:rsidRPr="00BA1554" w:rsidRDefault="0053183F" w:rsidP="00CE0F0B">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lang w:eastAsia="pl-PL"/>
              </w:rPr>
            </w:pPr>
            <w:r w:rsidRPr="00BA1554">
              <w:rPr>
                <w:rFonts w:cstheme="minorHAnsi"/>
                <w:lang w:eastAsia="pl-PL"/>
              </w:rPr>
              <w:t>28 148</w:t>
            </w:r>
          </w:p>
        </w:tc>
        <w:tc>
          <w:tcPr>
            <w:tcW w:w="676" w:type="dxa"/>
            <w:noWrap/>
            <w:hideMark/>
          </w:tcPr>
          <w:p w14:paraId="7CD4940D" w14:textId="77777777" w:rsidR="0053183F" w:rsidRPr="00BA1554" w:rsidRDefault="0053183F" w:rsidP="00CE0F0B">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lang w:eastAsia="pl-PL"/>
              </w:rPr>
            </w:pPr>
            <w:r w:rsidRPr="00BA1554">
              <w:rPr>
                <w:rFonts w:cstheme="minorHAnsi"/>
                <w:lang w:eastAsia="pl-PL"/>
              </w:rPr>
              <w:t>29 123</w:t>
            </w:r>
          </w:p>
        </w:tc>
        <w:tc>
          <w:tcPr>
            <w:tcW w:w="676" w:type="dxa"/>
            <w:noWrap/>
            <w:hideMark/>
          </w:tcPr>
          <w:p w14:paraId="0240BFFF" w14:textId="77777777" w:rsidR="0053183F" w:rsidRPr="00BA1554" w:rsidRDefault="0053183F" w:rsidP="00CE0F0B">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lang w:eastAsia="pl-PL"/>
              </w:rPr>
            </w:pPr>
            <w:r w:rsidRPr="00BA1554">
              <w:rPr>
                <w:rFonts w:cstheme="minorHAnsi"/>
                <w:lang w:eastAsia="pl-PL"/>
              </w:rPr>
              <w:t>29 060</w:t>
            </w:r>
          </w:p>
        </w:tc>
        <w:tc>
          <w:tcPr>
            <w:tcW w:w="675" w:type="dxa"/>
            <w:noWrap/>
            <w:hideMark/>
          </w:tcPr>
          <w:p w14:paraId="09124420" w14:textId="77777777" w:rsidR="0053183F" w:rsidRPr="00BA1554" w:rsidRDefault="0053183F" w:rsidP="00CE0F0B">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lang w:eastAsia="pl-PL"/>
              </w:rPr>
            </w:pPr>
            <w:r w:rsidRPr="00BA1554">
              <w:rPr>
                <w:rFonts w:cstheme="minorHAnsi"/>
                <w:lang w:eastAsia="pl-PL"/>
              </w:rPr>
              <w:t>29 042</w:t>
            </w:r>
          </w:p>
        </w:tc>
        <w:tc>
          <w:tcPr>
            <w:tcW w:w="676" w:type="dxa"/>
            <w:noWrap/>
            <w:hideMark/>
          </w:tcPr>
          <w:p w14:paraId="1CCC32BB" w14:textId="77777777" w:rsidR="0053183F" w:rsidRPr="00BA1554" w:rsidRDefault="0053183F" w:rsidP="00CE0F0B">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lang w:eastAsia="pl-PL"/>
              </w:rPr>
            </w:pPr>
            <w:r w:rsidRPr="00BA1554">
              <w:rPr>
                <w:rFonts w:cstheme="minorHAnsi"/>
                <w:lang w:eastAsia="pl-PL"/>
              </w:rPr>
              <w:t>28 925</w:t>
            </w:r>
          </w:p>
        </w:tc>
        <w:tc>
          <w:tcPr>
            <w:tcW w:w="676" w:type="dxa"/>
            <w:noWrap/>
            <w:hideMark/>
          </w:tcPr>
          <w:p w14:paraId="60C2F5C1" w14:textId="77777777" w:rsidR="0053183F" w:rsidRPr="00BA1554" w:rsidRDefault="0053183F" w:rsidP="00CE0F0B">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lang w:eastAsia="pl-PL"/>
              </w:rPr>
            </w:pPr>
            <w:r w:rsidRPr="00BA1554">
              <w:rPr>
                <w:rFonts w:cstheme="minorHAnsi"/>
                <w:lang w:eastAsia="pl-PL"/>
              </w:rPr>
              <w:t>28 820</w:t>
            </w:r>
          </w:p>
        </w:tc>
        <w:tc>
          <w:tcPr>
            <w:tcW w:w="676" w:type="dxa"/>
            <w:noWrap/>
            <w:hideMark/>
          </w:tcPr>
          <w:p w14:paraId="325AE929" w14:textId="77777777" w:rsidR="0053183F" w:rsidRPr="00BA1554" w:rsidRDefault="0053183F" w:rsidP="00CE0F0B">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lang w:eastAsia="pl-PL"/>
              </w:rPr>
            </w:pPr>
            <w:r w:rsidRPr="00BA1554">
              <w:rPr>
                <w:rFonts w:cstheme="minorHAnsi"/>
                <w:lang w:eastAsia="pl-PL"/>
              </w:rPr>
              <w:t>28 609</w:t>
            </w:r>
          </w:p>
        </w:tc>
        <w:tc>
          <w:tcPr>
            <w:tcW w:w="675" w:type="dxa"/>
            <w:noWrap/>
            <w:hideMark/>
          </w:tcPr>
          <w:p w14:paraId="64AF853C" w14:textId="77777777" w:rsidR="0053183F" w:rsidRPr="00BA1554" w:rsidRDefault="0053183F" w:rsidP="00CE0F0B">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lang w:eastAsia="pl-PL"/>
              </w:rPr>
            </w:pPr>
            <w:r w:rsidRPr="00BA1554">
              <w:rPr>
                <w:rFonts w:cstheme="minorHAnsi"/>
                <w:lang w:eastAsia="pl-PL"/>
              </w:rPr>
              <w:t>28 344</w:t>
            </w:r>
          </w:p>
        </w:tc>
        <w:tc>
          <w:tcPr>
            <w:tcW w:w="676" w:type="dxa"/>
            <w:noWrap/>
            <w:hideMark/>
          </w:tcPr>
          <w:p w14:paraId="3C97499B" w14:textId="77777777" w:rsidR="0053183F" w:rsidRPr="00BA1554" w:rsidRDefault="0053183F" w:rsidP="00CE0F0B">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lang w:eastAsia="pl-PL"/>
              </w:rPr>
            </w:pPr>
            <w:r w:rsidRPr="00BA1554">
              <w:rPr>
                <w:rFonts w:cstheme="minorHAnsi"/>
                <w:lang w:eastAsia="pl-PL"/>
              </w:rPr>
              <w:t>27 912</w:t>
            </w:r>
          </w:p>
        </w:tc>
        <w:tc>
          <w:tcPr>
            <w:tcW w:w="676" w:type="dxa"/>
            <w:noWrap/>
            <w:hideMark/>
          </w:tcPr>
          <w:p w14:paraId="12EF8DFD" w14:textId="77777777" w:rsidR="0053183F" w:rsidRPr="00BA1554" w:rsidRDefault="0053183F" w:rsidP="00CE0F0B">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lang w:eastAsia="pl-PL"/>
              </w:rPr>
            </w:pPr>
            <w:r w:rsidRPr="00BA1554">
              <w:rPr>
                <w:rFonts w:cstheme="minorHAnsi"/>
                <w:lang w:eastAsia="pl-PL"/>
              </w:rPr>
              <w:t>27 486</w:t>
            </w:r>
          </w:p>
        </w:tc>
        <w:tc>
          <w:tcPr>
            <w:tcW w:w="676" w:type="dxa"/>
            <w:noWrap/>
            <w:hideMark/>
          </w:tcPr>
          <w:p w14:paraId="0B26CBC0" w14:textId="77777777" w:rsidR="0053183F" w:rsidRPr="00BA1554" w:rsidRDefault="0053183F" w:rsidP="00CE0F0B">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lang w:eastAsia="pl-PL"/>
              </w:rPr>
            </w:pPr>
            <w:r w:rsidRPr="00BA1554">
              <w:rPr>
                <w:rFonts w:cstheme="minorHAnsi"/>
                <w:lang w:eastAsia="pl-PL"/>
              </w:rPr>
              <w:t>26 858</w:t>
            </w:r>
          </w:p>
        </w:tc>
      </w:tr>
      <w:tr w:rsidR="0053183F" w:rsidRPr="00A5570A" w14:paraId="443ADF3F" w14:textId="77777777" w:rsidTr="00CE0F0B">
        <w:trPr>
          <w:trHeight w:val="288"/>
        </w:trPr>
        <w:tc>
          <w:tcPr>
            <w:cnfStyle w:val="001000000000" w:firstRow="0" w:lastRow="0" w:firstColumn="1" w:lastColumn="0" w:oddVBand="0" w:evenVBand="0" w:oddHBand="0" w:evenHBand="0" w:firstRowFirstColumn="0" w:firstRowLastColumn="0" w:lastRowFirstColumn="0" w:lastRowLastColumn="0"/>
            <w:tcW w:w="1271" w:type="dxa"/>
            <w:noWrap/>
            <w:hideMark/>
          </w:tcPr>
          <w:p w14:paraId="7B683B20" w14:textId="77777777" w:rsidR="0053183F" w:rsidRPr="00BA1554" w:rsidRDefault="0053183F" w:rsidP="00CE0F0B">
            <w:pPr>
              <w:pStyle w:val="elementgraficznytabela"/>
              <w:spacing w:after="240"/>
              <w:rPr>
                <w:rFonts w:cstheme="minorHAnsi"/>
                <w:bCs/>
                <w:lang w:eastAsia="pl-PL"/>
              </w:rPr>
            </w:pPr>
            <w:r w:rsidRPr="00BA1554">
              <w:rPr>
                <w:rFonts w:cstheme="minorHAnsi"/>
                <w:bCs/>
                <w:lang w:eastAsia="pl-PL"/>
              </w:rPr>
              <w:t>Razem</w:t>
            </w:r>
          </w:p>
        </w:tc>
        <w:tc>
          <w:tcPr>
            <w:tcW w:w="634" w:type="dxa"/>
            <w:noWrap/>
            <w:hideMark/>
          </w:tcPr>
          <w:p w14:paraId="68B146BD" w14:textId="77777777" w:rsidR="0053183F" w:rsidRPr="00BA1554" w:rsidRDefault="0053183F" w:rsidP="00CE0F0B">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lang w:eastAsia="pl-PL"/>
              </w:rPr>
            </w:pPr>
            <w:r w:rsidRPr="00BA1554">
              <w:rPr>
                <w:rFonts w:cstheme="minorHAnsi"/>
                <w:lang w:eastAsia="pl-PL"/>
              </w:rPr>
              <w:t>90 827</w:t>
            </w:r>
          </w:p>
        </w:tc>
        <w:tc>
          <w:tcPr>
            <w:tcW w:w="676" w:type="dxa"/>
            <w:noWrap/>
            <w:hideMark/>
          </w:tcPr>
          <w:p w14:paraId="73F3B446" w14:textId="77777777" w:rsidR="0053183F" w:rsidRPr="00BA1554" w:rsidRDefault="0053183F" w:rsidP="00CE0F0B">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lang w:eastAsia="pl-PL"/>
              </w:rPr>
            </w:pPr>
            <w:r w:rsidRPr="00BA1554">
              <w:rPr>
                <w:rFonts w:cstheme="minorHAnsi"/>
                <w:lang w:eastAsia="pl-PL"/>
              </w:rPr>
              <w:t>94 226</w:t>
            </w:r>
          </w:p>
        </w:tc>
        <w:tc>
          <w:tcPr>
            <w:tcW w:w="676" w:type="dxa"/>
            <w:noWrap/>
            <w:hideMark/>
          </w:tcPr>
          <w:p w14:paraId="6757C5AF" w14:textId="77777777" w:rsidR="0053183F" w:rsidRPr="00BA1554" w:rsidRDefault="0053183F" w:rsidP="00CE0F0B">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lang w:eastAsia="pl-PL"/>
              </w:rPr>
            </w:pPr>
            <w:r w:rsidRPr="00BA1554">
              <w:rPr>
                <w:rFonts w:cstheme="minorHAnsi"/>
                <w:lang w:eastAsia="pl-PL"/>
              </w:rPr>
              <w:t>93 811</w:t>
            </w:r>
          </w:p>
        </w:tc>
        <w:tc>
          <w:tcPr>
            <w:tcW w:w="675" w:type="dxa"/>
            <w:noWrap/>
            <w:hideMark/>
          </w:tcPr>
          <w:p w14:paraId="2D47A5EA" w14:textId="77777777" w:rsidR="0053183F" w:rsidRPr="00BA1554" w:rsidRDefault="0053183F" w:rsidP="00CE0F0B">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lang w:eastAsia="pl-PL"/>
              </w:rPr>
            </w:pPr>
            <w:r w:rsidRPr="00BA1554">
              <w:rPr>
                <w:rFonts w:cstheme="minorHAnsi"/>
                <w:lang w:eastAsia="pl-PL"/>
              </w:rPr>
              <w:t>93 519</w:t>
            </w:r>
          </w:p>
        </w:tc>
        <w:tc>
          <w:tcPr>
            <w:tcW w:w="676" w:type="dxa"/>
            <w:noWrap/>
            <w:hideMark/>
          </w:tcPr>
          <w:p w14:paraId="30B4C598" w14:textId="77777777" w:rsidR="0053183F" w:rsidRPr="00BA1554" w:rsidRDefault="0053183F" w:rsidP="00CE0F0B">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lang w:eastAsia="pl-PL"/>
              </w:rPr>
            </w:pPr>
            <w:r w:rsidRPr="00BA1554">
              <w:rPr>
                <w:rFonts w:cstheme="minorHAnsi"/>
                <w:lang w:eastAsia="pl-PL"/>
              </w:rPr>
              <w:t>92 959</w:t>
            </w:r>
          </w:p>
        </w:tc>
        <w:tc>
          <w:tcPr>
            <w:tcW w:w="676" w:type="dxa"/>
            <w:noWrap/>
            <w:hideMark/>
          </w:tcPr>
          <w:p w14:paraId="220D2BEA" w14:textId="77777777" w:rsidR="0053183F" w:rsidRPr="00BA1554" w:rsidRDefault="0053183F" w:rsidP="00CE0F0B">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lang w:eastAsia="pl-PL"/>
              </w:rPr>
            </w:pPr>
            <w:r w:rsidRPr="00BA1554">
              <w:rPr>
                <w:rFonts w:cstheme="minorHAnsi"/>
                <w:lang w:eastAsia="pl-PL"/>
              </w:rPr>
              <w:t>92 446</w:t>
            </w:r>
          </w:p>
        </w:tc>
        <w:tc>
          <w:tcPr>
            <w:tcW w:w="676" w:type="dxa"/>
            <w:noWrap/>
            <w:hideMark/>
          </w:tcPr>
          <w:p w14:paraId="6E5A85B9" w14:textId="77777777" w:rsidR="0053183F" w:rsidRPr="00BA1554" w:rsidRDefault="0053183F" w:rsidP="00CE0F0B">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lang w:eastAsia="pl-PL"/>
              </w:rPr>
            </w:pPr>
            <w:r w:rsidRPr="00BA1554">
              <w:rPr>
                <w:rFonts w:cstheme="minorHAnsi"/>
                <w:lang w:eastAsia="pl-PL"/>
              </w:rPr>
              <w:t>91 640</w:t>
            </w:r>
          </w:p>
        </w:tc>
        <w:tc>
          <w:tcPr>
            <w:tcW w:w="675" w:type="dxa"/>
            <w:noWrap/>
            <w:hideMark/>
          </w:tcPr>
          <w:p w14:paraId="21C9029E" w14:textId="77777777" w:rsidR="0053183F" w:rsidRPr="00BA1554" w:rsidRDefault="0053183F" w:rsidP="00CE0F0B">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lang w:eastAsia="pl-PL"/>
              </w:rPr>
            </w:pPr>
            <w:r w:rsidRPr="00BA1554">
              <w:rPr>
                <w:rFonts w:cstheme="minorHAnsi"/>
                <w:lang w:eastAsia="pl-PL"/>
              </w:rPr>
              <w:t>90 726</w:t>
            </w:r>
          </w:p>
        </w:tc>
        <w:tc>
          <w:tcPr>
            <w:tcW w:w="676" w:type="dxa"/>
            <w:noWrap/>
            <w:hideMark/>
          </w:tcPr>
          <w:p w14:paraId="37763D58" w14:textId="77777777" w:rsidR="0053183F" w:rsidRPr="00BA1554" w:rsidRDefault="0053183F" w:rsidP="00CE0F0B">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lang w:eastAsia="pl-PL"/>
              </w:rPr>
            </w:pPr>
            <w:r w:rsidRPr="00BA1554">
              <w:rPr>
                <w:rFonts w:cstheme="minorHAnsi"/>
                <w:lang w:eastAsia="pl-PL"/>
              </w:rPr>
              <w:t>89 389</w:t>
            </w:r>
          </w:p>
        </w:tc>
        <w:tc>
          <w:tcPr>
            <w:tcW w:w="676" w:type="dxa"/>
            <w:noWrap/>
            <w:hideMark/>
          </w:tcPr>
          <w:p w14:paraId="4E1C198E" w14:textId="77777777" w:rsidR="0053183F" w:rsidRPr="00BA1554" w:rsidRDefault="0053183F" w:rsidP="00CE0F0B">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lang w:eastAsia="pl-PL"/>
              </w:rPr>
            </w:pPr>
            <w:r w:rsidRPr="00BA1554">
              <w:rPr>
                <w:rFonts w:cstheme="minorHAnsi"/>
                <w:lang w:eastAsia="pl-PL"/>
              </w:rPr>
              <w:t>87 930</w:t>
            </w:r>
          </w:p>
        </w:tc>
        <w:tc>
          <w:tcPr>
            <w:tcW w:w="676" w:type="dxa"/>
            <w:noWrap/>
            <w:hideMark/>
          </w:tcPr>
          <w:p w14:paraId="270D4C75" w14:textId="77777777" w:rsidR="0053183F" w:rsidRPr="00BA1554" w:rsidRDefault="0053183F" w:rsidP="00CE0F0B">
            <w:pPr>
              <w:pStyle w:val="elementgraficznytabela"/>
              <w:spacing w:after="240"/>
              <w:cnfStyle w:val="000000000000" w:firstRow="0" w:lastRow="0" w:firstColumn="0" w:lastColumn="0" w:oddVBand="0" w:evenVBand="0" w:oddHBand="0" w:evenHBand="0" w:firstRowFirstColumn="0" w:firstRowLastColumn="0" w:lastRowFirstColumn="0" w:lastRowLastColumn="0"/>
              <w:rPr>
                <w:rFonts w:cstheme="minorHAnsi"/>
                <w:lang w:eastAsia="pl-PL"/>
              </w:rPr>
            </w:pPr>
            <w:r w:rsidRPr="00BA1554">
              <w:rPr>
                <w:rFonts w:cstheme="minorHAnsi"/>
                <w:lang w:eastAsia="pl-PL"/>
              </w:rPr>
              <w:t>86 176</w:t>
            </w:r>
          </w:p>
        </w:tc>
      </w:tr>
    </w:tbl>
    <w:p w14:paraId="45A2041E" w14:textId="21935D50" w:rsidR="0053183F" w:rsidRPr="0053183F" w:rsidRDefault="0053183F" w:rsidP="0053183F">
      <w:pPr>
        <w:ind w:hanging="851"/>
        <w:contextualSpacing/>
        <w:rPr>
          <w:rFonts w:asciiTheme="majorHAnsi" w:hAnsiTheme="majorHAnsi" w:cstheme="majorHAnsi"/>
          <w:lang w:val="pl-PL"/>
        </w:rPr>
      </w:pPr>
      <w:r w:rsidRPr="0053183F">
        <w:rPr>
          <w:rFonts w:asciiTheme="majorHAnsi" w:hAnsiTheme="majorHAnsi" w:cstheme="majorHAnsi"/>
          <w:lang w:val="pl-PL"/>
        </w:rPr>
        <w:t>Źródło: Dane GUS, Bank Danych Lokalnych</w:t>
      </w:r>
    </w:p>
    <w:p w14:paraId="53B3467D" w14:textId="77777777" w:rsidR="0053183F" w:rsidRDefault="0053183F" w:rsidP="0053183F">
      <w:pPr>
        <w:ind w:left="0"/>
        <w:contextualSpacing/>
        <w:rPr>
          <w:rFonts w:cstheme="minorHAnsi"/>
          <w:lang w:val="pl-PL"/>
        </w:rPr>
        <w:sectPr w:rsidR="0053183F" w:rsidSect="0053183F">
          <w:pgSz w:w="16838" w:h="11906" w:orient="landscape"/>
          <w:pgMar w:top="1418" w:right="1418" w:bottom="1418" w:left="1701" w:header="709" w:footer="709" w:gutter="0"/>
          <w:cols w:space="708"/>
          <w:docGrid w:linePitch="360"/>
        </w:sectPr>
      </w:pPr>
    </w:p>
    <w:p w14:paraId="65171D61" w14:textId="09F68F31" w:rsidR="00E736E3" w:rsidRPr="00C6675B" w:rsidRDefault="00E736E3" w:rsidP="00C6675B">
      <w:pPr>
        <w:pStyle w:val="Legenda"/>
        <w:rPr>
          <w:rFonts w:asciiTheme="majorHAnsi" w:hAnsiTheme="majorHAnsi" w:cstheme="majorHAnsi"/>
          <w:color w:val="000000"/>
          <w:lang w:val="pl-PL"/>
        </w:rPr>
      </w:pPr>
      <w:bookmarkStart w:id="118" w:name="_Toc69723200"/>
      <w:r w:rsidRPr="00733091">
        <w:rPr>
          <w:lang w:val="pl-PL"/>
        </w:rPr>
        <w:lastRenderedPageBreak/>
        <w:t xml:space="preserve">Wykres </w:t>
      </w:r>
      <w:r>
        <w:fldChar w:fldCharType="begin"/>
      </w:r>
      <w:r w:rsidRPr="00733091">
        <w:rPr>
          <w:lang w:val="pl-PL"/>
        </w:rPr>
        <w:instrText xml:space="preserve"> SEQ Wykres \* ARABIC </w:instrText>
      </w:r>
      <w:r>
        <w:fldChar w:fldCharType="separate"/>
      </w:r>
      <w:r w:rsidR="00B14787">
        <w:rPr>
          <w:noProof/>
          <w:lang w:val="pl-PL"/>
        </w:rPr>
        <w:t>42</w:t>
      </w:r>
      <w:r>
        <w:rPr>
          <w:noProof/>
        </w:rPr>
        <w:fldChar w:fldCharType="end"/>
      </w:r>
      <w:r w:rsidRPr="00733091">
        <w:rPr>
          <w:lang w:val="pl-PL"/>
        </w:rPr>
        <w:t>: Zastępowalność pokoleń na rynku pracy Południowych Mazur</w:t>
      </w:r>
      <w:bookmarkEnd w:id="118"/>
    </w:p>
    <w:p w14:paraId="06099914" w14:textId="79EE5EAC" w:rsidR="00E736E3" w:rsidRPr="00E736E3" w:rsidRDefault="00E736E3" w:rsidP="009F2D1C">
      <w:pPr>
        <w:ind w:left="0"/>
        <w:contextualSpacing/>
        <w:rPr>
          <w:rFonts w:cstheme="minorHAnsi"/>
          <w:lang w:val="pl-PL"/>
        </w:rPr>
      </w:pPr>
      <w:r>
        <w:rPr>
          <w:noProof/>
        </w:rPr>
        <w:drawing>
          <wp:inline distT="0" distB="0" distL="0" distR="0" wp14:anchorId="1CCCC42F" wp14:editId="3E7A292B">
            <wp:extent cx="5759450" cy="2303907"/>
            <wp:effectExtent l="19050" t="19050" r="12700" b="20320"/>
            <wp:docPr id="145" name="Obraz 145" descr="wykres liniowy wskazujący zastępowalność pokoleń na rynku pracy Południowych Mazurach w latach 2009-2019. Kolorem szarym zaznaczona jest różnica mieszkańców w wieku 20-24 i 60-64 lata. Kolorem czerwonym zaznaczona jest różnica liczby mieszkańców w wieku 10-24 i 50-64 l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Obraz 45" descr="wykres liniowy wskazujący zastępowalność pokoleń na rynku pracy Południowych Mazurach w latach 2009-2019. Kolorem szarym zaznaczona jest różnica mieszkańców w wieku 20-24 i 60-64 lata. Kolorem czerwonym zaznaczona jest różnica liczby mieszkańców w wieku 10-24 i 50-64 lata"/>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759450" cy="2303907"/>
                    </a:xfrm>
                    <a:prstGeom prst="rect">
                      <a:avLst/>
                    </a:prstGeom>
                    <a:noFill/>
                    <a:ln>
                      <a:solidFill>
                        <a:schemeClr val="tx2"/>
                      </a:solidFill>
                    </a:ln>
                  </pic:spPr>
                </pic:pic>
              </a:graphicData>
            </a:graphic>
          </wp:inline>
        </w:drawing>
      </w:r>
      <w:r w:rsidRPr="00FB5B78">
        <w:rPr>
          <w:rFonts w:cstheme="minorHAnsi"/>
          <w:color w:val="44546A" w:themeColor="text2"/>
          <w:szCs w:val="24"/>
          <w:lang w:val="pl-PL"/>
        </w:rPr>
        <w:t>Źródło: opracowanie ZMP na podstawie https://analizy.monitorrozwoju.pl</w:t>
      </w:r>
    </w:p>
    <w:p w14:paraId="4F9DC7C8" w14:textId="3EC07989" w:rsidR="00E736E3" w:rsidRDefault="00E736E3" w:rsidP="00E736E3">
      <w:pPr>
        <w:ind w:hanging="851"/>
        <w:contextualSpacing/>
        <w:rPr>
          <w:rFonts w:cstheme="minorHAnsi"/>
          <w:lang w:val="pl-PL"/>
        </w:rPr>
      </w:pPr>
    </w:p>
    <w:p w14:paraId="71A56B06" w14:textId="64CEA29C" w:rsidR="00EA3474" w:rsidRPr="0053183F" w:rsidRDefault="0053183F" w:rsidP="0053183F">
      <w:pPr>
        <w:rPr>
          <w:lang w:val="pl-PL"/>
        </w:rPr>
        <w:sectPr w:rsidR="00EA3474" w:rsidRPr="0053183F" w:rsidSect="00C16CB1">
          <w:pgSz w:w="11906" w:h="16838"/>
          <w:pgMar w:top="1418" w:right="1418" w:bottom="1701" w:left="1418" w:header="709" w:footer="709" w:gutter="0"/>
          <w:cols w:space="708"/>
          <w:docGrid w:linePitch="360"/>
        </w:sectPr>
      </w:pPr>
      <w:r>
        <w:rPr>
          <w:rFonts w:asciiTheme="majorHAnsi" w:hAnsiTheme="majorHAnsi" w:cstheme="majorHAnsi"/>
          <w:noProof/>
          <w:color w:val="000000"/>
        </w:rPr>
        <mc:AlternateContent>
          <mc:Choice Requires="wps">
            <w:drawing>
              <wp:anchor distT="0" distB="0" distL="114300" distR="114300" simplePos="0" relativeHeight="251658267" behindDoc="0" locked="0" layoutInCell="1" allowOverlap="1" wp14:anchorId="47E58A31" wp14:editId="6B5B8513">
                <wp:simplePos x="0" y="0"/>
                <wp:positionH relativeFrom="margin">
                  <wp:align>right</wp:align>
                </wp:positionH>
                <wp:positionV relativeFrom="paragraph">
                  <wp:posOffset>1753925</wp:posOffset>
                </wp:positionV>
                <wp:extent cx="5684520" cy="1508760"/>
                <wp:effectExtent l="0" t="0" r="11430" b="15240"/>
                <wp:wrapNone/>
                <wp:docPr id="18" name="Pole tekstowe 18"/>
                <wp:cNvGraphicFramePr/>
                <a:graphic xmlns:a="http://schemas.openxmlformats.org/drawingml/2006/main">
                  <a:graphicData uri="http://schemas.microsoft.com/office/word/2010/wordprocessingShape">
                    <wps:wsp>
                      <wps:cNvSpPr txBox="1"/>
                      <wps:spPr>
                        <a:xfrm>
                          <a:off x="0" y="0"/>
                          <a:ext cx="5684520" cy="1508760"/>
                        </a:xfrm>
                        <a:prstGeom prst="rect">
                          <a:avLst/>
                        </a:prstGeom>
                        <a:solidFill>
                          <a:schemeClr val="accent1">
                            <a:lumMod val="20000"/>
                            <a:lumOff val="80000"/>
                          </a:schemeClr>
                        </a:solidFill>
                        <a:ln w="6350">
                          <a:solidFill>
                            <a:schemeClr val="accent1"/>
                          </a:solidFill>
                        </a:ln>
                      </wps:spPr>
                      <wps:txbx>
                        <w:txbxContent>
                          <w:p w14:paraId="36E5BB90" w14:textId="65303F3C" w:rsidR="00B14787" w:rsidRDefault="00B14787" w:rsidP="00EA3474">
                            <w:pPr>
                              <w:ind w:left="142"/>
                              <w:jc w:val="both"/>
                              <w:rPr>
                                <w:szCs w:val="24"/>
                                <w:lang w:val="pl-PL"/>
                              </w:rPr>
                            </w:pPr>
                            <w:r w:rsidRPr="00FB5B78">
                              <w:rPr>
                                <w:b/>
                                <w:bCs/>
                                <w:szCs w:val="24"/>
                                <w:lang w:val="pl-PL"/>
                              </w:rPr>
                              <w:t>46,80%</w:t>
                            </w:r>
                            <w:r w:rsidRPr="00FB5B78">
                              <w:rPr>
                                <w:szCs w:val="24"/>
                                <w:lang w:val="pl-PL"/>
                              </w:rPr>
                              <w:t xml:space="preserve"> młodzieży po ukończeniu szkoły średniej planuje kontynuować naukę </w:t>
                            </w:r>
                            <w:r>
                              <w:rPr>
                                <w:szCs w:val="24"/>
                                <w:lang w:val="pl-PL"/>
                              </w:rPr>
                              <w:br/>
                            </w:r>
                            <w:r w:rsidRPr="00FB5B78">
                              <w:rPr>
                                <w:szCs w:val="24"/>
                                <w:lang w:val="pl-PL"/>
                              </w:rPr>
                              <w:t xml:space="preserve">i pracować, a </w:t>
                            </w:r>
                            <w:r w:rsidRPr="00FB5B78">
                              <w:rPr>
                                <w:b/>
                                <w:bCs/>
                                <w:szCs w:val="24"/>
                                <w:lang w:val="pl-PL"/>
                              </w:rPr>
                              <w:t>18,47%</w:t>
                            </w:r>
                            <w:r w:rsidRPr="00FB5B78">
                              <w:rPr>
                                <w:szCs w:val="24"/>
                                <w:lang w:val="pl-PL"/>
                              </w:rPr>
                              <w:t xml:space="preserve"> podjąć pracę</w:t>
                            </w:r>
                            <w:r>
                              <w:rPr>
                                <w:szCs w:val="24"/>
                                <w:lang w:val="pl-PL"/>
                              </w:rPr>
                              <w:t>, j</w:t>
                            </w:r>
                            <w:r w:rsidRPr="00FB5B78">
                              <w:rPr>
                                <w:szCs w:val="24"/>
                                <w:lang w:val="pl-PL"/>
                              </w:rPr>
                              <w:t xml:space="preserve">ednakże tylko </w:t>
                            </w:r>
                            <w:r w:rsidRPr="00FB5B78">
                              <w:rPr>
                                <w:b/>
                                <w:bCs/>
                                <w:szCs w:val="24"/>
                                <w:lang w:val="pl-PL"/>
                              </w:rPr>
                              <w:t>15,39%</w:t>
                            </w:r>
                            <w:r w:rsidRPr="00FB5B78">
                              <w:rPr>
                                <w:szCs w:val="24"/>
                                <w:lang w:val="pl-PL"/>
                              </w:rPr>
                              <w:t xml:space="preserve"> młodzieży chce pracować na terenie Partnerstwa. Aż </w:t>
                            </w:r>
                            <w:r w:rsidRPr="00FB5B78">
                              <w:rPr>
                                <w:b/>
                                <w:bCs/>
                                <w:szCs w:val="24"/>
                                <w:lang w:val="pl-PL"/>
                              </w:rPr>
                              <w:t>65,74%</w:t>
                            </w:r>
                            <w:r w:rsidRPr="00FB5B78">
                              <w:rPr>
                                <w:szCs w:val="24"/>
                                <w:lang w:val="pl-PL"/>
                              </w:rPr>
                              <w:t xml:space="preserve"> badanych zamierza pracować poza obszarem Partnerstwa, w tym – 25,02% poza granicami Polski. </w:t>
                            </w:r>
                          </w:p>
                          <w:p w14:paraId="2659531D" w14:textId="77777777" w:rsidR="00B14787" w:rsidRPr="004205E2" w:rsidRDefault="00B14787" w:rsidP="00EA3474">
                            <w:pPr>
                              <w:ind w:left="142"/>
                              <w:jc w:val="both"/>
                              <w:rPr>
                                <w:szCs w:val="24"/>
                                <w:lang w:val="pl-PL"/>
                              </w:rPr>
                            </w:pPr>
                            <w:r w:rsidRPr="004205E2">
                              <w:rPr>
                                <w:szCs w:val="24"/>
                                <w:lang w:val="pl-PL"/>
                              </w:rPr>
                              <w:t xml:space="preserve">Kontynuować naukę poza miejscem zamieszkania zamierza </w:t>
                            </w:r>
                            <w:r w:rsidRPr="004205E2">
                              <w:rPr>
                                <w:b/>
                                <w:bCs/>
                                <w:szCs w:val="24"/>
                                <w:lang w:val="pl-PL"/>
                              </w:rPr>
                              <w:t>ponad 53% badanych.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E58A31" id="Pole tekstowe 18" o:spid="_x0000_s1043" type="#_x0000_t202" style="position:absolute;left:0;text-align:left;margin-left:396.4pt;margin-top:138.1pt;width:447.6pt;height:118.8pt;z-index:251658267;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" fillcolor="#d9e2f3 [660]" strokecolor="#4472c4 [3204]" strokeweight=".5pt">
                <v:textbox>
                  <w:txbxContent>
                    <w:p w14:paraId="36E5BB90" w14:textId="65303F3C" w:rsidR="00B14787" w:rsidRDefault="00B14787" w:rsidP="00EA3474">
                      <w:pPr>
                        <w:ind w:left="142"/>
                        <w:jc w:val="both"/>
                        <w:rPr>
                          <w:szCs w:val="24"/>
                          <w:lang w:val="pl-PL"/>
                        </w:rPr>
                      </w:pPr>
                      <w:r w:rsidRPr="00FB5B78">
                        <w:rPr>
                          <w:b/>
                          <w:bCs/>
                          <w:szCs w:val="24"/>
                          <w:lang w:val="pl-PL"/>
                        </w:rPr>
                        <w:t>46,80%</w:t>
                      </w:r>
                      <w:r w:rsidRPr="00FB5B78">
                        <w:rPr>
                          <w:szCs w:val="24"/>
                          <w:lang w:val="pl-PL"/>
                        </w:rPr>
                        <w:t xml:space="preserve"> młodzieży po ukończeniu szkoły średniej planuje kontynuować naukę </w:t>
                      </w:r>
                      <w:r>
                        <w:rPr>
                          <w:szCs w:val="24"/>
                          <w:lang w:val="pl-PL"/>
                        </w:rPr>
                        <w:br/>
                      </w:r>
                      <w:r w:rsidRPr="00FB5B78">
                        <w:rPr>
                          <w:szCs w:val="24"/>
                          <w:lang w:val="pl-PL"/>
                        </w:rPr>
                        <w:t xml:space="preserve">i pracować, a </w:t>
                      </w:r>
                      <w:r w:rsidRPr="00FB5B78">
                        <w:rPr>
                          <w:b/>
                          <w:bCs/>
                          <w:szCs w:val="24"/>
                          <w:lang w:val="pl-PL"/>
                        </w:rPr>
                        <w:t>18,47%</w:t>
                      </w:r>
                      <w:r w:rsidRPr="00FB5B78">
                        <w:rPr>
                          <w:szCs w:val="24"/>
                          <w:lang w:val="pl-PL"/>
                        </w:rPr>
                        <w:t xml:space="preserve"> podjąć pracę</w:t>
                      </w:r>
                      <w:r>
                        <w:rPr>
                          <w:szCs w:val="24"/>
                          <w:lang w:val="pl-PL"/>
                        </w:rPr>
                        <w:t>, j</w:t>
                      </w:r>
                      <w:r w:rsidRPr="00FB5B78">
                        <w:rPr>
                          <w:szCs w:val="24"/>
                          <w:lang w:val="pl-PL"/>
                        </w:rPr>
                        <w:t xml:space="preserve">ednakże tylko </w:t>
                      </w:r>
                      <w:r w:rsidRPr="00FB5B78">
                        <w:rPr>
                          <w:b/>
                          <w:bCs/>
                          <w:szCs w:val="24"/>
                          <w:lang w:val="pl-PL"/>
                        </w:rPr>
                        <w:t>15,39%</w:t>
                      </w:r>
                      <w:r w:rsidRPr="00FB5B78">
                        <w:rPr>
                          <w:szCs w:val="24"/>
                          <w:lang w:val="pl-PL"/>
                        </w:rPr>
                        <w:t xml:space="preserve"> młodzieży chce pracować na terenie Partnerstwa. Aż </w:t>
                      </w:r>
                      <w:r w:rsidRPr="00FB5B78">
                        <w:rPr>
                          <w:b/>
                          <w:bCs/>
                          <w:szCs w:val="24"/>
                          <w:lang w:val="pl-PL"/>
                        </w:rPr>
                        <w:t>65,74%</w:t>
                      </w:r>
                      <w:r w:rsidRPr="00FB5B78">
                        <w:rPr>
                          <w:szCs w:val="24"/>
                          <w:lang w:val="pl-PL"/>
                        </w:rPr>
                        <w:t xml:space="preserve"> badanych zamierza pracować poza obszarem Partnerstwa, w tym – 25,02% poza granicami Polski. </w:t>
                      </w:r>
                    </w:p>
                    <w:p w14:paraId="2659531D" w14:textId="77777777" w:rsidR="00B14787" w:rsidRPr="004205E2" w:rsidRDefault="00B14787" w:rsidP="00EA3474">
                      <w:pPr>
                        <w:ind w:left="142"/>
                        <w:jc w:val="both"/>
                        <w:rPr>
                          <w:szCs w:val="24"/>
                          <w:lang w:val="pl-PL"/>
                        </w:rPr>
                      </w:pPr>
                      <w:r w:rsidRPr="004205E2">
                        <w:rPr>
                          <w:szCs w:val="24"/>
                          <w:lang w:val="pl-PL"/>
                        </w:rPr>
                        <w:t xml:space="preserve">Kontynuować naukę poza miejscem zamieszkania zamierza </w:t>
                      </w:r>
                      <w:r w:rsidRPr="004205E2">
                        <w:rPr>
                          <w:b/>
                          <w:bCs/>
                          <w:szCs w:val="24"/>
                          <w:lang w:val="pl-PL"/>
                        </w:rPr>
                        <w:t>ponad 53% badanych.</w:t>
                      </w:r>
                    </w:p>
                  </w:txbxContent>
                </v:textbox>
                <w10:wrap anchorx="margin"/>
              </v:shape>
            </w:pict>
          </mc:Fallback>
        </mc:AlternateContent>
      </w:r>
      <w:r w:rsidR="00EA3474" w:rsidRPr="00733091">
        <w:rPr>
          <w:lang w:val="pl-PL"/>
        </w:rPr>
        <w:t>O słabnącym potencjale Południowych Mazur świadczy również liczba absolwentów i uczniów szkół średnich i zawodowych, którzy – jako siła robocza – mogliby zasilać rynek pracy. W okresie od 2014 r. do 2018 r.  liczba absolwentów szkół średnich spadła o 23,51%. Spada również liczba uczniów szkół zawodowych (w okresie 2012-2018 spadek wynosił 38,02%). Tendencje te, w zestawieniu z planami zawodowymi młodzieży, świadczą o wysokim prawdopodobieństwie znacznego ograniczenia zasobów pracy na terenie Południowych Maz</w:t>
      </w:r>
      <w:r>
        <w:rPr>
          <w:lang w:val="pl-PL"/>
        </w:rPr>
        <w:t>ur.</w:t>
      </w:r>
    </w:p>
    <w:p w14:paraId="317BEA7B" w14:textId="68C1A1E5" w:rsidR="001E162D" w:rsidRPr="00690E7F" w:rsidRDefault="000D5907" w:rsidP="00733091">
      <w:pPr>
        <w:pStyle w:val="Nagwek4"/>
        <w:spacing w:before="120" w:after="240"/>
      </w:pPr>
      <w:r w:rsidRPr="000D5907">
        <w:lastRenderedPageBreak/>
        <w:t>Rynek pracy w ujęciu popytowym. Potrzeby pracodawców</w:t>
      </w:r>
    </w:p>
    <w:p w14:paraId="5538DA41" w14:textId="490A4939" w:rsidR="00577383" w:rsidRPr="00FB5B78" w:rsidRDefault="00577383" w:rsidP="00FB5B78">
      <w:pPr>
        <w:rPr>
          <w:lang w:val="pl-PL"/>
        </w:rPr>
      </w:pPr>
      <w:r w:rsidRPr="00733091">
        <w:rPr>
          <w:lang w:val="pl-PL"/>
        </w:rPr>
        <w:t xml:space="preserve">Istotnym elementem kształtującym rynek pracy są potrzeby i oczekiwania pracodawców. W tym kontekście można wyodrębnić poszukiwane przez pracodawców kwalifikacje i odpowiadające im zawody. Lista zawodów, w których </w:t>
      </w:r>
      <w:r w:rsidR="00AA3128">
        <w:rPr>
          <w:lang w:val="pl-PL"/>
        </w:rPr>
        <w:br/>
      </w:r>
      <w:r w:rsidRPr="00733091">
        <w:rPr>
          <w:lang w:val="pl-PL"/>
        </w:rPr>
        <w:t>w 2020 r. najtrudniej było pracodawcom znaleźć odpowiednich kandydatów prezentuje poniższa tabela, w której kolorem czerwonym wyróżniono te zawody, na które planowany jest duży lub bardzo duży wzrost zapotrzebowania, a kolorem niebieskim te, które związane są z konkurencyjnymi segmentami gospodarki Południowych Mazur (głównie turystyką i przemysłem drzewnym)</w:t>
      </w:r>
      <w:r w:rsidR="00AA3128">
        <w:rPr>
          <w:lang w:val="pl-PL"/>
        </w:rPr>
        <w:t>.</w:t>
      </w:r>
    </w:p>
    <w:p w14:paraId="672CD7A5" w14:textId="020CFDAF" w:rsidR="003C7BFF" w:rsidRDefault="00577383" w:rsidP="002E24A9">
      <w:pPr>
        <w:pStyle w:val="Legenda"/>
        <w:rPr>
          <w:lang w:val="pl-PL"/>
        </w:rPr>
      </w:pPr>
      <w:bookmarkStart w:id="119" w:name="_Toc69723268"/>
      <w:r w:rsidRPr="00733091">
        <w:rPr>
          <w:lang w:val="pl-PL"/>
        </w:rPr>
        <w:t xml:space="preserve">Tabela </w:t>
      </w:r>
      <w:r w:rsidR="00733091">
        <w:fldChar w:fldCharType="begin"/>
      </w:r>
      <w:r w:rsidR="00733091" w:rsidRPr="00733091">
        <w:rPr>
          <w:lang w:val="pl-PL"/>
        </w:rPr>
        <w:instrText xml:space="preserve"> SEQ Tabela \* ARABIC </w:instrText>
      </w:r>
      <w:r w:rsidR="00733091">
        <w:fldChar w:fldCharType="separate"/>
      </w:r>
      <w:r w:rsidR="00B14787">
        <w:rPr>
          <w:noProof/>
          <w:lang w:val="pl-PL"/>
        </w:rPr>
        <w:t>19</w:t>
      </w:r>
      <w:r w:rsidR="00733091">
        <w:rPr>
          <w:noProof/>
        </w:rPr>
        <w:fldChar w:fldCharType="end"/>
      </w:r>
      <w:r w:rsidRPr="00733091">
        <w:rPr>
          <w:lang w:val="pl-PL"/>
        </w:rPr>
        <w:t>. Lista zawodów deficytowych w powiatach Południowych Mazur (2020 r.)</w:t>
      </w:r>
      <w:bookmarkEnd w:id="119"/>
    </w:p>
    <w:tbl>
      <w:tblPr>
        <w:tblStyle w:val="CWD"/>
        <w:tblW w:w="9099" w:type="dxa"/>
        <w:tblLook w:val="04A0" w:firstRow="1" w:lastRow="0" w:firstColumn="1" w:lastColumn="0" w:noHBand="0" w:noVBand="1"/>
      </w:tblPr>
      <w:tblGrid>
        <w:gridCol w:w="4957"/>
        <w:gridCol w:w="1134"/>
        <w:gridCol w:w="993"/>
        <w:gridCol w:w="992"/>
        <w:gridCol w:w="1023"/>
      </w:tblGrid>
      <w:tr w:rsidR="00FC5673" w14:paraId="736C5AF6" w14:textId="77777777" w:rsidTr="00FC5673">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4957" w:type="dxa"/>
          </w:tcPr>
          <w:p w14:paraId="200575FE" w14:textId="10F88F79" w:rsidR="00FC5673" w:rsidRDefault="00FC5673" w:rsidP="00C6675B">
            <w:pPr>
              <w:spacing w:after="120"/>
              <w:ind w:left="0"/>
              <w:contextualSpacing/>
              <w:rPr>
                <w:lang w:val="pl-PL"/>
              </w:rPr>
            </w:pPr>
            <w:r>
              <w:t>Zawody deficytowe</w:t>
            </w:r>
          </w:p>
        </w:tc>
        <w:tc>
          <w:tcPr>
            <w:tcW w:w="1134" w:type="dxa"/>
          </w:tcPr>
          <w:p w14:paraId="0C8C6233" w14:textId="2AA4CF7A" w:rsidR="00FC5673" w:rsidRDefault="00FC5673" w:rsidP="00C6675B">
            <w:pPr>
              <w:spacing w:after="120"/>
              <w:ind w:left="0"/>
              <w:contextualSpacing/>
              <w:jc w:val="right"/>
              <w:cnfStyle w:val="100000000000" w:firstRow="1" w:lastRow="0" w:firstColumn="0" w:lastColumn="0" w:oddVBand="0" w:evenVBand="0" w:oddHBand="0" w:evenHBand="0" w:firstRowFirstColumn="0" w:firstRowLastColumn="0" w:lastRowFirstColumn="0" w:lastRowLastColumn="0"/>
              <w:rPr>
                <w:lang w:val="pl-PL"/>
              </w:rPr>
            </w:pPr>
            <w:r>
              <w:t>P</w:t>
            </w:r>
            <w:r w:rsidRPr="003C7BFF">
              <w:t>D</w:t>
            </w:r>
          </w:p>
        </w:tc>
        <w:tc>
          <w:tcPr>
            <w:tcW w:w="993" w:type="dxa"/>
          </w:tcPr>
          <w:p w14:paraId="009FF89A" w14:textId="0FB84FD8" w:rsidR="00FC5673" w:rsidRDefault="00FC5673" w:rsidP="00C6675B">
            <w:pPr>
              <w:spacing w:after="120"/>
              <w:ind w:left="0"/>
              <w:contextualSpacing/>
              <w:jc w:val="right"/>
              <w:cnfStyle w:val="100000000000" w:firstRow="1" w:lastRow="0" w:firstColumn="0" w:lastColumn="0" w:oddVBand="0" w:evenVBand="0" w:oddHBand="0" w:evenHBand="0" w:firstRowFirstColumn="0" w:firstRowLastColumn="0" w:lastRowFirstColumn="0" w:lastRowLastColumn="0"/>
              <w:rPr>
                <w:lang w:val="pl-PL"/>
              </w:rPr>
            </w:pPr>
            <w:r>
              <w:t>P</w:t>
            </w:r>
            <w:r w:rsidRPr="003C7BFF">
              <w:t>N</w:t>
            </w:r>
          </w:p>
        </w:tc>
        <w:tc>
          <w:tcPr>
            <w:tcW w:w="992" w:type="dxa"/>
          </w:tcPr>
          <w:p w14:paraId="1410D6A8" w14:textId="2CDBC0C0" w:rsidR="00FC5673" w:rsidRDefault="00FC5673" w:rsidP="00C6675B">
            <w:pPr>
              <w:spacing w:after="120"/>
              <w:ind w:left="0"/>
              <w:contextualSpacing/>
              <w:jc w:val="right"/>
              <w:cnfStyle w:val="100000000000" w:firstRow="1" w:lastRow="0" w:firstColumn="0" w:lastColumn="0" w:oddVBand="0" w:evenVBand="0" w:oddHBand="0" w:evenHBand="0" w:firstRowFirstColumn="0" w:firstRowLastColumn="0" w:lastRowFirstColumn="0" w:lastRowLastColumn="0"/>
              <w:rPr>
                <w:lang w:val="pl-PL"/>
              </w:rPr>
            </w:pPr>
            <w:r>
              <w:t>P</w:t>
            </w:r>
            <w:r w:rsidRPr="003C7BFF">
              <w:t>P</w:t>
            </w:r>
          </w:p>
        </w:tc>
        <w:tc>
          <w:tcPr>
            <w:tcW w:w="1023" w:type="dxa"/>
          </w:tcPr>
          <w:p w14:paraId="6507B309" w14:textId="057E50D5" w:rsidR="00FC5673" w:rsidRDefault="00FC5673" w:rsidP="00C6675B">
            <w:pPr>
              <w:spacing w:after="120"/>
              <w:ind w:left="0"/>
              <w:contextualSpacing/>
              <w:jc w:val="right"/>
              <w:cnfStyle w:val="100000000000" w:firstRow="1" w:lastRow="0" w:firstColumn="0" w:lastColumn="0" w:oddVBand="0" w:evenVBand="0" w:oddHBand="0" w:evenHBand="0" w:firstRowFirstColumn="0" w:firstRowLastColumn="0" w:lastRowFirstColumn="0" w:lastRowLastColumn="0"/>
              <w:rPr>
                <w:lang w:val="pl-PL"/>
              </w:rPr>
            </w:pPr>
            <w:r>
              <w:t>P</w:t>
            </w:r>
            <w:r w:rsidRPr="003C7BFF">
              <w:t>S</w:t>
            </w:r>
          </w:p>
        </w:tc>
      </w:tr>
      <w:tr w:rsidR="00FC5673" w14:paraId="11FBCAE0" w14:textId="77777777" w:rsidTr="00FC5673">
        <w:tc>
          <w:tcPr>
            <w:cnfStyle w:val="001000000000" w:firstRow="0" w:lastRow="0" w:firstColumn="1" w:lastColumn="0" w:oddVBand="0" w:evenVBand="0" w:oddHBand="0" w:evenHBand="0" w:firstRowFirstColumn="0" w:firstRowLastColumn="0" w:lastRowFirstColumn="0" w:lastRowLastColumn="0"/>
            <w:tcW w:w="4957" w:type="dxa"/>
          </w:tcPr>
          <w:p w14:paraId="68FD0577" w14:textId="043183CE" w:rsidR="00FC5673" w:rsidRPr="0053183F" w:rsidRDefault="00FC5673" w:rsidP="00C6675B">
            <w:pPr>
              <w:spacing w:after="120"/>
              <w:ind w:left="0"/>
              <w:contextualSpacing/>
              <w:rPr>
                <w:b w:val="0"/>
                <w:bCs/>
                <w:lang w:val="pl-PL"/>
              </w:rPr>
            </w:pPr>
            <w:r w:rsidRPr="0053183F">
              <w:rPr>
                <w:b w:val="0"/>
                <w:bCs/>
              </w:rPr>
              <w:t>betoniarze i zbrojarze</w:t>
            </w:r>
          </w:p>
        </w:tc>
        <w:tc>
          <w:tcPr>
            <w:tcW w:w="1134" w:type="dxa"/>
          </w:tcPr>
          <w:p w14:paraId="4DC78E61" w14:textId="7A9A1F7E" w:rsidR="00FC5673" w:rsidRDefault="00FC5673" w:rsidP="00C6675B">
            <w:pPr>
              <w:spacing w:after="120"/>
              <w:ind w:left="0"/>
              <w:contextualSpacing/>
              <w:cnfStyle w:val="000000000000" w:firstRow="0" w:lastRow="0" w:firstColumn="0" w:lastColumn="0" w:oddVBand="0" w:evenVBand="0" w:oddHBand="0" w:evenHBand="0" w:firstRowFirstColumn="0" w:firstRowLastColumn="0" w:lastRowFirstColumn="0" w:lastRowLastColumn="0"/>
              <w:rPr>
                <w:lang w:val="pl-PL"/>
              </w:rPr>
            </w:pPr>
            <w:r w:rsidRPr="003C7BFF">
              <w:t>1</w:t>
            </w:r>
          </w:p>
        </w:tc>
        <w:tc>
          <w:tcPr>
            <w:tcW w:w="993" w:type="dxa"/>
          </w:tcPr>
          <w:p w14:paraId="7BAE0B82" w14:textId="05B724AE" w:rsidR="00FC5673" w:rsidRDefault="00FC5673" w:rsidP="00C6675B">
            <w:pPr>
              <w:spacing w:after="120"/>
              <w:ind w:left="0"/>
              <w:contextualSpacing/>
              <w:cnfStyle w:val="000000000000" w:firstRow="0" w:lastRow="0" w:firstColumn="0" w:lastColumn="0" w:oddVBand="0" w:evenVBand="0" w:oddHBand="0" w:evenHBand="0" w:firstRowFirstColumn="0" w:firstRowLastColumn="0" w:lastRowFirstColumn="0" w:lastRowLastColumn="0"/>
              <w:rPr>
                <w:lang w:val="pl-PL"/>
              </w:rPr>
            </w:pPr>
            <w:r w:rsidRPr="003C7BFF">
              <w:t>1</w:t>
            </w:r>
          </w:p>
        </w:tc>
        <w:tc>
          <w:tcPr>
            <w:tcW w:w="992" w:type="dxa"/>
          </w:tcPr>
          <w:p w14:paraId="5EFC661F" w14:textId="5E06DD15" w:rsidR="00FC5673" w:rsidRDefault="00FC5673" w:rsidP="00C6675B">
            <w:pPr>
              <w:spacing w:after="120"/>
              <w:ind w:left="0"/>
              <w:contextualSpacing/>
              <w:cnfStyle w:val="000000000000" w:firstRow="0" w:lastRow="0" w:firstColumn="0" w:lastColumn="0" w:oddVBand="0" w:evenVBand="0" w:oddHBand="0" w:evenHBand="0" w:firstRowFirstColumn="0" w:firstRowLastColumn="0" w:lastRowFirstColumn="0" w:lastRowLastColumn="0"/>
              <w:rPr>
                <w:lang w:val="pl-PL"/>
              </w:rPr>
            </w:pPr>
            <w:r w:rsidRPr="003C7BFF">
              <w:t>1</w:t>
            </w:r>
          </w:p>
        </w:tc>
        <w:tc>
          <w:tcPr>
            <w:tcW w:w="1023" w:type="dxa"/>
          </w:tcPr>
          <w:p w14:paraId="13E6A2AF" w14:textId="77777777" w:rsidR="00FC5673" w:rsidRDefault="00FC5673" w:rsidP="00C6675B">
            <w:pPr>
              <w:spacing w:after="120"/>
              <w:ind w:left="0"/>
              <w:contextualSpacing/>
              <w:cnfStyle w:val="000000000000" w:firstRow="0" w:lastRow="0" w:firstColumn="0" w:lastColumn="0" w:oddVBand="0" w:evenVBand="0" w:oddHBand="0" w:evenHBand="0" w:firstRowFirstColumn="0" w:firstRowLastColumn="0" w:lastRowFirstColumn="0" w:lastRowLastColumn="0"/>
              <w:rPr>
                <w:lang w:val="pl-PL"/>
              </w:rPr>
            </w:pPr>
          </w:p>
        </w:tc>
      </w:tr>
      <w:tr w:rsidR="00FC5673" w14:paraId="4A075064" w14:textId="77777777" w:rsidTr="00FC5673">
        <w:tc>
          <w:tcPr>
            <w:cnfStyle w:val="001000000000" w:firstRow="0" w:lastRow="0" w:firstColumn="1" w:lastColumn="0" w:oddVBand="0" w:evenVBand="0" w:oddHBand="0" w:evenHBand="0" w:firstRowFirstColumn="0" w:firstRowLastColumn="0" w:lastRowFirstColumn="0" w:lastRowLastColumn="0"/>
            <w:tcW w:w="4957" w:type="dxa"/>
          </w:tcPr>
          <w:p w14:paraId="03A2A8CE" w14:textId="485C5F79" w:rsidR="00FC5673" w:rsidRPr="0053183F" w:rsidRDefault="00FC5673" w:rsidP="00C6675B">
            <w:pPr>
              <w:spacing w:after="120"/>
              <w:ind w:left="0"/>
              <w:contextualSpacing/>
              <w:rPr>
                <w:b w:val="0"/>
                <w:bCs/>
                <w:lang w:val="pl-PL"/>
              </w:rPr>
            </w:pPr>
            <w:r w:rsidRPr="0053183F">
              <w:rPr>
                <w:b w:val="0"/>
                <w:bCs/>
              </w:rPr>
              <w:t>cieśle i stolarze budowlani</w:t>
            </w:r>
          </w:p>
        </w:tc>
        <w:tc>
          <w:tcPr>
            <w:tcW w:w="1134" w:type="dxa"/>
          </w:tcPr>
          <w:p w14:paraId="12328782" w14:textId="1AC76D91" w:rsidR="00FC5673" w:rsidRDefault="00FC5673" w:rsidP="00C6675B">
            <w:pPr>
              <w:spacing w:after="120"/>
              <w:ind w:left="0"/>
              <w:contextualSpacing/>
              <w:cnfStyle w:val="000000000000" w:firstRow="0" w:lastRow="0" w:firstColumn="0" w:lastColumn="0" w:oddVBand="0" w:evenVBand="0" w:oddHBand="0" w:evenHBand="0" w:firstRowFirstColumn="0" w:firstRowLastColumn="0" w:lastRowFirstColumn="0" w:lastRowLastColumn="0"/>
              <w:rPr>
                <w:lang w:val="pl-PL"/>
              </w:rPr>
            </w:pPr>
            <w:r w:rsidRPr="003C7BFF">
              <w:t>1</w:t>
            </w:r>
          </w:p>
        </w:tc>
        <w:tc>
          <w:tcPr>
            <w:tcW w:w="993" w:type="dxa"/>
          </w:tcPr>
          <w:p w14:paraId="37854132" w14:textId="6FC30786" w:rsidR="00FC5673" w:rsidRDefault="00FC5673" w:rsidP="00C6675B">
            <w:pPr>
              <w:spacing w:after="120"/>
              <w:ind w:left="0"/>
              <w:contextualSpacing/>
              <w:cnfStyle w:val="000000000000" w:firstRow="0" w:lastRow="0" w:firstColumn="0" w:lastColumn="0" w:oddVBand="0" w:evenVBand="0" w:oddHBand="0" w:evenHBand="0" w:firstRowFirstColumn="0" w:firstRowLastColumn="0" w:lastRowFirstColumn="0" w:lastRowLastColumn="0"/>
              <w:rPr>
                <w:lang w:val="pl-PL"/>
              </w:rPr>
            </w:pPr>
            <w:r w:rsidRPr="003C7BFF">
              <w:t>1</w:t>
            </w:r>
          </w:p>
        </w:tc>
        <w:tc>
          <w:tcPr>
            <w:tcW w:w="992" w:type="dxa"/>
          </w:tcPr>
          <w:p w14:paraId="0E22F322" w14:textId="28049432" w:rsidR="00FC5673" w:rsidRDefault="00FC5673" w:rsidP="00C6675B">
            <w:pPr>
              <w:spacing w:after="120"/>
              <w:ind w:left="0"/>
              <w:contextualSpacing/>
              <w:cnfStyle w:val="000000000000" w:firstRow="0" w:lastRow="0" w:firstColumn="0" w:lastColumn="0" w:oddVBand="0" w:evenVBand="0" w:oddHBand="0" w:evenHBand="0" w:firstRowFirstColumn="0" w:firstRowLastColumn="0" w:lastRowFirstColumn="0" w:lastRowLastColumn="0"/>
              <w:rPr>
                <w:lang w:val="pl-PL"/>
              </w:rPr>
            </w:pPr>
            <w:r w:rsidRPr="003C7BFF">
              <w:t>1</w:t>
            </w:r>
          </w:p>
        </w:tc>
        <w:tc>
          <w:tcPr>
            <w:tcW w:w="1023" w:type="dxa"/>
          </w:tcPr>
          <w:p w14:paraId="6DD61C44" w14:textId="52B60706" w:rsidR="00FC5673" w:rsidRDefault="00FC5673" w:rsidP="00C6675B">
            <w:pPr>
              <w:spacing w:after="120"/>
              <w:ind w:left="0"/>
              <w:contextualSpacing/>
              <w:cnfStyle w:val="000000000000" w:firstRow="0" w:lastRow="0" w:firstColumn="0" w:lastColumn="0" w:oddVBand="0" w:evenVBand="0" w:oddHBand="0" w:evenHBand="0" w:firstRowFirstColumn="0" w:firstRowLastColumn="0" w:lastRowFirstColumn="0" w:lastRowLastColumn="0"/>
              <w:rPr>
                <w:lang w:val="pl-PL"/>
              </w:rPr>
            </w:pPr>
            <w:r w:rsidRPr="003C7BFF">
              <w:t>1</w:t>
            </w:r>
          </w:p>
        </w:tc>
      </w:tr>
      <w:tr w:rsidR="00FC5673" w14:paraId="3C06411C" w14:textId="77777777" w:rsidTr="00FC5673">
        <w:tc>
          <w:tcPr>
            <w:cnfStyle w:val="001000000000" w:firstRow="0" w:lastRow="0" w:firstColumn="1" w:lastColumn="0" w:oddVBand="0" w:evenVBand="0" w:oddHBand="0" w:evenHBand="0" w:firstRowFirstColumn="0" w:firstRowLastColumn="0" w:lastRowFirstColumn="0" w:lastRowLastColumn="0"/>
            <w:tcW w:w="4957" w:type="dxa"/>
          </w:tcPr>
          <w:p w14:paraId="15A3F78E" w14:textId="2C38483F" w:rsidR="00FC5673" w:rsidRPr="0053183F" w:rsidRDefault="00FC5673" w:rsidP="00C6675B">
            <w:pPr>
              <w:spacing w:after="120"/>
              <w:ind w:left="0"/>
              <w:contextualSpacing/>
              <w:rPr>
                <w:b w:val="0"/>
                <w:bCs/>
                <w:lang w:val="pl-PL"/>
              </w:rPr>
            </w:pPr>
            <w:r w:rsidRPr="0053183F">
              <w:rPr>
                <w:b w:val="0"/>
                <w:bCs/>
              </w:rPr>
              <w:t>dekarze i blacharze budowlani</w:t>
            </w:r>
          </w:p>
        </w:tc>
        <w:tc>
          <w:tcPr>
            <w:tcW w:w="1134" w:type="dxa"/>
          </w:tcPr>
          <w:p w14:paraId="4E5CB34A" w14:textId="06387547" w:rsidR="00FC5673" w:rsidRDefault="00FC5673" w:rsidP="00C6675B">
            <w:pPr>
              <w:spacing w:after="120"/>
              <w:ind w:left="0"/>
              <w:contextualSpacing/>
              <w:cnfStyle w:val="000000000000" w:firstRow="0" w:lastRow="0" w:firstColumn="0" w:lastColumn="0" w:oddVBand="0" w:evenVBand="0" w:oddHBand="0" w:evenHBand="0" w:firstRowFirstColumn="0" w:firstRowLastColumn="0" w:lastRowFirstColumn="0" w:lastRowLastColumn="0"/>
              <w:rPr>
                <w:lang w:val="pl-PL"/>
              </w:rPr>
            </w:pPr>
            <w:r w:rsidRPr="003C7BFF">
              <w:t>1</w:t>
            </w:r>
          </w:p>
        </w:tc>
        <w:tc>
          <w:tcPr>
            <w:tcW w:w="993" w:type="dxa"/>
          </w:tcPr>
          <w:p w14:paraId="5556FA45" w14:textId="3EF7D6D8" w:rsidR="00FC5673" w:rsidRDefault="00FC5673" w:rsidP="00C6675B">
            <w:pPr>
              <w:spacing w:after="120"/>
              <w:ind w:left="0"/>
              <w:contextualSpacing/>
              <w:cnfStyle w:val="000000000000" w:firstRow="0" w:lastRow="0" w:firstColumn="0" w:lastColumn="0" w:oddVBand="0" w:evenVBand="0" w:oddHBand="0" w:evenHBand="0" w:firstRowFirstColumn="0" w:firstRowLastColumn="0" w:lastRowFirstColumn="0" w:lastRowLastColumn="0"/>
              <w:rPr>
                <w:lang w:val="pl-PL"/>
              </w:rPr>
            </w:pPr>
            <w:r w:rsidRPr="003C7BFF">
              <w:t>1</w:t>
            </w:r>
          </w:p>
        </w:tc>
        <w:tc>
          <w:tcPr>
            <w:tcW w:w="992" w:type="dxa"/>
          </w:tcPr>
          <w:p w14:paraId="04CC017C" w14:textId="44FA0332" w:rsidR="00FC5673" w:rsidRDefault="00FC5673" w:rsidP="00C6675B">
            <w:pPr>
              <w:spacing w:after="120"/>
              <w:ind w:left="0"/>
              <w:contextualSpacing/>
              <w:cnfStyle w:val="000000000000" w:firstRow="0" w:lastRow="0" w:firstColumn="0" w:lastColumn="0" w:oddVBand="0" w:evenVBand="0" w:oddHBand="0" w:evenHBand="0" w:firstRowFirstColumn="0" w:firstRowLastColumn="0" w:lastRowFirstColumn="0" w:lastRowLastColumn="0"/>
              <w:rPr>
                <w:lang w:val="pl-PL"/>
              </w:rPr>
            </w:pPr>
            <w:r w:rsidRPr="003C7BFF">
              <w:t>1</w:t>
            </w:r>
          </w:p>
        </w:tc>
        <w:tc>
          <w:tcPr>
            <w:tcW w:w="1023" w:type="dxa"/>
          </w:tcPr>
          <w:p w14:paraId="2161B26A" w14:textId="46597020" w:rsidR="00FC5673" w:rsidRDefault="00FC5673" w:rsidP="00C6675B">
            <w:pPr>
              <w:spacing w:after="120"/>
              <w:ind w:left="0"/>
              <w:contextualSpacing/>
              <w:cnfStyle w:val="000000000000" w:firstRow="0" w:lastRow="0" w:firstColumn="0" w:lastColumn="0" w:oddVBand="0" w:evenVBand="0" w:oddHBand="0" w:evenHBand="0" w:firstRowFirstColumn="0" w:firstRowLastColumn="0" w:lastRowFirstColumn="0" w:lastRowLastColumn="0"/>
              <w:rPr>
                <w:lang w:val="pl-PL"/>
              </w:rPr>
            </w:pPr>
            <w:r w:rsidRPr="003C7BFF">
              <w:t>1</w:t>
            </w:r>
          </w:p>
        </w:tc>
      </w:tr>
      <w:tr w:rsidR="00FC5673" w14:paraId="608F4A2C" w14:textId="77777777" w:rsidTr="00FC5673">
        <w:tc>
          <w:tcPr>
            <w:cnfStyle w:val="001000000000" w:firstRow="0" w:lastRow="0" w:firstColumn="1" w:lastColumn="0" w:oddVBand="0" w:evenVBand="0" w:oddHBand="0" w:evenHBand="0" w:firstRowFirstColumn="0" w:firstRowLastColumn="0" w:lastRowFirstColumn="0" w:lastRowLastColumn="0"/>
            <w:tcW w:w="4957" w:type="dxa"/>
          </w:tcPr>
          <w:p w14:paraId="56FC9647" w14:textId="702F6918" w:rsidR="00FC5673" w:rsidRPr="0053183F" w:rsidRDefault="00FC5673" w:rsidP="00C6675B">
            <w:pPr>
              <w:spacing w:after="120"/>
              <w:ind w:left="0"/>
              <w:contextualSpacing/>
              <w:rPr>
                <w:b w:val="0"/>
                <w:bCs/>
                <w:lang w:val="pl-PL"/>
              </w:rPr>
            </w:pPr>
            <w:r w:rsidRPr="0053183F">
              <w:rPr>
                <w:b w:val="0"/>
                <w:bCs/>
              </w:rPr>
              <w:t>elektrycy, elektromechanicy i elektromonterzy</w:t>
            </w:r>
          </w:p>
        </w:tc>
        <w:tc>
          <w:tcPr>
            <w:tcW w:w="1134" w:type="dxa"/>
          </w:tcPr>
          <w:p w14:paraId="331E0A18" w14:textId="65DFA604" w:rsidR="00FC5673" w:rsidRDefault="00FC5673" w:rsidP="00C6675B">
            <w:pPr>
              <w:spacing w:after="120"/>
              <w:ind w:left="0"/>
              <w:contextualSpacing/>
              <w:cnfStyle w:val="000000000000" w:firstRow="0" w:lastRow="0" w:firstColumn="0" w:lastColumn="0" w:oddVBand="0" w:evenVBand="0" w:oddHBand="0" w:evenHBand="0" w:firstRowFirstColumn="0" w:firstRowLastColumn="0" w:lastRowFirstColumn="0" w:lastRowLastColumn="0"/>
              <w:rPr>
                <w:lang w:val="pl-PL"/>
              </w:rPr>
            </w:pPr>
            <w:r w:rsidRPr="003C7BFF">
              <w:t>1</w:t>
            </w:r>
          </w:p>
        </w:tc>
        <w:tc>
          <w:tcPr>
            <w:tcW w:w="993" w:type="dxa"/>
          </w:tcPr>
          <w:p w14:paraId="22760E91" w14:textId="4FF0E1A9" w:rsidR="00FC5673" w:rsidRDefault="00FC5673" w:rsidP="00C6675B">
            <w:pPr>
              <w:spacing w:after="120"/>
              <w:ind w:left="0"/>
              <w:contextualSpacing/>
              <w:cnfStyle w:val="000000000000" w:firstRow="0" w:lastRow="0" w:firstColumn="0" w:lastColumn="0" w:oddVBand="0" w:evenVBand="0" w:oddHBand="0" w:evenHBand="0" w:firstRowFirstColumn="0" w:firstRowLastColumn="0" w:lastRowFirstColumn="0" w:lastRowLastColumn="0"/>
              <w:rPr>
                <w:lang w:val="pl-PL"/>
              </w:rPr>
            </w:pPr>
            <w:r w:rsidRPr="003C7BFF">
              <w:t>1</w:t>
            </w:r>
          </w:p>
        </w:tc>
        <w:tc>
          <w:tcPr>
            <w:tcW w:w="992" w:type="dxa"/>
          </w:tcPr>
          <w:p w14:paraId="26198DF8" w14:textId="670DF40C" w:rsidR="00FC5673" w:rsidRDefault="00FC5673" w:rsidP="00C6675B">
            <w:pPr>
              <w:spacing w:after="120"/>
              <w:ind w:left="0"/>
              <w:contextualSpacing/>
              <w:cnfStyle w:val="000000000000" w:firstRow="0" w:lastRow="0" w:firstColumn="0" w:lastColumn="0" w:oddVBand="0" w:evenVBand="0" w:oddHBand="0" w:evenHBand="0" w:firstRowFirstColumn="0" w:firstRowLastColumn="0" w:lastRowFirstColumn="0" w:lastRowLastColumn="0"/>
              <w:rPr>
                <w:lang w:val="pl-PL"/>
              </w:rPr>
            </w:pPr>
            <w:r w:rsidRPr="003C7BFF">
              <w:t>1</w:t>
            </w:r>
          </w:p>
        </w:tc>
        <w:tc>
          <w:tcPr>
            <w:tcW w:w="1023" w:type="dxa"/>
          </w:tcPr>
          <w:p w14:paraId="3D682CE6" w14:textId="77777777" w:rsidR="00FC5673" w:rsidRDefault="00FC5673" w:rsidP="00C6675B">
            <w:pPr>
              <w:spacing w:after="120"/>
              <w:ind w:left="0"/>
              <w:contextualSpacing/>
              <w:cnfStyle w:val="000000000000" w:firstRow="0" w:lastRow="0" w:firstColumn="0" w:lastColumn="0" w:oddVBand="0" w:evenVBand="0" w:oddHBand="0" w:evenHBand="0" w:firstRowFirstColumn="0" w:firstRowLastColumn="0" w:lastRowFirstColumn="0" w:lastRowLastColumn="0"/>
              <w:rPr>
                <w:lang w:val="pl-PL"/>
              </w:rPr>
            </w:pPr>
          </w:p>
        </w:tc>
      </w:tr>
      <w:tr w:rsidR="00FC5673" w14:paraId="144900E0" w14:textId="77777777" w:rsidTr="00FC5673">
        <w:tc>
          <w:tcPr>
            <w:cnfStyle w:val="001000000000" w:firstRow="0" w:lastRow="0" w:firstColumn="1" w:lastColumn="0" w:oddVBand="0" w:evenVBand="0" w:oddHBand="0" w:evenHBand="0" w:firstRowFirstColumn="0" w:firstRowLastColumn="0" w:lastRowFirstColumn="0" w:lastRowLastColumn="0"/>
            <w:tcW w:w="4957" w:type="dxa"/>
          </w:tcPr>
          <w:p w14:paraId="741D52EC" w14:textId="1D586088" w:rsidR="00FC5673" w:rsidRPr="0053183F" w:rsidRDefault="00FC5673" w:rsidP="00C6675B">
            <w:pPr>
              <w:spacing w:after="120"/>
              <w:ind w:left="0"/>
              <w:contextualSpacing/>
              <w:rPr>
                <w:b w:val="0"/>
                <w:bCs/>
                <w:lang w:val="pl-PL"/>
              </w:rPr>
            </w:pPr>
            <w:r w:rsidRPr="0053183F">
              <w:rPr>
                <w:b w:val="0"/>
                <w:bCs/>
                <w:color w:val="4472C4" w:themeColor="accent1"/>
              </w:rPr>
              <w:t>fizjoterapeuci i masażyści</w:t>
            </w:r>
          </w:p>
        </w:tc>
        <w:tc>
          <w:tcPr>
            <w:tcW w:w="1134" w:type="dxa"/>
          </w:tcPr>
          <w:p w14:paraId="240318E1" w14:textId="77777777" w:rsidR="00FC5673" w:rsidRDefault="00FC5673" w:rsidP="00C6675B">
            <w:pPr>
              <w:spacing w:after="120"/>
              <w:ind w:left="0"/>
              <w:contextualSpacing/>
              <w:cnfStyle w:val="000000000000" w:firstRow="0" w:lastRow="0" w:firstColumn="0" w:lastColumn="0" w:oddVBand="0" w:evenVBand="0" w:oddHBand="0" w:evenHBand="0" w:firstRowFirstColumn="0" w:firstRowLastColumn="0" w:lastRowFirstColumn="0" w:lastRowLastColumn="0"/>
              <w:rPr>
                <w:lang w:val="pl-PL"/>
              </w:rPr>
            </w:pPr>
          </w:p>
        </w:tc>
        <w:tc>
          <w:tcPr>
            <w:tcW w:w="993" w:type="dxa"/>
          </w:tcPr>
          <w:p w14:paraId="25DE2E01" w14:textId="627BF1A9" w:rsidR="00FC5673" w:rsidRDefault="00FC5673" w:rsidP="00C6675B">
            <w:pPr>
              <w:spacing w:after="120"/>
              <w:ind w:left="0"/>
              <w:contextualSpacing/>
              <w:cnfStyle w:val="000000000000" w:firstRow="0" w:lastRow="0" w:firstColumn="0" w:lastColumn="0" w:oddVBand="0" w:evenVBand="0" w:oddHBand="0" w:evenHBand="0" w:firstRowFirstColumn="0" w:firstRowLastColumn="0" w:lastRowFirstColumn="0" w:lastRowLastColumn="0"/>
              <w:rPr>
                <w:lang w:val="pl-PL"/>
              </w:rPr>
            </w:pPr>
            <w:r w:rsidRPr="00FB5B78">
              <w:rPr>
                <w:color w:val="4472C4" w:themeColor="accent1"/>
              </w:rPr>
              <w:t>1</w:t>
            </w:r>
          </w:p>
        </w:tc>
        <w:tc>
          <w:tcPr>
            <w:tcW w:w="992" w:type="dxa"/>
          </w:tcPr>
          <w:p w14:paraId="5797B407" w14:textId="47F2B956" w:rsidR="00FC5673" w:rsidRDefault="00FC5673" w:rsidP="00C6675B">
            <w:pPr>
              <w:spacing w:after="120"/>
              <w:ind w:left="0"/>
              <w:contextualSpacing/>
              <w:cnfStyle w:val="000000000000" w:firstRow="0" w:lastRow="0" w:firstColumn="0" w:lastColumn="0" w:oddVBand="0" w:evenVBand="0" w:oddHBand="0" w:evenHBand="0" w:firstRowFirstColumn="0" w:firstRowLastColumn="0" w:lastRowFirstColumn="0" w:lastRowLastColumn="0"/>
              <w:rPr>
                <w:lang w:val="pl-PL"/>
              </w:rPr>
            </w:pPr>
            <w:r w:rsidRPr="00FB5B78">
              <w:rPr>
                <w:color w:val="4472C4" w:themeColor="accent1"/>
              </w:rPr>
              <w:t>1</w:t>
            </w:r>
          </w:p>
        </w:tc>
        <w:tc>
          <w:tcPr>
            <w:tcW w:w="1023" w:type="dxa"/>
          </w:tcPr>
          <w:p w14:paraId="71E25E4F" w14:textId="77777777" w:rsidR="00FC5673" w:rsidRDefault="00FC5673" w:rsidP="00C6675B">
            <w:pPr>
              <w:spacing w:after="120"/>
              <w:ind w:left="0"/>
              <w:contextualSpacing/>
              <w:cnfStyle w:val="000000000000" w:firstRow="0" w:lastRow="0" w:firstColumn="0" w:lastColumn="0" w:oddVBand="0" w:evenVBand="0" w:oddHBand="0" w:evenHBand="0" w:firstRowFirstColumn="0" w:firstRowLastColumn="0" w:lastRowFirstColumn="0" w:lastRowLastColumn="0"/>
              <w:rPr>
                <w:lang w:val="pl-PL"/>
              </w:rPr>
            </w:pPr>
          </w:p>
        </w:tc>
      </w:tr>
      <w:tr w:rsidR="00FC5673" w14:paraId="67BE32FD" w14:textId="77777777" w:rsidTr="00FC5673">
        <w:tc>
          <w:tcPr>
            <w:cnfStyle w:val="001000000000" w:firstRow="0" w:lastRow="0" w:firstColumn="1" w:lastColumn="0" w:oddVBand="0" w:evenVBand="0" w:oddHBand="0" w:evenHBand="0" w:firstRowFirstColumn="0" w:firstRowLastColumn="0" w:lastRowFirstColumn="0" w:lastRowLastColumn="0"/>
            <w:tcW w:w="4957" w:type="dxa"/>
          </w:tcPr>
          <w:p w14:paraId="4FB354BC" w14:textId="45BCE305" w:rsidR="00FC5673" w:rsidRPr="0053183F" w:rsidRDefault="00FC5673" w:rsidP="00C6675B">
            <w:pPr>
              <w:spacing w:after="120"/>
              <w:ind w:left="0"/>
              <w:contextualSpacing/>
              <w:rPr>
                <w:b w:val="0"/>
                <w:bCs/>
                <w:lang w:val="pl-PL"/>
              </w:rPr>
            </w:pPr>
            <w:r w:rsidRPr="0053183F">
              <w:rPr>
                <w:b w:val="0"/>
                <w:bCs/>
              </w:rPr>
              <w:t>fryzjerzy</w:t>
            </w:r>
          </w:p>
        </w:tc>
        <w:tc>
          <w:tcPr>
            <w:tcW w:w="1134" w:type="dxa"/>
          </w:tcPr>
          <w:p w14:paraId="2DC69574" w14:textId="7A5E1B4B" w:rsidR="00FC5673" w:rsidRDefault="00FC5673" w:rsidP="00C6675B">
            <w:pPr>
              <w:spacing w:after="120"/>
              <w:ind w:left="0"/>
              <w:contextualSpacing/>
              <w:cnfStyle w:val="000000000000" w:firstRow="0" w:lastRow="0" w:firstColumn="0" w:lastColumn="0" w:oddVBand="0" w:evenVBand="0" w:oddHBand="0" w:evenHBand="0" w:firstRowFirstColumn="0" w:firstRowLastColumn="0" w:lastRowFirstColumn="0" w:lastRowLastColumn="0"/>
              <w:rPr>
                <w:lang w:val="pl-PL"/>
              </w:rPr>
            </w:pPr>
            <w:r w:rsidRPr="003C7BFF">
              <w:t>1</w:t>
            </w:r>
          </w:p>
        </w:tc>
        <w:tc>
          <w:tcPr>
            <w:tcW w:w="993" w:type="dxa"/>
          </w:tcPr>
          <w:p w14:paraId="36603EDC" w14:textId="0749FC58" w:rsidR="00FC5673" w:rsidRDefault="00FC5673" w:rsidP="00C6675B">
            <w:pPr>
              <w:spacing w:after="120"/>
              <w:ind w:left="0"/>
              <w:contextualSpacing/>
              <w:cnfStyle w:val="000000000000" w:firstRow="0" w:lastRow="0" w:firstColumn="0" w:lastColumn="0" w:oddVBand="0" w:evenVBand="0" w:oddHBand="0" w:evenHBand="0" w:firstRowFirstColumn="0" w:firstRowLastColumn="0" w:lastRowFirstColumn="0" w:lastRowLastColumn="0"/>
              <w:rPr>
                <w:lang w:val="pl-PL"/>
              </w:rPr>
            </w:pPr>
            <w:r w:rsidRPr="003C7BFF">
              <w:t>1</w:t>
            </w:r>
          </w:p>
        </w:tc>
        <w:tc>
          <w:tcPr>
            <w:tcW w:w="992" w:type="dxa"/>
          </w:tcPr>
          <w:p w14:paraId="25584ED9" w14:textId="3C626541" w:rsidR="00FC5673" w:rsidRDefault="00FC5673" w:rsidP="00C6675B">
            <w:pPr>
              <w:spacing w:after="120"/>
              <w:ind w:left="0"/>
              <w:contextualSpacing/>
              <w:cnfStyle w:val="000000000000" w:firstRow="0" w:lastRow="0" w:firstColumn="0" w:lastColumn="0" w:oddVBand="0" w:evenVBand="0" w:oddHBand="0" w:evenHBand="0" w:firstRowFirstColumn="0" w:firstRowLastColumn="0" w:lastRowFirstColumn="0" w:lastRowLastColumn="0"/>
              <w:rPr>
                <w:lang w:val="pl-PL"/>
              </w:rPr>
            </w:pPr>
            <w:r w:rsidRPr="003C7BFF">
              <w:t>1</w:t>
            </w:r>
          </w:p>
        </w:tc>
        <w:tc>
          <w:tcPr>
            <w:tcW w:w="1023" w:type="dxa"/>
          </w:tcPr>
          <w:p w14:paraId="47D594E7" w14:textId="77777777" w:rsidR="00FC5673" w:rsidRDefault="00FC5673" w:rsidP="00C6675B">
            <w:pPr>
              <w:spacing w:after="120"/>
              <w:ind w:left="0"/>
              <w:contextualSpacing/>
              <w:cnfStyle w:val="000000000000" w:firstRow="0" w:lastRow="0" w:firstColumn="0" w:lastColumn="0" w:oddVBand="0" w:evenVBand="0" w:oddHBand="0" w:evenHBand="0" w:firstRowFirstColumn="0" w:firstRowLastColumn="0" w:lastRowFirstColumn="0" w:lastRowLastColumn="0"/>
              <w:rPr>
                <w:lang w:val="pl-PL"/>
              </w:rPr>
            </w:pPr>
          </w:p>
        </w:tc>
      </w:tr>
      <w:tr w:rsidR="00FC5673" w14:paraId="4142AC1F" w14:textId="77777777" w:rsidTr="00FC5673">
        <w:tc>
          <w:tcPr>
            <w:cnfStyle w:val="001000000000" w:firstRow="0" w:lastRow="0" w:firstColumn="1" w:lastColumn="0" w:oddVBand="0" w:evenVBand="0" w:oddHBand="0" w:evenHBand="0" w:firstRowFirstColumn="0" w:firstRowLastColumn="0" w:lastRowFirstColumn="0" w:lastRowLastColumn="0"/>
            <w:tcW w:w="4957" w:type="dxa"/>
          </w:tcPr>
          <w:p w14:paraId="06B70249" w14:textId="25D34BAD" w:rsidR="00FC5673" w:rsidRPr="0053183F" w:rsidRDefault="00FC5673" w:rsidP="00C6675B">
            <w:pPr>
              <w:spacing w:after="120"/>
              <w:ind w:left="0"/>
              <w:contextualSpacing/>
              <w:rPr>
                <w:b w:val="0"/>
                <w:bCs/>
                <w:lang w:val="pl-PL"/>
              </w:rPr>
            </w:pPr>
            <w:r w:rsidRPr="0053183F">
              <w:rPr>
                <w:b w:val="0"/>
                <w:bCs/>
              </w:rPr>
              <w:t>inżynierowie budownictwa</w:t>
            </w:r>
          </w:p>
        </w:tc>
        <w:tc>
          <w:tcPr>
            <w:tcW w:w="1134" w:type="dxa"/>
          </w:tcPr>
          <w:p w14:paraId="35DF4CFD" w14:textId="360AF641" w:rsidR="00FC5673" w:rsidRDefault="00FC5673" w:rsidP="00C6675B">
            <w:pPr>
              <w:spacing w:after="120"/>
              <w:ind w:left="0"/>
              <w:contextualSpacing/>
              <w:cnfStyle w:val="000000000000" w:firstRow="0" w:lastRow="0" w:firstColumn="0" w:lastColumn="0" w:oddVBand="0" w:evenVBand="0" w:oddHBand="0" w:evenHBand="0" w:firstRowFirstColumn="0" w:firstRowLastColumn="0" w:lastRowFirstColumn="0" w:lastRowLastColumn="0"/>
              <w:rPr>
                <w:lang w:val="pl-PL"/>
              </w:rPr>
            </w:pPr>
            <w:r w:rsidRPr="003C7BFF">
              <w:t>1</w:t>
            </w:r>
          </w:p>
        </w:tc>
        <w:tc>
          <w:tcPr>
            <w:tcW w:w="993" w:type="dxa"/>
          </w:tcPr>
          <w:p w14:paraId="52994EAA" w14:textId="5D95DD40" w:rsidR="00FC5673" w:rsidRDefault="00FC5673" w:rsidP="00C6675B">
            <w:pPr>
              <w:spacing w:after="120"/>
              <w:ind w:left="0"/>
              <w:contextualSpacing/>
              <w:cnfStyle w:val="000000000000" w:firstRow="0" w:lastRow="0" w:firstColumn="0" w:lastColumn="0" w:oddVBand="0" w:evenVBand="0" w:oddHBand="0" w:evenHBand="0" w:firstRowFirstColumn="0" w:firstRowLastColumn="0" w:lastRowFirstColumn="0" w:lastRowLastColumn="0"/>
              <w:rPr>
                <w:lang w:val="pl-PL"/>
              </w:rPr>
            </w:pPr>
            <w:r w:rsidRPr="003C7BFF">
              <w:t>1</w:t>
            </w:r>
          </w:p>
        </w:tc>
        <w:tc>
          <w:tcPr>
            <w:tcW w:w="992" w:type="dxa"/>
          </w:tcPr>
          <w:p w14:paraId="5E6BB7E8" w14:textId="5955BE95" w:rsidR="00FC5673" w:rsidRDefault="00FC5673" w:rsidP="00C6675B">
            <w:pPr>
              <w:spacing w:after="120"/>
              <w:ind w:left="0"/>
              <w:contextualSpacing/>
              <w:cnfStyle w:val="000000000000" w:firstRow="0" w:lastRow="0" w:firstColumn="0" w:lastColumn="0" w:oddVBand="0" w:evenVBand="0" w:oddHBand="0" w:evenHBand="0" w:firstRowFirstColumn="0" w:firstRowLastColumn="0" w:lastRowFirstColumn="0" w:lastRowLastColumn="0"/>
              <w:rPr>
                <w:lang w:val="pl-PL"/>
              </w:rPr>
            </w:pPr>
            <w:r w:rsidRPr="003C7BFF">
              <w:t>1</w:t>
            </w:r>
          </w:p>
        </w:tc>
        <w:tc>
          <w:tcPr>
            <w:tcW w:w="1023" w:type="dxa"/>
          </w:tcPr>
          <w:p w14:paraId="657B2B8D" w14:textId="77777777" w:rsidR="00FC5673" w:rsidRDefault="00FC5673" w:rsidP="00C6675B">
            <w:pPr>
              <w:spacing w:after="120"/>
              <w:ind w:left="0"/>
              <w:contextualSpacing/>
              <w:cnfStyle w:val="000000000000" w:firstRow="0" w:lastRow="0" w:firstColumn="0" w:lastColumn="0" w:oddVBand="0" w:evenVBand="0" w:oddHBand="0" w:evenHBand="0" w:firstRowFirstColumn="0" w:firstRowLastColumn="0" w:lastRowFirstColumn="0" w:lastRowLastColumn="0"/>
              <w:rPr>
                <w:lang w:val="pl-PL"/>
              </w:rPr>
            </w:pPr>
          </w:p>
        </w:tc>
      </w:tr>
      <w:tr w:rsidR="00FC5673" w14:paraId="5159F908" w14:textId="77777777" w:rsidTr="00FC5673">
        <w:tc>
          <w:tcPr>
            <w:cnfStyle w:val="001000000000" w:firstRow="0" w:lastRow="0" w:firstColumn="1" w:lastColumn="0" w:oddVBand="0" w:evenVBand="0" w:oddHBand="0" w:evenHBand="0" w:firstRowFirstColumn="0" w:firstRowLastColumn="0" w:lastRowFirstColumn="0" w:lastRowLastColumn="0"/>
            <w:tcW w:w="4957" w:type="dxa"/>
          </w:tcPr>
          <w:p w14:paraId="35D1EA51" w14:textId="497D4E44" w:rsidR="00FC5673" w:rsidRPr="0053183F" w:rsidRDefault="00FC5673" w:rsidP="00C6675B">
            <w:pPr>
              <w:spacing w:after="120"/>
              <w:ind w:left="0"/>
              <w:contextualSpacing/>
              <w:rPr>
                <w:b w:val="0"/>
                <w:bCs/>
                <w:lang w:val="pl-PL"/>
              </w:rPr>
            </w:pPr>
            <w:r w:rsidRPr="0053183F">
              <w:rPr>
                <w:b w:val="0"/>
                <w:bCs/>
              </w:rPr>
              <w:t>kierowcy autobusów</w:t>
            </w:r>
          </w:p>
        </w:tc>
        <w:tc>
          <w:tcPr>
            <w:tcW w:w="1134" w:type="dxa"/>
          </w:tcPr>
          <w:p w14:paraId="51170316" w14:textId="77777777" w:rsidR="00FC5673" w:rsidRDefault="00FC5673" w:rsidP="00C6675B">
            <w:pPr>
              <w:spacing w:after="120"/>
              <w:ind w:left="0"/>
              <w:contextualSpacing/>
              <w:cnfStyle w:val="000000000000" w:firstRow="0" w:lastRow="0" w:firstColumn="0" w:lastColumn="0" w:oddVBand="0" w:evenVBand="0" w:oddHBand="0" w:evenHBand="0" w:firstRowFirstColumn="0" w:firstRowLastColumn="0" w:lastRowFirstColumn="0" w:lastRowLastColumn="0"/>
              <w:rPr>
                <w:lang w:val="pl-PL"/>
              </w:rPr>
            </w:pPr>
          </w:p>
        </w:tc>
        <w:tc>
          <w:tcPr>
            <w:tcW w:w="993" w:type="dxa"/>
          </w:tcPr>
          <w:p w14:paraId="7ADE3EC7" w14:textId="6730755F" w:rsidR="00FC5673" w:rsidRDefault="00FC5673" w:rsidP="00C6675B">
            <w:pPr>
              <w:spacing w:after="120"/>
              <w:ind w:left="0"/>
              <w:contextualSpacing/>
              <w:cnfStyle w:val="000000000000" w:firstRow="0" w:lastRow="0" w:firstColumn="0" w:lastColumn="0" w:oddVBand="0" w:evenVBand="0" w:oddHBand="0" w:evenHBand="0" w:firstRowFirstColumn="0" w:firstRowLastColumn="0" w:lastRowFirstColumn="0" w:lastRowLastColumn="0"/>
              <w:rPr>
                <w:lang w:val="pl-PL"/>
              </w:rPr>
            </w:pPr>
            <w:r w:rsidRPr="003C7BFF">
              <w:t>1</w:t>
            </w:r>
          </w:p>
        </w:tc>
        <w:tc>
          <w:tcPr>
            <w:tcW w:w="992" w:type="dxa"/>
          </w:tcPr>
          <w:p w14:paraId="3B1B45B0" w14:textId="4913A237" w:rsidR="00FC5673" w:rsidRDefault="00FC5673" w:rsidP="00C6675B">
            <w:pPr>
              <w:spacing w:after="120"/>
              <w:ind w:left="0"/>
              <w:contextualSpacing/>
              <w:cnfStyle w:val="000000000000" w:firstRow="0" w:lastRow="0" w:firstColumn="0" w:lastColumn="0" w:oddVBand="0" w:evenVBand="0" w:oddHBand="0" w:evenHBand="0" w:firstRowFirstColumn="0" w:firstRowLastColumn="0" w:lastRowFirstColumn="0" w:lastRowLastColumn="0"/>
              <w:rPr>
                <w:lang w:val="pl-PL"/>
              </w:rPr>
            </w:pPr>
            <w:r w:rsidRPr="003C7BFF">
              <w:t>1</w:t>
            </w:r>
          </w:p>
        </w:tc>
        <w:tc>
          <w:tcPr>
            <w:tcW w:w="1023" w:type="dxa"/>
          </w:tcPr>
          <w:p w14:paraId="204D5246" w14:textId="1142F69E" w:rsidR="00FC5673" w:rsidRDefault="00FC5673" w:rsidP="00C6675B">
            <w:pPr>
              <w:spacing w:after="120"/>
              <w:ind w:left="0"/>
              <w:contextualSpacing/>
              <w:cnfStyle w:val="000000000000" w:firstRow="0" w:lastRow="0" w:firstColumn="0" w:lastColumn="0" w:oddVBand="0" w:evenVBand="0" w:oddHBand="0" w:evenHBand="0" w:firstRowFirstColumn="0" w:firstRowLastColumn="0" w:lastRowFirstColumn="0" w:lastRowLastColumn="0"/>
              <w:rPr>
                <w:lang w:val="pl-PL"/>
              </w:rPr>
            </w:pPr>
            <w:r w:rsidRPr="003C7BFF">
              <w:t>1</w:t>
            </w:r>
          </w:p>
        </w:tc>
      </w:tr>
      <w:tr w:rsidR="00FC5673" w14:paraId="6EFA450A" w14:textId="77777777" w:rsidTr="00FC5673">
        <w:tc>
          <w:tcPr>
            <w:cnfStyle w:val="001000000000" w:firstRow="0" w:lastRow="0" w:firstColumn="1" w:lastColumn="0" w:oddVBand="0" w:evenVBand="0" w:oddHBand="0" w:evenHBand="0" w:firstRowFirstColumn="0" w:firstRowLastColumn="0" w:lastRowFirstColumn="0" w:lastRowLastColumn="0"/>
            <w:tcW w:w="4957" w:type="dxa"/>
          </w:tcPr>
          <w:p w14:paraId="03B38B31" w14:textId="50FBCEAF" w:rsidR="00FC5673" w:rsidRPr="0053183F" w:rsidRDefault="00FC5673" w:rsidP="00C6675B">
            <w:pPr>
              <w:spacing w:after="120"/>
              <w:ind w:left="0"/>
              <w:contextualSpacing/>
              <w:rPr>
                <w:b w:val="0"/>
                <w:bCs/>
                <w:lang w:val="pl-PL"/>
              </w:rPr>
            </w:pPr>
            <w:r w:rsidRPr="0053183F">
              <w:rPr>
                <w:b w:val="0"/>
                <w:bCs/>
                <w:lang w:val="pl-PL"/>
              </w:rPr>
              <w:t>kierowcy samochodów ciężarowych i ciągników siodłowych</w:t>
            </w:r>
          </w:p>
        </w:tc>
        <w:tc>
          <w:tcPr>
            <w:tcW w:w="1134" w:type="dxa"/>
          </w:tcPr>
          <w:p w14:paraId="19EF7DC4" w14:textId="6734EDC2" w:rsidR="00FC5673" w:rsidRDefault="00FC5673" w:rsidP="00C6675B">
            <w:pPr>
              <w:spacing w:after="120"/>
              <w:ind w:left="0"/>
              <w:contextualSpacing/>
              <w:cnfStyle w:val="000000000000" w:firstRow="0" w:lastRow="0" w:firstColumn="0" w:lastColumn="0" w:oddVBand="0" w:evenVBand="0" w:oddHBand="0" w:evenHBand="0" w:firstRowFirstColumn="0" w:firstRowLastColumn="0" w:lastRowFirstColumn="0" w:lastRowLastColumn="0"/>
              <w:rPr>
                <w:lang w:val="pl-PL"/>
              </w:rPr>
            </w:pPr>
            <w:r w:rsidRPr="003C7BFF">
              <w:t>1</w:t>
            </w:r>
          </w:p>
        </w:tc>
        <w:tc>
          <w:tcPr>
            <w:tcW w:w="993" w:type="dxa"/>
          </w:tcPr>
          <w:p w14:paraId="13B88D11" w14:textId="749211AD" w:rsidR="00FC5673" w:rsidRDefault="00FC5673" w:rsidP="00C6675B">
            <w:pPr>
              <w:spacing w:after="120"/>
              <w:ind w:left="0"/>
              <w:contextualSpacing/>
              <w:cnfStyle w:val="000000000000" w:firstRow="0" w:lastRow="0" w:firstColumn="0" w:lastColumn="0" w:oddVBand="0" w:evenVBand="0" w:oddHBand="0" w:evenHBand="0" w:firstRowFirstColumn="0" w:firstRowLastColumn="0" w:lastRowFirstColumn="0" w:lastRowLastColumn="0"/>
              <w:rPr>
                <w:lang w:val="pl-PL"/>
              </w:rPr>
            </w:pPr>
            <w:r w:rsidRPr="003C7BFF">
              <w:t>1</w:t>
            </w:r>
          </w:p>
        </w:tc>
        <w:tc>
          <w:tcPr>
            <w:tcW w:w="992" w:type="dxa"/>
          </w:tcPr>
          <w:p w14:paraId="2A0875E1" w14:textId="22BD10C3" w:rsidR="00FC5673" w:rsidRDefault="00FC5673" w:rsidP="00C6675B">
            <w:pPr>
              <w:spacing w:after="120"/>
              <w:ind w:left="0"/>
              <w:contextualSpacing/>
              <w:cnfStyle w:val="000000000000" w:firstRow="0" w:lastRow="0" w:firstColumn="0" w:lastColumn="0" w:oddVBand="0" w:evenVBand="0" w:oddHBand="0" w:evenHBand="0" w:firstRowFirstColumn="0" w:firstRowLastColumn="0" w:lastRowFirstColumn="0" w:lastRowLastColumn="0"/>
              <w:rPr>
                <w:lang w:val="pl-PL"/>
              </w:rPr>
            </w:pPr>
            <w:r w:rsidRPr="003C7BFF">
              <w:t>1</w:t>
            </w:r>
          </w:p>
        </w:tc>
        <w:tc>
          <w:tcPr>
            <w:tcW w:w="1023" w:type="dxa"/>
          </w:tcPr>
          <w:p w14:paraId="219F1521" w14:textId="4A38C681" w:rsidR="00FC5673" w:rsidRDefault="00FC5673" w:rsidP="00C6675B">
            <w:pPr>
              <w:spacing w:after="120"/>
              <w:ind w:left="0"/>
              <w:contextualSpacing/>
              <w:cnfStyle w:val="000000000000" w:firstRow="0" w:lastRow="0" w:firstColumn="0" w:lastColumn="0" w:oddVBand="0" w:evenVBand="0" w:oddHBand="0" w:evenHBand="0" w:firstRowFirstColumn="0" w:firstRowLastColumn="0" w:lastRowFirstColumn="0" w:lastRowLastColumn="0"/>
              <w:rPr>
                <w:lang w:val="pl-PL"/>
              </w:rPr>
            </w:pPr>
            <w:r w:rsidRPr="003C7BFF">
              <w:t>1</w:t>
            </w:r>
          </w:p>
        </w:tc>
      </w:tr>
      <w:tr w:rsidR="00FC5673" w14:paraId="0BFDE1F5" w14:textId="77777777" w:rsidTr="00FC5673">
        <w:tc>
          <w:tcPr>
            <w:cnfStyle w:val="001000000000" w:firstRow="0" w:lastRow="0" w:firstColumn="1" w:lastColumn="0" w:oddVBand="0" w:evenVBand="0" w:oddHBand="0" w:evenHBand="0" w:firstRowFirstColumn="0" w:firstRowLastColumn="0" w:lastRowFirstColumn="0" w:lastRowLastColumn="0"/>
            <w:tcW w:w="4957" w:type="dxa"/>
          </w:tcPr>
          <w:p w14:paraId="1237775D" w14:textId="7F242F81" w:rsidR="00FC5673" w:rsidRPr="0053183F" w:rsidRDefault="00FC5673" w:rsidP="00C6675B">
            <w:pPr>
              <w:spacing w:after="120"/>
              <w:ind w:left="0"/>
              <w:contextualSpacing/>
              <w:rPr>
                <w:b w:val="0"/>
                <w:bCs/>
                <w:lang w:val="pl-PL"/>
              </w:rPr>
            </w:pPr>
            <w:r w:rsidRPr="0053183F">
              <w:rPr>
                <w:b w:val="0"/>
                <w:bCs/>
              </w:rPr>
              <w:t>kierownicy budowy</w:t>
            </w:r>
          </w:p>
        </w:tc>
        <w:tc>
          <w:tcPr>
            <w:tcW w:w="1134" w:type="dxa"/>
          </w:tcPr>
          <w:p w14:paraId="74EADF75" w14:textId="2A3F769A" w:rsidR="00FC5673" w:rsidRDefault="00FC5673" w:rsidP="00C6675B">
            <w:pPr>
              <w:spacing w:after="120"/>
              <w:ind w:left="0"/>
              <w:contextualSpacing/>
              <w:cnfStyle w:val="000000000000" w:firstRow="0" w:lastRow="0" w:firstColumn="0" w:lastColumn="0" w:oddVBand="0" w:evenVBand="0" w:oddHBand="0" w:evenHBand="0" w:firstRowFirstColumn="0" w:firstRowLastColumn="0" w:lastRowFirstColumn="0" w:lastRowLastColumn="0"/>
              <w:rPr>
                <w:lang w:val="pl-PL"/>
              </w:rPr>
            </w:pPr>
            <w:r w:rsidRPr="003C7BFF">
              <w:t>1</w:t>
            </w:r>
          </w:p>
        </w:tc>
        <w:tc>
          <w:tcPr>
            <w:tcW w:w="993" w:type="dxa"/>
          </w:tcPr>
          <w:p w14:paraId="718B7FF1" w14:textId="5FB5CCD5" w:rsidR="00FC5673" w:rsidRDefault="00FC5673" w:rsidP="00C6675B">
            <w:pPr>
              <w:spacing w:after="120"/>
              <w:ind w:left="0"/>
              <w:contextualSpacing/>
              <w:cnfStyle w:val="000000000000" w:firstRow="0" w:lastRow="0" w:firstColumn="0" w:lastColumn="0" w:oddVBand="0" w:evenVBand="0" w:oddHBand="0" w:evenHBand="0" w:firstRowFirstColumn="0" w:firstRowLastColumn="0" w:lastRowFirstColumn="0" w:lastRowLastColumn="0"/>
              <w:rPr>
                <w:lang w:val="pl-PL"/>
              </w:rPr>
            </w:pPr>
            <w:r w:rsidRPr="003C7BFF">
              <w:t>1</w:t>
            </w:r>
          </w:p>
        </w:tc>
        <w:tc>
          <w:tcPr>
            <w:tcW w:w="992" w:type="dxa"/>
          </w:tcPr>
          <w:p w14:paraId="0FB824E2" w14:textId="5C7FEDE1" w:rsidR="00FC5673" w:rsidRDefault="00FC5673" w:rsidP="00C6675B">
            <w:pPr>
              <w:spacing w:after="120"/>
              <w:ind w:left="0"/>
              <w:contextualSpacing/>
              <w:cnfStyle w:val="000000000000" w:firstRow="0" w:lastRow="0" w:firstColumn="0" w:lastColumn="0" w:oddVBand="0" w:evenVBand="0" w:oddHBand="0" w:evenHBand="0" w:firstRowFirstColumn="0" w:firstRowLastColumn="0" w:lastRowFirstColumn="0" w:lastRowLastColumn="0"/>
              <w:rPr>
                <w:lang w:val="pl-PL"/>
              </w:rPr>
            </w:pPr>
            <w:r w:rsidRPr="003C7BFF">
              <w:t>1</w:t>
            </w:r>
          </w:p>
        </w:tc>
        <w:tc>
          <w:tcPr>
            <w:tcW w:w="1023" w:type="dxa"/>
          </w:tcPr>
          <w:p w14:paraId="266BADF9" w14:textId="77777777" w:rsidR="00FC5673" w:rsidRDefault="00FC5673" w:rsidP="00C6675B">
            <w:pPr>
              <w:spacing w:after="120"/>
              <w:ind w:left="0"/>
              <w:contextualSpacing/>
              <w:cnfStyle w:val="000000000000" w:firstRow="0" w:lastRow="0" w:firstColumn="0" w:lastColumn="0" w:oddVBand="0" w:evenVBand="0" w:oddHBand="0" w:evenHBand="0" w:firstRowFirstColumn="0" w:firstRowLastColumn="0" w:lastRowFirstColumn="0" w:lastRowLastColumn="0"/>
              <w:rPr>
                <w:lang w:val="pl-PL"/>
              </w:rPr>
            </w:pPr>
          </w:p>
        </w:tc>
      </w:tr>
      <w:tr w:rsidR="00FC5673" w14:paraId="0DB915F0" w14:textId="77777777" w:rsidTr="00FC5673">
        <w:tc>
          <w:tcPr>
            <w:cnfStyle w:val="001000000000" w:firstRow="0" w:lastRow="0" w:firstColumn="1" w:lastColumn="0" w:oddVBand="0" w:evenVBand="0" w:oddHBand="0" w:evenHBand="0" w:firstRowFirstColumn="0" w:firstRowLastColumn="0" w:lastRowFirstColumn="0" w:lastRowLastColumn="0"/>
            <w:tcW w:w="4957" w:type="dxa"/>
          </w:tcPr>
          <w:p w14:paraId="25D225D5" w14:textId="32D5BD29" w:rsidR="00FC5673" w:rsidRPr="0053183F" w:rsidRDefault="00FC5673" w:rsidP="00C6675B">
            <w:pPr>
              <w:spacing w:after="120"/>
              <w:ind w:left="0"/>
              <w:contextualSpacing/>
              <w:rPr>
                <w:b w:val="0"/>
                <w:bCs/>
                <w:lang w:val="pl-PL"/>
              </w:rPr>
            </w:pPr>
            <w:r w:rsidRPr="0053183F">
              <w:rPr>
                <w:b w:val="0"/>
                <w:bCs/>
                <w:color w:val="4472C4" w:themeColor="accent1"/>
              </w:rPr>
              <w:t>kucharze</w:t>
            </w:r>
          </w:p>
        </w:tc>
        <w:tc>
          <w:tcPr>
            <w:tcW w:w="1134" w:type="dxa"/>
          </w:tcPr>
          <w:p w14:paraId="0A022E34" w14:textId="4CC6A15D" w:rsidR="00FC5673" w:rsidRDefault="00FC5673" w:rsidP="00C6675B">
            <w:pPr>
              <w:spacing w:after="120"/>
              <w:ind w:left="0"/>
              <w:contextualSpacing/>
              <w:cnfStyle w:val="000000000000" w:firstRow="0" w:lastRow="0" w:firstColumn="0" w:lastColumn="0" w:oddVBand="0" w:evenVBand="0" w:oddHBand="0" w:evenHBand="0" w:firstRowFirstColumn="0" w:firstRowLastColumn="0" w:lastRowFirstColumn="0" w:lastRowLastColumn="0"/>
              <w:rPr>
                <w:lang w:val="pl-PL"/>
              </w:rPr>
            </w:pPr>
            <w:r w:rsidRPr="00FB5B78">
              <w:rPr>
                <w:color w:val="4472C4" w:themeColor="accent1"/>
              </w:rPr>
              <w:t>1</w:t>
            </w:r>
          </w:p>
        </w:tc>
        <w:tc>
          <w:tcPr>
            <w:tcW w:w="993" w:type="dxa"/>
          </w:tcPr>
          <w:p w14:paraId="10B341DB" w14:textId="7B2953F5" w:rsidR="00FC5673" w:rsidRDefault="00FC5673" w:rsidP="00C6675B">
            <w:pPr>
              <w:spacing w:after="120"/>
              <w:ind w:left="0"/>
              <w:contextualSpacing/>
              <w:cnfStyle w:val="000000000000" w:firstRow="0" w:lastRow="0" w:firstColumn="0" w:lastColumn="0" w:oddVBand="0" w:evenVBand="0" w:oddHBand="0" w:evenHBand="0" w:firstRowFirstColumn="0" w:firstRowLastColumn="0" w:lastRowFirstColumn="0" w:lastRowLastColumn="0"/>
              <w:rPr>
                <w:lang w:val="pl-PL"/>
              </w:rPr>
            </w:pPr>
            <w:r w:rsidRPr="00FB5B78">
              <w:rPr>
                <w:color w:val="4472C4" w:themeColor="accent1"/>
              </w:rPr>
              <w:t>1</w:t>
            </w:r>
          </w:p>
        </w:tc>
        <w:tc>
          <w:tcPr>
            <w:tcW w:w="992" w:type="dxa"/>
          </w:tcPr>
          <w:p w14:paraId="47F2348B" w14:textId="7B86E2C6" w:rsidR="00FC5673" w:rsidRDefault="00FC5673" w:rsidP="00C6675B">
            <w:pPr>
              <w:spacing w:after="120"/>
              <w:ind w:left="0"/>
              <w:contextualSpacing/>
              <w:cnfStyle w:val="000000000000" w:firstRow="0" w:lastRow="0" w:firstColumn="0" w:lastColumn="0" w:oddVBand="0" w:evenVBand="0" w:oddHBand="0" w:evenHBand="0" w:firstRowFirstColumn="0" w:firstRowLastColumn="0" w:lastRowFirstColumn="0" w:lastRowLastColumn="0"/>
              <w:rPr>
                <w:lang w:val="pl-PL"/>
              </w:rPr>
            </w:pPr>
            <w:r w:rsidRPr="00FB5B78">
              <w:rPr>
                <w:color w:val="4472C4" w:themeColor="accent1"/>
              </w:rPr>
              <w:t>1</w:t>
            </w:r>
          </w:p>
        </w:tc>
        <w:tc>
          <w:tcPr>
            <w:tcW w:w="1023" w:type="dxa"/>
          </w:tcPr>
          <w:p w14:paraId="31D68500" w14:textId="00B6C10B" w:rsidR="00FC5673" w:rsidRDefault="00FC5673" w:rsidP="00C6675B">
            <w:pPr>
              <w:spacing w:after="120"/>
              <w:ind w:left="0"/>
              <w:contextualSpacing/>
              <w:cnfStyle w:val="000000000000" w:firstRow="0" w:lastRow="0" w:firstColumn="0" w:lastColumn="0" w:oddVBand="0" w:evenVBand="0" w:oddHBand="0" w:evenHBand="0" w:firstRowFirstColumn="0" w:firstRowLastColumn="0" w:lastRowFirstColumn="0" w:lastRowLastColumn="0"/>
              <w:rPr>
                <w:lang w:val="pl-PL"/>
              </w:rPr>
            </w:pPr>
            <w:r w:rsidRPr="00FB5B78">
              <w:rPr>
                <w:color w:val="4472C4" w:themeColor="accent1"/>
              </w:rPr>
              <w:t>1</w:t>
            </w:r>
          </w:p>
        </w:tc>
      </w:tr>
      <w:tr w:rsidR="00FC5673" w14:paraId="67CC7C25" w14:textId="77777777" w:rsidTr="00FC5673">
        <w:tc>
          <w:tcPr>
            <w:cnfStyle w:val="001000000000" w:firstRow="0" w:lastRow="0" w:firstColumn="1" w:lastColumn="0" w:oddVBand="0" w:evenVBand="0" w:oddHBand="0" w:evenHBand="0" w:firstRowFirstColumn="0" w:firstRowLastColumn="0" w:lastRowFirstColumn="0" w:lastRowLastColumn="0"/>
            <w:tcW w:w="4957" w:type="dxa"/>
          </w:tcPr>
          <w:p w14:paraId="108B4FDD" w14:textId="7E1860E4" w:rsidR="00FC5673" w:rsidRPr="0053183F" w:rsidRDefault="00FC5673" w:rsidP="00C6675B">
            <w:pPr>
              <w:spacing w:after="120"/>
              <w:ind w:left="0"/>
              <w:contextualSpacing/>
              <w:rPr>
                <w:b w:val="0"/>
                <w:bCs/>
                <w:lang w:val="pl-PL"/>
              </w:rPr>
            </w:pPr>
            <w:r w:rsidRPr="0053183F">
              <w:rPr>
                <w:b w:val="0"/>
                <w:bCs/>
                <w:color w:val="FF0000"/>
              </w:rPr>
              <w:t>lekarze</w:t>
            </w:r>
          </w:p>
        </w:tc>
        <w:tc>
          <w:tcPr>
            <w:tcW w:w="1134" w:type="dxa"/>
          </w:tcPr>
          <w:p w14:paraId="4B838330" w14:textId="77777777" w:rsidR="00FC5673" w:rsidRDefault="00FC5673" w:rsidP="00C6675B">
            <w:pPr>
              <w:spacing w:after="120"/>
              <w:ind w:left="0"/>
              <w:contextualSpacing/>
              <w:cnfStyle w:val="000000000000" w:firstRow="0" w:lastRow="0" w:firstColumn="0" w:lastColumn="0" w:oddVBand="0" w:evenVBand="0" w:oddHBand="0" w:evenHBand="0" w:firstRowFirstColumn="0" w:firstRowLastColumn="0" w:lastRowFirstColumn="0" w:lastRowLastColumn="0"/>
              <w:rPr>
                <w:lang w:val="pl-PL"/>
              </w:rPr>
            </w:pPr>
          </w:p>
        </w:tc>
        <w:tc>
          <w:tcPr>
            <w:tcW w:w="993" w:type="dxa"/>
          </w:tcPr>
          <w:p w14:paraId="0F4CA13B" w14:textId="0849F6E1" w:rsidR="00FC5673" w:rsidRDefault="00FC5673" w:rsidP="00C6675B">
            <w:pPr>
              <w:spacing w:after="120"/>
              <w:ind w:left="0"/>
              <w:contextualSpacing/>
              <w:cnfStyle w:val="000000000000" w:firstRow="0" w:lastRow="0" w:firstColumn="0" w:lastColumn="0" w:oddVBand="0" w:evenVBand="0" w:oddHBand="0" w:evenHBand="0" w:firstRowFirstColumn="0" w:firstRowLastColumn="0" w:lastRowFirstColumn="0" w:lastRowLastColumn="0"/>
              <w:rPr>
                <w:lang w:val="pl-PL"/>
              </w:rPr>
            </w:pPr>
            <w:r w:rsidRPr="00FB5B78">
              <w:rPr>
                <w:color w:val="FF0000"/>
              </w:rPr>
              <w:t>1</w:t>
            </w:r>
          </w:p>
        </w:tc>
        <w:tc>
          <w:tcPr>
            <w:tcW w:w="992" w:type="dxa"/>
          </w:tcPr>
          <w:p w14:paraId="09D21147" w14:textId="1890D1E9" w:rsidR="00FC5673" w:rsidRDefault="00FC5673" w:rsidP="00C6675B">
            <w:pPr>
              <w:spacing w:after="120"/>
              <w:ind w:left="0"/>
              <w:contextualSpacing/>
              <w:cnfStyle w:val="000000000000" w:firstRow="0" w:lastRow="0" w:firstColumn="0" w:lastColumn="0" w:oddVBand="0" w:evenVBand="0" w:oddHBand="0" w:evenHBand="0" w:firstRowFirstColumn="0" w:firstRowLastColumn="0" w:lastRowFirstColumn="0" w:lastRowLastColumn="0"/>
              <w:rPr>
                <w:lang w:val="pl-PL"/>
              </w:rPr>
            </w:pPr>
            <w:r w:rsidRPr="00FB5B78">
              <w:rPr>
                <w:color w:val="FF0000"/>
              </w:rPr>
              <w:t>1</w:t>
            </w:r>
          </w:p>
        </w:tc>
        <w:tc>
          <w:tcPr>
            <w:tcW w:w="1023" w:type="dxa"/>
          </w:tcPr>
          <w:p w14:paraId="5AED9726" w14:textId="06D185A8" w:rsidR="00FC5673" w:rsidRDefault="00FC5673" w:rsidP="00C6675B">
            <w:pPr>
              <w:spacing w:after="120"/>
              <w:ind w:left="0"/>
              <w:contextualSpacing/>
              <w:cnfStyle w:val="000000000000" w:firstRow="0" w:lastRow="0" w:firstColumn="0" w:lastColumn="0" w:oddVBand="0" w:evenVBand="0" w:oddHBand="0" w:evenHBand="0" w:firstRowFirstColumn="0" w:firstRowLastColumn="0" w:lastRowFirstColumn="0" w:lastRowLastColumn="0"/>
              <w:rPr>
                <w:lang w:val="pl-PL"/>
              </w:rPr>
            </w:pPr>
            <w:r w:rsidRPr="00FB5B78">
              <w:rPr>
                <w:color w:val="FF0000"/>
              </w:rPr>
              <w:t>1</w:t>
            </w:r>
          </w:p>
        </w:tc>
      </w:tr>
      <w:tr w:rsidR="00FC5673" w14:paraId="2E2B8AB0" w14:textId="77777777" w:rsidTr="00FC5673">
        <w:tc>
          <w:tcPr>
            <w:cnfStyle w:val="001000000000" w:firstRow="0" w:lastRow="0" w:firstColumn="1" w:lastColumn="0" w:oddVBand="0" w:evenVBand="0" w:oddHBand="0" w:evenHBand="0" w:firstRowFirstColumn="0" w:firstRowLastColumn="0" w:lastRowFirstColumn="0" w:lastRowLastColumn="0"/>
            <w:tcW w:w="4957" w:type="dxa"/>
          </w:tcPr>
          <w:p w14:paraId="2AC39480" w14:textId="2F011F60" w:rsidR="00FC5673" w:rsidRPr="0053183F" w:rsidRDefault="00FC5673" w:rsidP="00C6675B">
            <w:pPr>
              <w:spacing w:after="120"/>
              <w:ind w:left="0"/>
              <w:contextualSpacing/>
              <w:rPr>
                <w:b w:val="0"/>
                <w:bCs/>
                <w:lang w:val="pl-PL"/>
              </w:rPr>
            </w:pPr>
            <w:r w:rsidRPr="0053183F">
              <w:rPr>
                <w:b w:val="0"/>
                <w:bCs/>
              </w:rPr>
              <w:t>magazynierzy</w:t>
            </w:r>
          </w:p>
        </w:tc>
        <w:tc>
          <w:tcPr>
            <w:tcW w:w="1134" w:type="dxa"/>
          </w:tcPr>
          <w:p w14:paraId="2C24AC0C" w14:textId="591D7932" w:rsidR="00FC5673" w:rsidRDefault="00FC5673" w:rsidP="00C6675B">
            <w:pPr>
              <w:spacing w:after="120"/>
              <w:ind w:left="0"/>
              <w:contextualSpacing/>
              <w:cnfStyle w:val="000000000000" w:firstRow="0" w:lastRow="0" w:firstColumn="0" w:lastColumn="0" w:oddVBand="0" w:evenVBand="0" w:oddHBand="0" w:evenHBand="0" w:firstRowFirstColumn="0" w:firstRowLastColumn="0" w:lastRowFirstColumn="0" w:lastRowLastColumn="0"/>
              <w:rPr>
                <w:lang w:val="pl-PL"/>
              </w:rPr>
            </w:pPr>
            <w:r w:rsidRPr="003C7BFF">
              <w:t>1</w:t>
            </w:r>
          </w:p>
        </w:tc>
        <w:tc>
          <w:tcPr>
            <w:tcW w:w="993" w:type="dxa"/>
          </w:tcPr>
          <w:p w14:paraId="15E90F05" w14:textId="5ABF4C67" w:rsidR="00FC5673" w:rsidRDefault="00FC5673" w:rsidP="00C6675B">
            <w:pPr>
              <w:spacing w:after="120"/>
              <w:ind w:left="0"/>
              <w:contextualSpacing/>
              <w:cnfStyle w:val="000000000000" w:firstRow="0" w:lastRow="0" w:firstColumn="0" w:lastColumn="0" w:oddVBand="0" w:evenVBand="0" w:oddHBand="0" w:evenHBand="0" w:firstRowFirstColumn="0" w:firstRowLastColumn="0" w:lastRowFirstColumn="0" w:lastRowLastColumn="0"/>
              <w:rPr>
                <w:lang w:val="pl-PL"/>
              </w:rPr>
            </w:pPr>
            <w:r w:rsidRPr="003C7BFF">
              <w:t>1</w:t>
            </w:r>
          </w:p>
        </w:tc>
        <w:tc>
          <w:tcPr>
            <w:tcW w:w="992" w:type="dxa"/>
          </w:tcPr>
          <w:p w14:paraId="28F1F14F" w14:textId="77777777" w:rsidR="00FC5673" w:rsidRDefault="00FC5673" w:rsidP="00C6675B">
            <w:pPr>
              <w:spacing w:after="120"/>
              <w:ind w:left="0"/>
              <w:contextualSpacing/>
              <w:cnfStyle w:val="000000000000" w:firstRow="0" w:lastRow="0" w:firstColumn="0" w:lastColumn="0" w:oddVBand="0" w:evenVBand="0" w:oddHBand="0" w:evenHBand="0" w:firstRowFirstColumn="0" w:firstRowLastColumn="0" w:lastRowFirstColumn="0" w:lastRowLastColumn="0"/>
              <w:rPr>
                <w:lang w:val="pl-PL"/>
              </w:rPr>
            </w:pPr>
          </w:p>
        </w:tc>
        <w:tc>
          <w:tcPr>
            <w:tcW w:w="1023" w:type="dxa"/>
          </w:tcPr>
          <w:p w14:paraId="64C329E8" w14:textId="77E2F211" w:rsidR="00FC5673" w:rsidRDefault="00FC5673" w:rsidP="00C6675B">
            <w:pPr>
              <w:spacing w:after="120"/>
              <w:ind w:left="0"/>
              <w:contextualSpacing/>
              <w:cnfStyle w:val="000000000000" w:firstRow="0" w:lastRow="0" w:firstColumn="0" w:lastColumn="0" w:oddVBand="0" w:evenVBand="0" w:oddHBand="0" w:evenHBand="0" w:firstRowFirstColumn="0" w:firstRowLastColumn="0" w:lastRowFirstColumn="0" w:lastRowLastColumn="0"/>
              <w:rPr>
                <w:lang w:val="pl-PL"/>
              </w:rPr>
            </w:pPr>
            <w:r w:rsidRPr="003C7BFF">
              <w:t>1</w:t>
            </w:r>
          </w:p>
        </w:tc>
      </w:tr>
      <w:tr w:rsidR="00FC5673" w14:paraId="6AE6D5DF" w14:textId="77777777" w:rsidTr="00FC5673">
        <w:tc>
          <w:tcPr>
            <w:cnfStyle w:val="001000000000" w:firstRow="0" w:lastRow="0" w:firstColumn="1" w:lastColumn="0" w:oddVBand="0" w:evenVBand="0" w:oddHBand="0" w:evenHBand="0" w:firstRowFirstColumn="0" w:firstRowLastColumn="0" w:lastRowFirstColumn="0" w:lastRowLastColumn="0"/>
            <w:tcW w:w="4957" w:type="dxa"/>
          </w:tcPr>
          <w:p w14:paraId="577460DF" w14:textId="586D7088" w:rsidR="00FC5673" w:rsidRPr="0053183F" w:rsidRDefault="00FC5673" w:rsidP="00C6675B">
            <w:pPr>
              <w:spacing w:after="120"/>
              <w:ind w:left="0"/>
              <w:contextualSpacing/>
              <w:rPr>
                <w:b w:val="0"/>
                <w:bCs/>
                <w:lang w:val="pl-PL"/>
              </w:rPr>
            </w:pPr>
            <w:r w:rsidRPr="0053183F">
              <w:rPr>
                <w:b w:val="0"/>
                <w:bCs/>
              </w:rPr>
              <w:t>mechanicy maszyn i urządzeń</w:t>
            </w:r>
          </w:p>
        </w:tc>
        <w:tc>
          <w:tcPr>
            <w:tcW w:w="1134" w:type="dxa"/>
          </w:tcPr>
          <w:p w14:paraId="26B52A2C" w14:textId="79830312" w:rsidR="00FC5673" w:rsidRDefault="00FC5673" w:rsidP="00C6675B">
            <w:pPr>
              <w:spacing w:after="120"/>
              <w:ind w:left="0"/>
              <w:contextualSpacing/>
              <w:cnfStyle w:val="000000000000" w:firstRow="0" w:lastRow="0" w:firstColumn="0" w:lastColumn="0" w:oddVBand="0" w:evenVBand="0" w:oddHBand="0" w:evenHBand="0" w:firstRowFirstColumn="0" w:firstRowLastColumn="0" w:lastRowFirstColumn="0" w:lastRowLastColumn="0"/>
              <w:rPr>
                <w:lang w:val="pl-PL"/>
              </w:rPr>
            </w:pPr>
            <w:r w:rsidRPr="003C7BFF">
              <w:t>1</w:t>
            </w:r>
          </w:p>
        </w:tc>
        <w:tc>
          <w:tcPr>
            <w:tcW w:w="993" w:type="dxa"/>
          </w:tcPr>
          <w:p w14:paraId="0F1FA7B0" w14:textId="3219B86F" w:rsidR="00FC5673" w:rsidRDefault="00FC5673" w:rsidP="00C6675B">
            <w:pPr>
              <w:spacing w:after="120"/>
              <w:ind w:left="0"/>
              <w:contextualSpacing/>
              <w:cnfStyle w:val="000000000000" w:firstRow="0" w:lastRow="0" w:firstColumn="0" w:lastColumn="0" w:oddVBand="0" w:evenVBand="0" w:oddHBand="0" w:evenHBand="0" w:firstRowFirstColumn="0" w:firstRowLastColumn="0" w:lastRowFirstColumn="0" w:lastRowLastColumn="0"/>
              <w:rPr>
                <w:lang w:val="pl-PL"/>
              </w:rPr>
            </w:pPr>
            <w:r w:rsidRPr="003C7BFF">
              <w:t>1</w:t>
            </w:r>
          </w:p>
        </w:tc>
        <w:tc>
          <w:tcPr>
            <w:tcW w:w="992" w:type="dxa"/>
          </w:tcPr>
          <w:p w14:paraId="4C70CC46" w14:textId="1FC54D92" w:rsidR="00FC5673" w:rsidRDefault="00FC5673" w:rsidP="00C6675B">
            <w:pPr>
              <w:spacing w:after="120"/>
              <w:ind w:left="0"/>
              <w:contextualSpacing/>
              <w:cnfStyle w:val="000000000000" w:firstRow="0" w:lastRow="0" w:firstColumn="0" w:lastColumn="0" w:oddVBand="0" w:evenVBand="0" w:oddHBand="0" w:evenHBand="0" w:firstRowFirstColumn="0" w:firstRowLastColumn="0" w:lastRowFirstColumn="0" w:lastRowLastColumn="0"/>
              <w:rPr>
                <w:lang w:val="pl-PL"/>
              </w:rPr>
            </w:pPr>
            <w:r w:rsidRPr="003C7BFF">
              <w:t>1</w:t>
            </w:r>
          </w:p>
        </w:tc>
        <w:tc>
          <w:tcPr>
            <w:tcW w:w="1023" w:type="dxa"/>
          </w:tcPr>
          <w:p w14:paraId="1E598242" w14:textId="6F3DAC4F" w:rsidR="00FC5673" w:rsidRDefault="00FC5673" w:rsidP="00C6675B">
            <w:pPr>
              <w:spacing w:after="120"/>
              <w:ind w:left="0"/>
              <w:contextualSpacing/>
              <w:cnfStyle w:val="000000000000" w:firstRow="0" w:lastRow="0" w:firstColumn="0" w:lastColumn="0" w:oddVBand="0" w:evenVBand="0" w:oddHBand="0" w:evenHBand="0" w:firstRowFirstColumn="0" w:firstRowLastColumn="0" w:lastRowFirstColumn="0" w:lastRowLastColumn="0"/>
              <w:rPr>
                <w:lang w:val="pl-PL"/>
              </w:rPr>
            </w:pPr>
            <w:r w:rsidRPr="003C7BFF">
              <w:t>1</w:t>
            </w:r>
          </w:p>
        </w:tc>
      </w:tr>
      <w:tr w:rsidR="00FC5673" w14:paraId="4C38DD0F" w14:textId="77777777" w:rsidTr="00FC5673">
        <w:tc>
          <w:tcPr>
            <w:cnfStyle w:val="001000000000" w:firstRow="0" w:lastRow="0" w:firstColumn="1" w:lastColumn="0" w:oddVBand="0" w:evenVBand="0" w:oddHBand="0" w:evenHBand="0" w:firstRowFirstColumn="0" w:firstRowLastColumn="0" w:lastRowFirstColumn="0" w:lastRowLastColumn="0"/>
            <w:tcW w:w="4957" w:type="dxa"/>
          </w:tcPr>
          <w:p w14:paraId="34A7B92F" w14:textId="2C083D79" w:rsidR="00FC5673" w:rsidRPr="0053183F" w:rsidRDefault="00FC5673" w:rsidP="00C6675B">
            <w:pPr>
              <w:spacing w:after="120"/>
              <w:ind w:left="0"/>
              <w:contextualSpacing/>
              <w:rPr>
                <w:b w:val="0"/>
                <w:bCs/>
                <w:lang w:val="pl-PL"/>
              </w:rPr>
            </w:pPr>
            <w:r w:rsidRPr="0053183F">
              <w:rPr>
                <w:b w:val="0"/>
                <w:bCs/>
              </w:rPr>
              <w:t>mechanicy pojazdów samochodowych</w:t>
            </w:r>
          </w:p>
        </w:tc>
        <w:tc>
          <w:tcPr>
            <w:tcW w:w="1134" w:type="dxa"/>
          </w:tcPr>
          <w:p w14:paraId="21780C94" w14:textId="532B1EA7" w:rsidR="00FC5673" w:rsidRDefault="00FC5673" w:rsidP="00C6675B">
            <w:pPr>
              <w:spacing w:after="120"/>
              <w:ind w:left="0"/>
              <w:contextualSpacing/>
              <w:cnfStyle w:val="000000000000" w:firstRow="0" w:lastRow="0" w:firstColumn="0" w:lastColumn="0" w:oddVBand="0" w:evenVBand="0" w:oddHBand="0" w:evenHBand="0" w:firstRowFirstColumn="0" w:firstRowLastColumn="0" w:lastRowFirstColumn="0" w:lastRowLastColumn="0"/>
              <w:rPr>
                <w:lang w:val="pl-PL"/>
              </w:rPr>
            </w:pPr>
            <w:r w:rsidRPr="003C7BFF">
              <w:t>1</w:t>
            </w:r>
          </w:p>
        </w:tc>
        <w:tc>
          <w:tcPr>
            <w:tcW w:w="993" w:type="dxa"/>
          </w:tcPr>
          <w:p w14:paraId="15874EB4" w14:textId="3843C263" w:rsidR="00FC5673" w:rsidRDefault="00FC5673" w:rsidP="00C6675B">
            <w:pPr>
              <w:spacing w:after="120"/>
              <w:ind w:left="0"/>
              <w:contextualSpacing/>
              <w:cnfStyle w:val="000000000000" w:firstRow="0" w:lastRow="0" w:firstColumn="0" w:lastColumn="0" w:oddVBand="0" w:evenVBand="0" w:oddHBand="0" w:evenHBand="0" w:firstRowFirstColumn="0" w:firstRowLastColumn="0" w:lastRowFirstColumn="0" w:lastRowLastColumn="0"/>
              <w:rPr>
                <w:lang w:val="pl-PL"/>
              </w:rPr>
            </w:pPr>
            <w:r w:rsidRPr="003C7BFF">
              <w:t>1</w:t>
            </w:r>
          </w:p>
        </w:tc>
        <w:tc>
          <w:tcPr>
            <w:tcW w:w="992" w:type="dxa"/>
          </w:tcPr>
          <w:p w14:paraId="02E30711" w14:textId="1A852204" w:rsidR="00FC5673" w:rsidRDefault="00FC5673" w:rsidP="00C6675B">
            <w:pPr>
              <w:spacing w:after="120"/>
              <w:ind w:left="0"/>
              <w:contextualSpacing/>
              <w:cnfStyle w:val="000000000000" w:firstRow="0" w:lastRow="0" w:firstColumn="0" w:lastColumn="0" w:oddVBand="0" w:evenVBand="0" w:oddHBand="0" w:evenHBand="0" w:firstRowFirstColumn="0" w:firstRowLastColumn="0" w:lastRowFirstColumn="0" w:lastRowLastColumn="0"/>
              <w:rPr>
                <w:lang w:val="pl-PL"/>
              </w:rPr>
            </w:pPr>
            <w:r w:rsidRPr="003C7BFF">
              <w:t>1</w:t>
            </w:r>
          </w:p>
        </w:tc>
        <w:tc>
          <w:tcPr>
            <w:tcW w:w="1023" w:type="dxa"/>
          </w:tcPr>
          <w:p w14:paraId="5A92C914" w14:textId="77777777" w:rsidR="00FC5673" w:rsidRDefault="00FC5673" w:rsidP="00C6675B">
            <w:pPr>
              <w:spacing w:after="120"/>
              <w:ind w:left="0"/>
              <w:contextualSpacing/>
              <w:cnfStyle w:val="000000000000" w:firstRow="0" w:lastRow="0" w:firstColumn="0" w:lastColumn="0" w:oddVBand="0" w:evenVBand="0" w:oddHBand="0" w:evenHBand="0" w:firstRowFirstColumn="0" w:firstRowLastColumn="0" w:lastRowFirstColumn="0" w:lastRowLastColumn="0"/>
              <w:rPr>
                <w:lang w:val="pl-PL"/>
              </w:rPr>
            </w:pPr>
          </w:p>
        </w:tc>
      </w:tr>
      <w:tr w:rsidR="00FC5673" w14:paraId="515D62FF" w14:textId="77777777" w:rsidTr="00FC5673">
        <w:tc>
          <w:tcPr>
            <w:cnfStyle w:val="001000000000" w:firstRow="0" w:lastRow="0" w:firstColumn="1" w:lastColumn="0" w:oddVBand="0" w:evenVBand="0" w:oddHBand="0" w:evenHBand="0" w:firstRowFirstColumn="0" w:firstRowLastColumn="0" w:lastRowFirstColumn="0" w:lastRowLastColumn="0"/>
            <w:tcW w:w="4957" w:type="dxa"/>
          </w:tcPr>
          <w:p w14:paraId="3C855C4B" w14:textId="0076A2F6" w:rsidR="00FC5673" w:rsidRPr="0053183F" w:rsidRDefault="00FC5673" w:rsidP="00C6675B">
            <w:pPr>
              <w:spacing w:after="120"/>
              <w:ind w:left="0"/>
              <w:contextualSpacing/>
              <w:rPr>
                <w:b w:val="0"/>
                <w:bCs/>
                <w:lang w:val="pl-PL"/>
              </w:rPr>
            </w:pPr>
            <w:r w:rsidRPr="0053183F">
              <w:rPr>
                <w:b w:val="0"/>
                <w:bCs/>
              </w:rPr>
              <w:t>monterzy instalacji budowlanych</w:t>
            </w:r>
          </w:p>
        </w:tc>
        <w:tc>
          <w:tcPr>
            <w:tcW w:w="1134" w:type="dxa"/>
          </w:tcPr>
          <w:p w14:paraId="63328CE6" w14:textId="625670FC" w:rsidR="00FC5673" w:rsidRDefault="00FC5673" w:rsidP="00C6675B">
            <w:pPr>
              <w:spacing w:after="120"/>
              <w:ind w:left="0"/>
              <w:contextualSpacing/>
              <w:cnfStyle w:val="000000000000" w:firstRow="0" w:lastRow="0" w:firstColumn="0" w:lastColumn="0" w:oddVBand="0" w:evenVBand="0" w:oddHBand="0" w:evenHBand="0" w:firstRowFirstColumn="0" w:firstRowLastColumn="0" w:lastRowFirstColumn="0" w:lastRowLastColumn="0"/>
              <w:rPr>
                <w:lang w:val="pl-PL"/>
              </w:rPr>
            </w:pPr>
            <w:r w:rsidRPr="003C7BFF">
              <w:t>1</w:t>
            </w:r>
          </w:p>
        </w:tc>
        <w:tc>
          <w:tcPr>
            <w:tcW w:w="993" w:type="dxa"/>
          </w:tcPr>
          <w:p w14:paraId="255443B9" w14:textId="2939678A" w:rsidR="00FC5673" w:rsidRDefault="00FC5673" w:rsidP="00C6675B">
            <w:pPr>
              <w:spacing w:after="120"/>
              <w:ind w:left="0"/>
              <w:contextualSpacing/>
              <w:cnfStyle w:val="000000000000" w:firstRow="0" w:lastRow="0" w:firstColumn="0" w:lastColumn="0" w:oddVBand="0" w:evenVBand="0" w:oddHBand="0" w:evenHBand="0" w:firstRowFirstColumn="0" w:firstRowLastColumn="0" w:lastRowFirstColumn="0" w:lastRowLastColumn="0"/>
              <w:rPr>
                <w:lang w:val="pl-PL"/>
              </w:rPr>
            </w:pPr>
            <w:r w:rsidRPr="003C7BFF">
              <w:t>1</w:t>
            </w:r>
          </w:p>
        </w:tc>
        <w:tc>
          <w:tcPr>
            <w:tcW w:w="992" w:type="dxa"/>
          </w:tcPr>
          <w:p w14:paraId="2CB6E6D3" w14:textId="1A45DEF8" w:rsidR="00FC5673" w:rsidRDefault="00FC5673" w:rsidP="00C6675B">
            <w:pPr>
              <w:spacing w:after="120"/>
              <w:ind w:left="0"/>
              <w:contextualSpacing/>
              <w:cnfStyle w:val="000000000000" w:firstRow="0" w:lastRow="0" w:firstColumn="0" w:lastColumn="0" w:oddVBand="0" w:evenVBand="0" w:oddHBand="0" w:evenHBand="0" w:firstRowFirstColumn="0" w:firstRowLastColumn="0" w:lastRowFirstColumn="0" w:lastRowLastColumn="0"/>
              <w:rPr>
                <w:lang w:val="pl-PL"/>
              </w:rPr>
            </w:pPr>
            <w:r w:rsidRPr="003C7BFF">
              <w:t>1</w:t>
            </w:r>
          </w:p>
        </w:tc>
        <w:tc>
          <w:tcPr>
            <w:tcW w:w="1023" w:type="dxa"/>
          </w:tcPr>
          <w:p w14:paraId="7FC20597" w14:textId="77777777" w:rsidR="00FC5673" w:rsidRDefault="00FC5673" w:rsidP="00C6675B">
            <w:pPr>
              <w:spacing w:after="120"/>
              <w:ind w:left="0"/>
              <w:contextualSpacing/>
              <w:cnfStyle w:val="000000000000" w:firstRow="0" w:lastRow="0" w:firstColumn="0" w:lastColumn="0" w:oddVBand="0" w:evenVBand="0" w:oddHBand="0" w:evenHBand="0" w:firstRowFirstColumn="0" w:firstRowLastColumn="0" w:lastRowFirstColumn="0" w:lastRowLastColumn="0"/>
              <w:rPr>
                <w:lang w:val="pl-PL"/>
              </w:rPr>
            </w:pPr>
          </w:p>
        </w:tc>
      </w:tr>
      <w:tr w:rsidR="00FC5673" w14:paraId="2DEC027B" w14:textId="77777777" w:rsidTr="00FC5673">
        <w:tc>
          <w:tcPr>
            <w:cnfStyle w:val="001000000000" w:firstRow="0" w:lastRow="0" w:firstColumn="1" w:lastColumn="0" w:oddVBand="0" w:evenVBand="0" w:oddHBand="0" w:evenHBand="0" w:firstRowFirstColumn="0" w:firstRowLastColumn="0" w:lastRowFirstColumn="0" w:lastRowLastColumn="0"/>
            <w:tcW w:w="4957" w:type="dxa"/>
          </w:tcPr>
          <w:p w14:paraId="06ABB545" w14:textId="05878EAA" w:rsidR="00FC5673" w:rsidRPr="0053183F" w:rsidRDefault="00FC5673" w:rsidP="00C6675B">
            <w:pPr>
              <w:spacing w:after="120"/>
              <w:ind w:left="0"/>
              <w:contextualSpacing/>
              <w:rPr>
                <w:b w:val="0"/>
                <w:bCs/>
                <w:lang w:val="pl-PL"/>
              </w:rPr>
            </w:pPr>
            <w:r w:rsidRPr="0053183F">
              <w:rPr>
                <w:b w:val="0"/>
                <w:bCs/>
              </w:rPr>
              <w:t>murarze i tynkarze</w:t>
            </w:r>
          </w:p>
        </w:tc>
        <w:tc>
          <w:tcPr>
            <w:tcW w:w="1134" w:type="dxa"/>
          </w:tcPr>
          <w:p w14:paraId="0455C960" w14:textId="3C78B692" w:rsidR="00FC5673" w:rsidRDefault="00FC5673" w:rsidP="00C6675B">
            <w:pPr>
              <w:spacing w:after="120"/>
              <w:ind w:left="0"/>
              <w:contextualSpacing/>
              <w:cnfStyle w:val="000000000000" w:firstRow="0" w:lastRow="0" w:firstColumn="0" w:lastColumn="0" w:oddVBand="0" w:evenVBand="0" w:oddHBand="0" w:evenHBand="0" w:firstRowFirstColumn="0" w:firstRowLastColumn="0" w:lastRowFirstColumn="0" w:lastRowLastColumn="0"/>
              <w:rPr>
                <w:lang w:val="pl-PL"/>
              </w:rPr>
            </w:pPr>
            <w:r w:rsidRPr="003C7BFF">
              <w:t>1</w:t>
            </w:r>
          </w:p>
        </w:tc>
        <w:tc>
          <w:tcPr>
            <w:tcW w:w="993" w:type="dxa"/>
          </w:tcPr>
          <w:p w14:paraId="6A1B08EB" w14:textId="7E00DC52" w:rsidR="00FC5673" w:rsidRDefault="00FC5673" w:rsidP="00C6675B">
            <w:pPr>
              <w:spacing w:after="120"/>
              <w:ind w:left="0"/>
              <w:contextualSpacing/>
              <w:cnfStyle w:val="000000000000" w:firstRow="0" w:lastRow="0" w:firstColumn="0" w:lastColumn="0" w:oddVBand="0" w:evenVBand="0" w:oddHBand="0" w:evenHBand="0" w:firstRowFirstColumn="0" w:firstRowLastColumn="0" w:lastRowFirstColumn="0" w:lastRowLastColumn="0"/>
              <w:rPr>
                <w:lang w:val="pl-PL"/>
              </w:rPr>
            </w:pPr>
            <w:r w:rsidRPr="003C7BFF">
              <w:t>1</w:t>
            </w:r>
          </w:p>
        </w:tc>
        <w:tc>
          <w:tcPr>
            <w:tcW w:w="992" w:type="dxa"/>
          </w:tcPr>
          <w:p w14:paraId="2A31FD2F" w14:textId="02113B77" w:rsidR="00FC5673" w:rsidRDefault="00FC5673" w:rsidP="00C6675B">
            <w:pPr>
              <w:spacing w:after="120"/>
              <w:ind w:left="0"/>
              <w:contextualSpacing/>
              <w:cnfStyle w:val="000000000000" w:firstRow="0" w:lastRow="0" w:firstColumn="0" w:lastColumn="0" w:oddVBand="0" w:evenVBand="0" w:oddHBand="0" w:evenHBand="0" w:firstRowFirstColumn="0" w:firstRowLastColumn="0" w:lastRowFirstColumn="0" w:lastRowLastColumn="0"/>
              <w:rPr>
                <w:lang w:val="pl-PL"/>
              </w:rPr>
            </w:pPr>
            <w:r w:rsidRPr="003C7BFF">
              <w:t>1</w:t>
            </w:r>
          </w:p>
        </w:tc>
        <w:tc>
          <w:tcPr>
            <w:tcW w:w="1023" w:type="dxa"/>
          </w:tcPr>
          <w:p w14:paraId="5ACAB76F" w14:textId="6A22F981" w:rsidR="00FC5673" w:rsidRDefault="00FC5673" w:rsidP="00C6675B">
            <w:pPr>
              <w:spacing w:after="120"/>
              <w:ind w:left="0"/>
              <w:contextualSpacing/>
              <w:cnfStyle w:val="000000000000" w:firstRow="0" w:lastRow="0" w:firstColumn="0" w:lastColumn="0" w:oddVBand="0" w:evenVBand="0" w:oddHBand="0" w:evenHBand="0" w:firstRowFirstColumn="0" w:firstRowLastColumn="0" w:lastRowFirstColumn="0" w:lastRowLastColumn="0"/>
              <w:rPr>
                <w:lang w:val="pl-PL"/>
              </w:rPr>
            </w:pPr>
            <w:r w:rsidRPr="003C7BFF">
              <w:t>1</w:t>
            </w:r>
          </w:p>
        </w:tc>
      </w:tr>
      <w:tr w:rsidR="00FC5673" w14:paraId="5ABFA2AB" w14:textId="77777777" w:rsidTr="00FC5673">
        <w:tc>
          <w:tcPr>
            <w:cnfStyle w:val="001000000000" w:firstRow="0" w:lastRow="0" w:firstColumn="1" w:lastColumn="0" w:oddVBand="0" w:evenVBand="0" w:oddHBand="0" w:evenHBand="0" w:firstRowFirstColumn="0" w:firstRowLastColumn="0" w:lastRowFirstColumn="0" w:lastRowLastColumn="0"/>
            <w:tcW w:w="4957" w:type="dxa"/>
          </w:tcPr>
          <w:p w14:paraId="5227E467" w14:textId="5ACAA953" w:rsidR="00FC5673" w:rsidRPr="0053183F" w:rsidRDefault="00FC5673" w:rsidP="00C6675B">
            <w:pPr>
              <w:spacing w:after="120"/>
              <w:ind w:left="0"/>
              <w:contextualSpacing/>
              <w:rPr>
                <w:b w:val="0"/>
                <w:bCs/>
                <w:lang w:val="pl-PL"/>
              </w:rPr>
            </w:pPr>
            <w:r w:rsidRPr="0053183F">
              <w:rPr>
                <w:b w:val="0"/>
                <w:bCs/>
                <w:lang w:val="pl-PL"/>
              </w:rPr>
              <w:t>operatorzy i mechanicy sprzętu do robót ziemnych</w:t>
            </w:r>
          </w:p>
        </w:tc>
        <w:tc>
          <w:tcPr>
            <w:tcW w:w="1134" w:type="dxa"/>
          </w:tcPr>
          <w:p w14:paraId="5F721457" w14:textId="2BCEAF5E" w:rsidR="00FC5673" w:rsidRDefault="00FC5673" w:rsidP="00C6675B">
            <w:pPr>
              <w:spacing w:after="120"/>
              <w:ind w:left="0"/>
              <w:contextualSpacing/>
              <w:cnfStyle w:val="000000000000" w:firstRow="0" w:lastRow="0" w:firstColumn="0" w:lastColumn="0" w:oddVBand="0" w:evenVBand="0" w:oddHBand="0" w:evenHBand="0" w:firstRowFirstColumn="0" w:firstRowLastColumn="0" w:lastRowFirstColumn="0" w:lastRowLastColumn="0"/>
              <w:rPr>
                <w:lang w:val="pl-PL"/>
              </w:rPr>
            </w:pPr>
            <w:r w:rsidRPr="003C7BFF">
              <w:t>1</w:t>
            </w:r>
          </w:p>
        </w:tc>
        <w:tc>
          <w:tcPr>
            <w:tcW w:w="993" w:type="dxa"/>
          </w:tcPr>
          <w:p w14:paraId="36832E0A" w14:textId="332A774D" w:rsidR="00FC5673" w:rsidRDefault="00FC5673" w:rsidP="00C6675B">
            <w:pPr>
              <w:spacing w:after="120"/>
              <w:ind w:left="0"/>
              <w:contextualSpacing/>
              <w:cnfStyle w:val="000000000000" w:firstRow="0" w:lastRow="0" w:firstColumn="0" w:lastColumn="0" w:oddVBand="0" w:evenVBand="0" w:oddHBand="0" w:evenHBand="0" w:firstRowFirstColumn="0" w:firstRowLastColumn="0" w:lastRowFirstColumn="0" w:lastRowLastColumn="0"/>
              <w:rPr>
                <w:lang w:val="pl-PL"/>
              </w:rPr>
            </w:pPr>
            <w:r w:rsidRPr="003C7BFF">
              <w:t>1</w:t>
            </w:r>
          </w:p>
        </w:tc>
        <w:tc>
          <w:tcPr>
            <w:tcW w:w="992" w:type="dxa"/>
          </w:tcPr>
          <w:p w14:paraId="618A06B4" w14:textId="7F2F89C1" w:rsidR="00FC5673" w:rsidRDefault="00FC5673" w:rsidP="00C6675B">
            <w:pPr>
              <w:spacing w:after="120"/>
              <w:ind w:left="0"/>
              <w:contextualSpacing/>
              <w:cnfStyle w:val="000000000000" w:firstRow="0" w:lastRow="0" w:firstColumn="0" w:lastColumn="0" w:oddVBand="0" w:evenVBand="0" w:oddHBand="0" w:evenHBand="0" w:firstRowFirstColumn="0" w:firstRowLastColumn="0" w:lastRowFirstColumn="0" w:lastRowLastColumn="0"/>
              <w:rPr>
                <w:lang w:val="pl-PL"/>
              </w:rPr>
            </w:pPr>
            <w:r w:rsidRPr="003C7BFF">
              <w:t>1</w:t>
            </w:r>
          </w:p>
        </w:tc>
        <w:tc>
          <w:tcPr>
            <w:tcW w:w="1023" w:type="dxa"/>
          </w:tcPr>
          <w:p w14:paraId="073015C4" w14:textId="5DC4A793" w:rsidR="00FC5673" w:rsidRDefault="00FC5673" w:rsidP="00C6675B">
            <w:pPr>
              <w:spacing w:after="120"/>
              <w:ind w:left="0"/>
              <w:contextualSpacing/>
              <w:cnfStyle w:val="000000000000" w:firstRow="0" w:lastRow="0" w:firstColumn="0" w:lastColumn="0" w:oddVBand="0" w:evenVBand="0" w:oddHBand="0" w:evenHBand="0" w:firstRowFirstColumn="0" w:firstRowLastColumn="0" w:lastRowFirstColumn="0" w:lastRowLastColumn="0"/>
              <w:rPr>
                <w:lang w:val="pl-PL"/>
              </w:rPr>
            </w:pPr>
            <w:r w:rsidRPr="003C7BFF">
              <w:t>1</w:t>
            </w:r>
          </w:p>
        </w:tc>
      </w:tr>
      <w:tr w:rsidR="00FC5673" w14:paraId="0DF43912" w14:textId="77777777" w:rsidTr="00FC5673">
        <w:tc>
          <w:tcPr>
            <w:cnfStyle w:val="001000000000" w:firstRow="0" w:lastRow="0" w:firstColumn="1" w:lastColumn="0" w:oddVBand="0" w:evenVBand="0" w:oddHBand="0" w:evenHBand="0" w:firstRowFirstColumn="0" w:firstRowLastColumn="0" w:lastRowFirstColumn="0" w:lastRowLastColumn="0"/>
            <w:tcW w:w="4957" w:type="dxa"/>
          </w:tcPr>
          <w:p w14:paraId="552798ED" w14:textId="65081A0B" w:rsidR="00FC5673" w:rsidRPr="0053183F" w:rsidRDefault="00FC5673" w:rsidP="00C6675B">
            <w:pPr>
              <w:spacing w:after="120"/>
              <w:ind w:left="0"/>
              <w:contextualSpacing/>
              <w:rPr>
                <w:b w:val="0"/>
                <w:bCs/>
                <w:lang w:val="pl-PL"/>
              </w:rPr>
            </w:pPr>
            <w:r w:rsidRPr="0053183F">
              <w:rPr>
                <w:b w:val="0"/>
                <w:bCs/>
                <w:color w:val="4472C4" w:themeColor="accent1"/>
              </w:rPr>
              <w:t>piekarze</w:t>
            </w:r>
          </w:p>
        </w:tc>
        <w:tc>
          <w:tcPr>
            <w:tcW w:w="1134" w:type="dxa"/>
          </w:tcPr>
          <w:p w14:paraId="6B22AD03" w14:textId="02DBF8CF" w:rsidR="00FC5673" w:rsidRPr="003C7BFF" w:rsidRDefault="00FC5673" w:rsidP="00C6675B">
            <w:pPr>
              <w:spacing w:after="120"/>
              <w:ind w:left="0"/>
              <w:contextualSpacing/>
              <w:cnfStyle w:val="000000000000" w:firstRow="0" w:lastRow="0" w:firstColumn="0" w:lastColumn="0" w:oddVBand="0" w:evenVBand="0" w:oddHBand="0" w:evenHBand="0" w:firstRowFirstColumn="0" w:firstRowLastColumn="0" w:lastRowFirstColumn="0" w:lastRowLastColumn="0"/>
            </w:pPr>
            <w:r w:rsidRPr="00FB5B78">
              <w:rPr>
                <w:color w:val="4472C4" w:themeColor="accent1"/>
              </w:rPr>
              <w:t>1</w:t>
            </w:r>
          </w:p>
        </w:tc>
        <w:tc>
          <w:tcPr>
            <w:tcW w:w="993" w:type="dxa"/>
          </w:tcPr>
          <w:p w14:paraId="2C544207" w14:textId="4BE4C463" w:rsidR="00FC5673" w:rsidRPr="003C7BFF" w:rsidRDefault="00FC5673" w:rsidP="00C6675B">
            <w:pPr>
              <w:spacing w:after="120"/>
              <w:ind w:left="0"/>
              <w:contextualSpacing/>
              <w:cnfStyle w:val="000000000000" w:firstRow="0" w:lastRow="0" w:firstColumn="0" w:lastColumn="0" w:oddVBand="0" w:evenVBand="0" w:oddHBand="0" w:evenHBand="0" w:firstRowFirstColumn="0" w:firstRowLastColumn="0" w:lastRowFirstColumn="0" w:lastRowLastColumn="0"/>
            </w:pPr>
            <w:r w:rsidRPr="00FB5B78">
              <w:rPr>
                <w:color w:val="4472C4" w:themeColor="accent1"/>
              </w:rPr>
              <w:t>1</w:t>
            </w:r>
          </w:p>
        </w:tc>
        <w:tc>
          <w:tcPr>
            <w:tcW w:w="992" w:type="dxa"/>
          </w:tcPr>
          <w:p w14:paraId="3775DCC9" w14:textId="224EE3BC" w:rsidR="00FC5673" w:rsidRPr="003C7BFF" w:rsidRDefault="00FC5673" w:rsidP="00C6675B">
            <w:pPr>
              <w:spacing w:after="120"/>
              <w:ind w:left="0"/>
              <w:contextualSpacing/>
              <w:cnfStyle w:val="000000000000" w:firstRow="0" w:lastRow="0" w:firstColumn="0" w:lastColumn="0" w:oddVBand="0" w:evenVBand="0" w:oddHBand="0" w:evenHBand="0" w:firstRowFirstColumn="0" w:firstRowLastColumn="0" w:lastRowFirstColumn="0" w:lastRowLastColumn="0"/>
            </w:pPr>
            <w:r w:rsidRPr="00FB5B78">
              <w:rPr>
                <w:color w:val="4472C4" w:themeColor="accent1"/>
              </w:rPr>
              <w:t>1</w:t>
            </w:r>
          </w:p>
        </w:tc>
        <w:tc>
          <w:tcPr>
            <w:tcW w:w="1023" w:type="dxa"/>
          </w:tcPr>
          <w:p w14:paraId="3FA3E77B" w14:textId="77777777" w:rsidR="00FC5673" w:rsidRPr="003C7BFF" w:rsidRDefault="00FC5673" w:rsidP="00C6675B">
            <w:pPr>
              <w:spacing w:after="120"/>
              <w:ind w:left="0"/>
              <w:contextualSpacing/>
              <w:cnfStyle w:val="000000000000" w:firstRow="0" w:lastRow="0" w:firstColumn="0" w:lastColumn="0" w:oddVBand="0" w:evenVBand="0" w:oddHBand="0" w:evenHBand="0" w:firstRowFirstColumn="0" w:firstRowLastColumn="0" w:lastRowFirstColumn="0" w:lastRowLastColumn="0"/>
            </w:pPr>
          </w:p>
        </w:tc>
      </w:tr>
      <w:tr w:rsidR="00FC5673" w14:paraId="505C01E6" w14:textId="77777777" w:rsidTr="00FC5673">
        <w:tc>
          <w:tcPr>
            <w:cnfStyle w:val="001000000000" w:firstRow="0" w:lastRow="0" w:firstColumn="1" w:lastColumn="0" w:oddVBand="0" w:evenVBand="0" w:oddHBand="0" w:evenHBand="0" w:firstRowFirstColumn="0" w:firstRowLastColumn="0" w:lastRowFirstColumn="0" w:lastRowLastColumn="0"/>
            <w:tcW w:w="4957" w:type="dxa"/>
          </w:tcPr>
          <w:p w14:paraId="1672CC0B" w14:textId="47835EA4" w:rsidR="00FC5673" w:rsidRPr="0053183F" w:rsidRDefault="00FC5673" w:rsidP="00C6675B">
            <w:pPr>
              <w:spacing w:after="120"/>
              <w:ind w:left="0"/>
              <w:contextualSpacing/>
              <w:rPr>
                <w:b w:val="0"/>
                <w:bCs/>
                <w:lang w:val="pl-PL"/>
              </w:rPr>
            </w:pPr>
            <w:r w:rsidRPr="0053183F">
              <w:rPr>
                <w:b w:val="0"/>
                <w:bCs/>
                <w:color w:val="FF0000"/>
              </w:rPr>
              <w:t>pielęgniarki i położne</w:t>
            </w:r>
          </w:p>
        </w:tc>
        <w:tc>
          <w:tcPr>
            <w:tcW w:w="1134" w:type="dxa"/>
          </w:tcPr>
          <w:p w14:paraId="4D0A74F2" w14:textId="15D28E06" w:rsidR="00FC5673" w:rsidRPr="003C7BFF" w:rsidRDefault="00FC5673" w:rsidP="00C6675B">
            <w:pPr>
              <w:spacing w:after="120"/>
              <w:ind w:left="0"/>
              <w:contextualSpacing/>
              <w:cnfStyle w:val="000000000000" w:firstRow="0" w:lastRow="0" w:firstColumn="0" w:lastColumn="0" w:oddVBand="0" w:evenVBand="0" w:oddHBand="0" w:evenHBand="0" w:firstRowFirstColumn="0" w:firstRowLastColumn="0" w:lastRowFirstColumn="0" w:lastRowLastColumn="0"/>
            </w:pPr>
            <w:r w:rsidRPr="00FB5B78">
              <w:rPr>
                <w:bCs/>
                <w:color w:val="FF0000"/>
              </w:rPr>
              <w:t>1</w:t>
            </w:r>
          </w:p>
        </w:tc>
        <w:tc>
          <w:tcPr>
            <w:tcW w:w="993" w:type="dxa"/>
          </w:tcPr>
          <w:p w14:paraId="25355589" w14:textId="499F4ADB" w:rsidR="00FC5673" w:rsidRPr="003C7BFF" w:rsidRDefault="00FC5673" w:rsidP="00C6675B">
            <w:pPr>
              <w:spacing w:after="120"/>
              <w:ind w:left="0"/>
              <w:contextualSpacing/>
              <w:cnfStyle w:val="000000000000" w:firstRow="0" w:lastRow="0" w:firstColumn="0" w:lastColumn="0" w:oddVBand="0" w:evenVBand="0" w:oddHBand="0" w:evenHBand="0" w:firstRowFirstColumn="0" w:firstRowLastColumn="0" w:lastRowFirstColumn="0" w:lastRowLastColumn="0"/>
            </w:pPr>
            <w:r w:rsidRPr="00FB5B78">
              <w:rPr>
                <w:bCs/>
                <w:color w:val="FF0000"/>
              </w:rPr>
              <w:t>1</w:t>
            </w:r>
          </w:p>
        </w:tc>
        <w:tc>
          <w:tcPr>
            <w:tcW w:w="992" w:type="dxa"/>
          </w:tcPr>
          <w:p w14:paraId="0A1F38A6" w14:textId="7F0782C1" w:rsidR="00FC5673" w:rsidRPr="003C7BFF" w:rsidRDefault="00FC5673" w:rsidP="00C6675B">
            <w:pPr>
              <w:spacing w:after="120"/>
              <w:ind w:left="0"/>
              <w:contextualSpacing/>
              <w:cnfStyle w:val="000000000000" w:firstRow="0" w:lastRow="0" w:firstColumn="0" w:lastColumn="0" w:oddVBand="0" w:evenVBand="0" w:oddHBand="0" w:evenHBand="0" w:firstRowFirstColumn="0" w:firstRowLastColumn="0" w:lastRowFirstColumn="0" w:lastRowLastColumn="0"/>
            </w:pPr>
            <w:r w:rsidRPr="00FB5B78">
              <w:rPr>
                <w:bCs/>
                <w:color w:val="FF0000"/>
              </w:rPr>
              <w:t>1</w:t>
            </w:r>
          </w:p>
        </w:tc>
        <w:tc>
          <w:tcPr>
            <w:tcW w:w="1023" w:type="dxa"/>
          </w:tcPr>
          <w:p w14:paraId="6ACCDD8B" w14:textId="5E302617" w:rsidR="00FC5673" w:rsidRPr="003C7BFF" w:rsidRDefault="00FC5673" w:rsidP="00C6675B">
            <w:pPr>
              <w:spacing w:after="120"/>
              <w:ind w:left="0"/>
              <w:contextualSpacing/>
              <w:cnfStyle w:val="000000000000" w:firstRow="0" w:lastRow="0" w:firstColumn="0" w:lastColumn="0" w:oddVBand="0" w:evenVBand="0" w:oddHBand="0" w:evenHBand="0" w:firstRowFirstColumn="0" w:firstRowLastColumn="0" w:lastRowFirstColumn="0" w:lastRowLastColumn="0"/>
            </w:pPr>
            <w:r w:rsidRPr="00FB5B78">
              <w:rPr>
                <w:bCs/>
                <w:color w:val="FF0000"/>
              </w:rPr>
              <w:t>1</w:t>
            </w:r>
          </w:p>
        </w:tc>
      </w:tr>
      <w:tr w:rsidR="00FC5673" w14:paraId="167E4592" w14:textId="77777777" w:rsidTr="00FC5673">
        <w:tc>
          <w:tcPr>
            <w:cnfStyle w:val="001000000000" w:firstRow="0" w:lastRow="0" w:firstColumn="1" w:lastColumn="0" w:oddVBand="0" w:evenVBand="0" w:oddHBand="0" w:evenHBand="0" w:firstRowFirstColumn="0" w:firstRowLastColumn="0" w:lastRowFirstColumn="0" w:lastRowLastColumn="0"/>
            <w:tcW w:w="4957" w:type="dxa"/>
          </w:tcPr>
          <w:p w14:paraId="74C1BDAD" w14:textId="7832237C" w:rsidR="00FC5673" w:rsidRPr="0053183F" w:rsidRDefault="00FC5673" w:rsidP="00C6675B">
            <w:pPr>
              <w:spacing w:after="120"/>
              <w:ind w:left="0"/>
              <w:contextualSpacing/>
              <w:rPr>
                <w:b w:val="0"/>
                <w:bCs/>
                <w:lang w:val="pl-PL"/>
              </w:rPr>
            </w:pPr>
            <w:r w:rsidRPr="0053183F">
              <w:rPr>
                <w:b w:val="0"/>
                <w:bCs/>
                <w:lang w:val="pl-PL"/>
              </w:rPr>
              <w:t>pracownicy ds. rachunkowości i księgowości</w:t>
            </w:r>
          </w:p>
        </w:tc>
        <w:tc>
          <w:tcPr>
            <w:tcW w:w="1134" w:type="dxa"/>
          </w:tcPr>
          <w:p w14:paraId="47968FFB" w14:textId="368831CD" w:rsidR="00FC5673" w:rsidRPr="003C7BFF" w:rsidRDefault="00FC5673" w:rsidP="00C6675B">
            <w:pPr>
              <w:spacing w:after="120"/>
              <w:ind w:left="0"/>
              <w:contextualSpacing/>
              <w:cnfStyle w:val="000000000000" w:firstRow="0" w:lastRow="0" w:firstColumn="0" w:lastColumn="0" w:oddVBand="0" w:evenVBand="0" w:oddHBand="0" w:evenHBand="0" w:firstRowFirstColumn="0" w:firstRowLastColumn="0" w:lastRowFirstColumn="0" w:lastRowLastColumn="0"/>
            </w:pPr>
            <w:r w:rsidRPr="003C7BFF">
              <w:t>1</w:t>
            </w:r>
          </w:p>
        </w:tc>
        <w:tc>
          <w:tcPr>
            <w:tcW w:w="993" w:type="dxa"/>
          </w:tcPr>
          <w:p w14:paraId="761E6D04" w14:textId="21EB52BA" w:rsidR="00FC5673" w:rsidRPr="003C7BFF" w:rsidRDefault="00FC5673" w:rsidP="00C6675B">
            <w:pPr>
              <w:spacing w:after="120"/>
              <w:ind w:left="0"/>
              <w:contextualSpacing/>
              <w:cnfStyle w:val="000000000000" w:firstRow="0" w:lastRow="0" w:firstColumn="0" w:lastColumn="0" w:oddVBand="0" w:evenVBand="0" w:oddHBand="0" w:evenHBand="0" w:firstRowFirstColumn="0" w:firstRowLastColumn="0" w:lastRowFirstColumn="0" w:lastRowLastColumn="0"/>
            </w:pPr>
            <w:r w:rsidRPr="003C7BFF">
              <w:t>1</w:t>
            </w:r>
          </w:p>
        </w:tc>
        <w:tc>
          <w:tcPr>
            <w:tcW w:w="992" w:type="dxa"/>
          </w:tcPr>
          <w:p w14:paraId="084934AF" w14:textId="5BD16776" w:rsidR="00FC5673" w:rsidRPr="003C7BFF" w:rsidRDefault="00FC5673" w:rsidP="00C6675B">
            <w:pPr>
              <w:spacing w:after="120"/>
              <w:ind w:left="0"/>
              <w:contextualSpacing/>
              <w:cnfStyle w:val="000000000000" w:firstRow="0" w:lastRow="0" w:firstColumn="0" w:lastColumn="0" w:oddVBand="0" w:evenVBand="0" w:oddHBand="0" w:evenHBand="0" w:firstRowFirstColumn="0" w:firstRowLastColumn="0" w:lastRowFirstColumn="0" w:lastRowLastColumn="0"/>
            </w:pPr>
            <w:r w:rsidRPr="003C7BFF">
              <w:t>1</w:t>
            </w:r>
          </w:p>
        </w:tc>
        <w:tc>
          <w:tcPr>
            <w:tcW w:w="1023" w:type="dxa"/>
          </w:tcPr>
          <w:p w14:paraId="7B76C55C" w14:textId="77777777" w:rsidR="00FC5673" w:rsidRPr="003C7BFF" w:rsidRDefault="00FC5673" w:rsidP="00C6675B">
            <w:pPr>
              <w:spacing w:after="120"/>
              <w:ind w:left="0"/>
              <w:contextualSpacing/>
              <w:cnfStyle w:val="000000000000" w:firstRow="0" w:lastRow="0" w:firstColumn="0" w:lastColumn="0" w:oddVBand="0" w:evenVBand="0" w:oddHBand="0" w:evenHBand="0" w:firstRowFirstColumn="0" w:firstRowLastColumn="0" w:lastRowFirstColumn="0" w:lastRowLastColumn="0"/>
            </w:pPr>
          </w:p>
        </w:tc>
      </w:tr>
      <w:tr w:rsidR="00FC5673" w14:paraId="023AC60C" w14:textId="77777777" w:rsidTr="00FC5673">
        <w:tc>
          <w:tcPr>
            <w:cnfStyle w:val="001000000000" w:firstRow="0" w:lastRow="0" w:firstColumn="1" w:lastColumn="0" w:oddVBand="0" w:evenVBand="0" w:oddHBand="0" w:evenHBand="0" w:firstRowFirstColumn="0" w:firstRowLastColumn="0" w:lastRowFirstColumn="0" w:lastRowLastColumn="0"/>
            <w:tcW w:w="4957" w:type="dxa"/>
          </w:tcPr>
          <w:p w14:paraId="053FC24B" w14:textId="0B7AF50F" w:rsidR="00FC5673" w:rsidRPr="0053183F" w:rsidRDefault="00FC5673" w:rsidP="00C6675B">
            <w:pPr>
              <w:spacing w:after="120"/>
              <w:ind w:left="0"/>
              <w:contextualSpacing/>
              <w:rPr>
                <w:b w:val="0"/>
                <w:bCs/>
                <w:lang w:val="pl-PL"/>
              </w:rPr>
            </w:pPr>
            <w:r w:rsidRPr="0053183F">
              <w:rPr>
                <w:b w:val="0"/>
                <w:bCs/>
                <w:lang w:val="pl-PL"/>
              </w:rPr>
              <w:t>pracownicy robót wykończeniowych w budownictwie</w:t>
            </w:r>
          </w:p>
        </w:tc>
        <w:tc>
          <w:tcPr>
            <w:tcW w:w="1134" w:type="dxa"/>
          </w:tcPr>
          <w:p w14:paraId="7A0D58F6" w14:textId="0717F61A" w:rsidR="00FC5673" w:rsidRPr="003C7BFF" w:rsidRDefault="00FC5673" w:rsidP="00C6675B">
            <w:pPr>
              <w:spacing w:after="120"/>
              <w:ind w:left="0"/>
              <w:contextualSpacing/>
              <w:cnfStyle w:val="000000000000" w:firstRow="0" w:lastRow="0" w:firstColumn="0" w:lastColumn="0" w:oddVBand="0" w:evenVBand="0" w:oddHBand="0" w:evenHBand="0" w:firstRowFirstColumn="0" w:firstRowLastColumn="0" w:lastRowFirstColumn="0" w:lastRowLastColumn="0"/>
            </w:pPr>
            <w:r w:rsidRPr="003C7BFF">
              <w:t>1</w:t>
            </w:r>
          </w:p>
        </w:tc>
        <w:tc>
          <w:tcPr>
            <w:tcW w:w="993" w:type="dxa"/>
          </w:tcPr>
          <w:p w14:paraId="6D1ACB87" w14:textId="3D48F905" w:rsidR="00FC5673" w:rsidRPr="003C7BFF" w:rsidRDefault="00FC5673" w:rsidP="00C6675B">
            <w:pPr>
              <w:spacing w:after="120"/>
              <w:ind w:left="0"/>
              <w:contextualSpacing/>
              <w:cnfStyle w:val="000000000000" w:firstRow="0" w:lastRow="0" w:firstColumn="0" w:lastColumn="0" w:oddVBand="0" w:evenVBand="0" w:oddHBand="0" w:evenHBand="0" w:firstRowFirstColumn="0" w:firstRowLastColumn="0" w:lastRowFirstColumn="0" w:lastRowLastColumn="0"/>
            </w:pPr>
            <w:r w:rsidRPr="003C7BFF">
              <w:t>1</w:t>
            </w:r>
          </w:p>
        </w:tc>
        <w:tc>
          <w:tcPr>
            <w:tcW w:w="992" w:type="dxa"/>
          </w:tcPr>
          <w:p w14:paraId="37FEE51E" w14:textId="338609C9" w:rsidR="00FC5673" w:rsidRPr="003C7BFF" w:rsidRDefault="00FC5673" w:rsidP="00C6675B">
            <w:pPr>
              <w:spacing w:after="120"/>
              <w:ind w:left="0"/>
              <w:contextualSpacing/>
              <w:cnfStyle w:val="000000000000" w:firstRow="0" w:lastRow="0" w:firstColumn="0" w:lastColumn="0" w:oddVBand="0" w:evenVBand="0" w:oddHBand="0" w:evenHBand="0" w:firstRowFirstColumn="0" w:firstRowLastColumn="0" w:lastRowFirstColumn="0" w:lastRowLastColumn="0"/>
            </w:pPr>
            <w:r w:rsidRPr="003C7BFF">
              <w:t>1</w:t>
            </w:r>
          </w:p>
        </w:tc>
        <w:tc>
          <w:tcPr>
            <w:tcW w:w="1023" w:type="dxa"/>
          </w:tcPr>
          <w:p w14:paraId="48A8791A" w14:textId="77777777" w:rsidR="00FC5673" w:rsidRPr="003C7BFF" w:rsidRDefault="00FC5673" w:rsidP="00C6675B">
            <w:pPr>
              <w:spacing w:after="120"/>
              <w:ind w:left="0"/>
              <w:contextualSpacing/>
              <w:cnfStyle w:val="000000000000" w:firstRow="0" w:lastRow="0" w:firstColumn="0" w:lastColumn="0" w:oddVBand="0" w:evenVBand="0" w:oddHBand="0" w:evenHBand="0" w:firstRowFirstColumn="0" w:firstRowLastColumn="0" w:lastRowFirstColumn="0" w:lastRowLastColumn="0"/>
            </w:pPr>
          </w:p>
        </w:tc>
      </w:tr>
      <w:tr w:rsidR="00FC5673" w14:paraId="52B1063B" w14:textId="77777777" w:rsidTr="00FC5673">
        <w:tc>
          <w:tcPr>
            <w:cnfStyle w:val="001000000000" w:firstRow="0" w:lastRow="0" w:firstColumn="1" w:lastColumn="0" w:oddVBand="0" w:evenVBand="0" w:oddHBand="0" w:evenHBand="0" w:firstRowFirstColumn="0" w:firstRowLastColumn="0" w:lastRowFirstColumn="0" w:lastRowLastColumn="0"/>
            <w:tcW w:w="4957" w:type="dxa"/>
          </w:tcPr>
          <w:p w14:paraId="23CC678B" w14:textId="38323D1C" w:rsidR="00FC5673" w:rsidRPr="0053183F" w:rsidRDefault="00FC5673" w:rsidP="00C6675B">
            <w:pPr>
              <w:spacing w:after="120"/>
              <w:ind w:left="0"/>
              <w:contextualSpacing/>
              <w:rPr>
                <w:b w:val="0"/>
                <w:bCs/>
                <w:lang w:val="pl-PL"/>
              </w:rPr>
            </w:pPr>
            <w:r w:rsidRPr="0053183F">
              <w:rPr>
                <w:b w:val="0"/>
                <w:bCs/>
                <w:color w:val="4472C4" w:themeColor="accent1"/>
                <w:lang w:val="pl-PL"/>
              </w:rPr>
              <w:t>robotnicy obróbki drewna i stolarze</w:t>
            </w:r>
          </w:p>
        </w:tc>
        <w:tc>
          <w:tcPr>
            <w:tcW w:w="1134" w:type="dxa"/>
          </w:tcPr>
          <w:p w14:paraId="73AD0747" w14:textId="7A5F33E2" w:rsidR="00FC5673" w:rsidRPr="003C7BFF" w:rsidRDefault="00FC5673" w:rsidP="00C6675B">
            <w:pPr>
              <w:spacing w:after="120"/>
              <w:ind w:left="0"/>
              <w:contextualSpacing/>
              <w:cnfStyle w:val="000000000000" w:firstRow="0" w:lastRow="0" w:firstColumn="0" w:lastColumn="0" w:oddVBand="0" w:evenVBand="0" w:oddHBand="0" w:evenHBand="0" w:firstRowFirstColumn="0" w:firstRowLastColumn="0" w:lastRowFirstColumn="0" w:lastRowLastColumn="0"/>
            </w:pPr>
            <w:r w:rsidRPr="00FB5B78">
              <w:rPr>
                <w:color w:val="4472C4" w:themeColor="accent1"/>
              </w:rPr>
              <w:t>1</w:t>
            </w:r>
          </w:p>
        </w:tc>
        <w:tc>
          <w:tcPr>
            <w:tcW w:w="993" w:type="dxa"/>
          </w:tcPr>
          <w:p w14:paraId="4FFD2015" w14:textId="315667B4" w:rsidR="00FC5673" w:rsidRPr="003C7BFF" w:rsidRDefault="00FC5673" w:rsidP="00C6675B">
            <w:pPr>
              <w:spacing w:after="120"/>
              <w:ind w:left="0"/>
              <w:contextualSpacing/>
              <w:cnfStyle w:val="000000000000" w:firstRow="0" w:lastRow="0" w:firstColumn="0" w:lastColumn="0" w:oddVBand="0" w:evenVBand="0" w:oddHBand="0" w:evenHBand="0" w:firstRowFirstColumn="0" w:firstRowLastColumn="0" w:lastRowFirstColumn="0" w:lastRowLastColumn="0"/>
            </w:pPr>
            <w:r w:rsidRPr="00FB5B78">
              <w:rPr>
                <w:color w:val="4472C4" w:themeColor="accent1"/>
              </w:rPr>
              <w:t>1</w:t>
            </w:r>
          </w:p>
        </w:tc>
        <w:tc>
          <w:tcPr>
            <w:tcW w:w="992" w:type="dxa"/>
          </w:tcPr>
          <w:p w14:paraId="3CC4B80C" w14:textId="5AD52EF1" w:rsidR="00FC5673" w:rsidRPr="003C7BFF" w:rsidRDefault="00FC5673" w:rsidP="00C6675B">
            <w:pPr>
              <w:spacing w:after="120"/>
              <w:ind w:left="0"/>
              <w:contextualSpacing/>
              <w:cnfStyle w:val="000000000000" w:firstRow="0" w:lastRow="0" w:firstColumn="0" w:lastColumn="0" w:oddVBand="0" w:evenVBand="0" w:oddHBand="0" w:evenHBand="0" w:firstRowFirstColumn="0" w:firstRowLastColumn="0" w:lastRowFirstColumn="0" w:lastRowLastColumn="0"/>
            </w:pPr>
            <w:r w:rsidRPr="00FB5B78">
              <w:rPr>
                <w:color w:val="4472C4" w:themeColor="accent1"/>
              </w:rPr>
              <w:t>1</w:t>
            </w:r>
          </w:p>
        </w:tc>
        <w:tc>
          <w:tcPr>
            <w:tcW w:w="1023" w:type="dxa"/>
          </w:tcPr>
          <w:p w14:paraId="61D565D8" w14:textId="77777777" w:rsidR="00FC5673" w:rsidRPr="003C7BFF" w:rsidRDefault="00FC5673" w:rsidP="00C6675B">
            <w:pPr>
              <w:spacing w:after="120"/>
              <w:ind w:left="0"/>
              <w:contextualSpacing/>
              <w:cnfStyle w:val="000000000000" w:firstRow="0" w:lastRow="0" w:firstColumn="0" w:lastColumn="0" w:oddVBand="0" w:evenVBand="0" w:oddHBand="0" w:evenHBand="0" w:firstRowFirstColumn="0" w:firstRowLastColumn="0" w:lastRowFirstColumn="0" w:lastRowLastColumn="0"/>
            </w:pPr>
          </w:p>
        </w:tc>
      </w:tr>
      <w:tr w:rsidR="00FC5673" w14:paraId="3F4B0CC9" w14:textId="77777777" w:rsidTr="00FC5673">
        <w:tc>
          <w:tcPr>
            <w:cnfStyle w:val="001000000000" w:firstRow="0" w:lastRow="0" w:firstColumn="1" w:lastColumn="0" w:oddVBand="0" w:evenVBand="0" w:oddHBand="0" w:evenHBand="0" w:firstRowFirstColumn="0" w:firstRowLastColumn="0" w:lastRowFirstColumn="0" w:lastRowLastColumn="0"/>
            <w:tcW w:w="4957" w:type="dxa"/>
          </w:tcPr>
          <w:p w14:paraId="6C48DB73" w14:textId="3F76C97D" w:rsidR="00FC5673" w:rsidRPr="0053183F" w:rsidRDefault="00FC5673" w:rsidP="00C6675B">
            <w:pPr>
              <w:spacing w:after="120"/>
              <w:ind w:left="0"/>
              <w:contextualSpacing/>
              <w:rPr>
                <w:b w:val="0"/>
                <w:bCs/>
                <w:lang w:val="pl-PL"/>
              </w:rPr>
            </w:pPr>
            <w:r w:rsidRPr="0053183F">
              <w:rPr>
                <w:b w:val="0"/>
                <w:bCs/>
              </w:rPr>
              <w:lastRenderedPageBreak/>
              <w:t>samodzielni księgowi</w:t>
            </w:r>
          </w:p>
        </w:tc>
        <w:tc>
          <w:tcPr>
            <w:tcW w:w="1134" w:type="dxa"/>
          </w:tcPr>
          <w:p w14:paraId="4217B8B3" w14:textId="4B1C9681" w:rsidR="00FC5673" w:rsidRPr="003C7BFF" w:rsidRDefault="00FC5673" w:rsidP="00C6675B">
            <w:pPr>
              <w:spacing w:after="120"/>
              <w:ind w:left="0"/>
              <w:contextualSpacing/>
              <w:cnfStyle w:val="000000000000" w:firstRow="0" w:lastRow="0" w:firstColumn="0" w:lastColumn="0" w:oddVBand="0" w:evenVBand="0" w:oddHBand="0" w:evenHBand="0" w:firstRowFirstColumn="0" w:firstRowLastColumn="0" w:lastRowFirstColumn="0" w:lastRowLastColumn="0"/>
            </w:pPr>
            <w:r w:rsidRPr="003C7BFF">
              <w:t>1</w:t>
            </w:r>
          </w:p>
        </w:tc>
        <w:tc>
          <w:tcPr>
            <w:tcW w:w="993" w:type="dxa"/>
          </w:tcPr>
          <w:p w14:paraId="2315707D" w14:textId="22C6A164" w:rsidR="00FC5673" w:rsidRPr="003C7BFF" w:rsidRDefault="00FC5673" w:rsidP="00C6675B">
            <w:pPr>
              <w:spacing w:after="120"/>
              <w:ind w:left="0"/>
              <w:contextualSpacing/>
              <w:cnfStyle w:val="000000000000" w:firstRow="0" w:lastRow="0" w:firstColumn="0" w:lastColumn="0" w:oddVBand="0" w:evenVBand="0" w:oddHBand="0" w:evenHBand="0" w:firstRowFirstColumn="0" w:firstRowLastColumn="0" w:lastRowFirstColumn="0" w:lastRowLastColumn="0"/>
            </w:pPr>
            <w:r w:rsidRPr="003C7BFF">
              <w:t>1</w:t>
            </w:r>
          </w:p>
        </w:tc>
        <w:tc>
          <w:tcPr>
            <w:tcW w:w="992" w:type="dxa"/>
          </w:tcPr>
          <w:p w14:paraId="08892D80" w14:textId="392A3A97" w:rsidR="00FC5673" w:rsidRPr="003C7BFF" w:rsidRDefault="00FC5673" w:rsidP="00C6675B">
            <w:pPr>
              <w:spacing w:after="120"/>
              <w:ind w:left="0"/>
              <w:contextualSpacing/>
              <w:cnfStyle w:val="000000000000" w:firstRow="0" w:lastRow="0" w:firstColumn="0" w:lastColumn="0" w:oddVBand="0" w:evenVBand="0" w:oddHBand="0" w:evenHBand="0" w:firstRowFirstColumn="0" w:firstRowLastColumn="0" w:lastRowFirstColumn="0" w:lastRowLastColumn="0"/>
            </w:pPr>
            <w:r w:rsidRPr="003C7BFF">
              <w:t>1</w:t>
            </w:r>
          </w:p>
        </w:tc>
        <w:tc>
          <w:tcPr>
            <w:tcW w:w="1023" w:type="dxa"/>
          </w:tcPr>
          <w:p w14:paraId="11A342EC" w14:textId="241694B7" w:rsidR="00FC5673" w:rsidRPr="003C7BFF" w:rsidRDefault="00FC5673" w:rsidP="00C6675B">
            <w:pPr>
              <w:spacing w:after="120"/>
              <w:ind w:left="0"/>
              <w:contextualSpacing/>
              <w:cnfStyle w:val="000000000000" w:firstRow="0" w:lastRow="0" w:firstColumn="0" w:lastColumn="0" w:oddVBand="0" w:evenVBand="0" w:oddHBand="0" w:evenHBand="0" w:firstRowFirstColumn="0" w:firstRowLastColumn="0" w:lastRowFirstColumn="0" w:lastRowLastColumn="0"/>
            </w:pPr>
            <w:r w:rsidRPr="003C7BFF">
              <w:t>1</w:t>
            </w:r>
          </w:p>
        </w:tc>
      </w:tr>
      <w:tr w:rsidR="00FC5673" w14:paraId="4704C3C3" w14:textId="77777777" w:rsidTr="00FC5673">
        <w:tc>
          <w:tcPr>
            <w:cnfStyle w:val="001000000000" w:firstRow="0" w:lastRow="0" w:firstColumn="1" w:lastColumn="0" w:oddVBand="0" w:evenVBand="0" w:oddHBand="0" w:evenHBand="0" w:firstRowFirstColumn="0" w:firstRowLastColumn="0" w:lastRowFirstColumn="0" w:lastRowLastColumn="0"/>
            <w:tcW w:w="4957" w:type="dxa"/>
          </w:tcPr>
          <w:p w14:paraId="3D364593" w14:textId="027C54B7" w:rsidR="00FC5673" w:rsidRPr="0053183F" w:rsidRDefault="00FC5673" w:rsidP="00C6675B">
            <w:pPr>
              <w:spacing w:after="120"/>
              <w:ind w:left="0"/>
              <w:contextualSpacing/>
              <w:rPr>
                <w:b w:val="0"/>
                <w:bCs/>
                <w:lang w:val="pl-PL"/>
              </w:rPr>
            </w:pPr>
            <w:r w:rsidRPr="0053183F">
              <w:rPr>
                <w:b w:val="0"/>
                <w:bCs/>
              </w:rPr>
              <w:t>spawacze</w:t>
            </w:r>
          </w:p>
        </w:tc>
        <w:tc>
          <w:tcPr>
            <w:tcW w:w="1134" w:type="dxa"/>
          </w:tcPr>
          <w:p w14:paraId="6617E7F9" w14:textId="76CAA766" w:rsidR="00FC5673" w:rsidRPr="003C7BFF" w:rsidRDefault="00FC5673" w:rsidP="00C6675B">
            <w:pPr>
              <w:spacing w:after="120"/>
              <w:ind w:left="0"/>
              <w:contextualSpacing/>
              <w:cnfStyle w:val="000000000000" w:firstRow="0" w:lastRow="0" w:firstColumn="0" w:lastColumn="0" w:oddVBand="0" w:evenVBand="0" w:oddHBand="0" w:evenHBand="0" w:firstRowFirstColumn="0" w:firstRowLastColumn="0" w:lastRowFirstColumn="0" w:lastRowLastColumn="0"/>
            </w:pPr>
            <w:r w:rsidRPr="003C7BFF">
              <w:t>1</w:t>
            </w:r>
          </w:p>
        </w:tc>
        <w:tc>
          <w:tcPr>
            <w:tcW w:w="993" w:type="dxa"/>
          </w:tcPr>
          <w:p w14:paraId="3E2B37EA" w14:textId="5784F9BA" w:rsidR="00FC5673" w:rsidRPr="003C7BFF" w:rsidRDefault="00FC5673" w:rsidP="00C6675B">
            <w:pPr>
              <w:spacing w:after="120"/>
              <w:ind w:left="0"/>
              <w:contextualSpacing/>
              <w:cnfStyle w:val="000000000000" w:firstRow="0" w:lastRow="0" w:firstColumn="0" w:lastColumn="0" w:oddVBand="0" w:evenVBand="0" w:oddHBand="0" w:evenHBand="0" w:firstRowFirstColumn="0" w:firstRowLastColumn="0" w:lastRowFirstColumn="0" w:lastRowLastColumn="0"/>
            </w:pPr>
            <w:r w:rsidRPr="003C7BFF">
              <w:t>1</w:t>
            </w:r>
          </w:p>
        </w:tc>
        <w:tc>
          <w:tcPr>
            <w:tcW w:w="992" w:type="dxa"/>
          </w:tcPr>
          <w:p w14:paraId="1B0CDA89" w14:textId="236D474A" w:rsidR="00FC5673" w:rsidRPr="003C7BFF" w:rsidRDefault="00FC5673" w:rsidP="00C6675B">
            <w:pPr>
              <w:spacing w:after="120"/>
              <w:ind w:left="0"/>
              <w:contextualSpacing/>
              <w:cnfStyle w:val="000000000000" w:firstRow="0" w:lastRow="0" w:firstColumn="0" w:lastColumn="0" w:oddVBand="0" w:evenVBand="0" w:oddHBand="0" w:evenHBand="0" w:firstRowFirstColumn="0" w:firstRowLastColumn="0" w:lastRowFirstColumn="0" w:lastRowLastColumn="0"/>
            </w:pPr>
            <w:r w:rsidRPr="003C7BFF">
              <w:t>1</w:t>
            </w:r>
          </w:p>
        </w:tc>
        <w:tc>
          <w:tcPr>
            <w:tcW w:w="1023" w:type="dxa"/>
          </w:tcPr>
          <w:p w14:paraId="57287B08" w14:textId="325498E2" w:rsidR="00FC5673" w:rsidRPr="003C7BFF" w:rsidRDefault="00FC5673" w:rsidP="00C6675B">
            <w:pPr>
              <w:spacing w:after="120"/>
              <w:ind w:left="0"/>
              <w:contextualSpacing/>
              <w:cnfStyle w:val="000000000000" w:firstRow="0" w:lastRow="0" w:firstColumn="0" w:lastColumn="0" w:oddVBand="0" w:evenVBand="0" w:oddHBand="0" w:evenHBand="0" w:firstRowFirstColumn="0" w:firstRowLastColumn="0" w:lastRowFirstColumn="0" w:lastRowLastColumn="0"/>
            </w:pPr>
            <w:r w:rsidRPr="003C7BFF">
              <w:t>1</w:t>
            </w:r>
          </w:p>
        </w:tc>
      </w:tr>
      <w:tr w:rsidR="00FC5673" w14:paraId="12052830" w14:textId="77777777" w:rsidTr="00FC5673">
        <w:tc>
          <w:tcPr>
            <w:cnfStyle w:val="001000000000" w:firstRow="0" w:lastRow="0" w:firstColumn="1" w:lastColumn="0" w:oddVBand="0" w:evenVBand="0" w:oddHBand="0" w:evenHBand="0" w:firstRowFirstColumn="0" w:firstRowLastColumn="0" w:lastRowFirstColumn="0" w:lastRowLastColumn="0"/>
            <w:tcW w:w="4957" w:type="dxa"/>
          </w:tcPr>
          <w:p w14:paraId="1CD6F239" w14:textId="7279D603" w:rsidR="00FC5673" w:rsidRPr="0053183F" w:rsidRDefault="00FC5673" w:rsidP="00C6675B">
            <w:pPr>
              <w:spacing w:after="120"/>
              <w:ind w:left="0"/>
              <w:contextualSpacing/>
              <w:rPr>
                <w:b w:val="0"/>
                <w:bCs/>
                <w:lang w:val="pl-PL"/>
              </w:rPr>
            </w:pPr>
            <w:r w:rsidRPr="0053183F">
              <w:rPr>
                <w:b w:val="0"/>
                <w:bCs/>
                <w:color w:val="4472C4" w:themeColor="accent1"/>
              </w:rPr>
              <w:t>szefowie kuchni</w:t>
            </w:r>
          </w:p>
        </w:tc>
        <w:tc>
          <w:tcPr>
            <w:tcW w:w="1134" w:type="dxa"/>
          </w:tcPr>
          <w:p w14:paraId="7D173B23" w14:textId="77777777" w:rsidR="00FC5673" w:rsidRPr="003C7BFF" w:rsidRDefault="00FC5673" w:rsidP="00C6675B">
            <w:pPr>
              <w:spacing w:after="120"/>
              <w:ind w:left="0"/>
              <w:contextualSpacing/>
              <w:cnfStyle w:val="000000000000" w:firstRow="0" w:lastRow="0" w:firstColumn="0" w:lastColumn="0" w:oddVBand="0" w:evenVBand="0" w:oddHBand="0" w:evenHBand="0" w:firstRowFirstColumn="0" w:firstRowLastColumn="0" w:lastRowFirstColumn="0" w:lastRowLastColumn="0"/>
            </w:pPr>
          </w:p>
        </w:tc>
        <w:tc>
          <w:tcPr>
            <w:tcW w:w="993" w:type="dxa"/>
          </w:tcPr>
          <w:p w14:paraId="7F44A406" w14:textId="47142EF8" w:rsidR="00FC5673" w:rsidRPr="003C7BFF" w:rsidRDefault="00FC5673" w:rsidP="00C6675B">
            <w:pPr>
              <w:spacing w:after="120"/>
              <w:ind w:left="0"/>
              <w:contextualSpacing/>
              <w:cnfStyle w:val="000000000000" w:firstRow="0" w:lastRow="0" w:firstColumn="0" w:lastColumn="0" w:oddVBand="0" w:evenVBand="0" w:oddHBand="0" w:evenHBand="0" w:firstRowFirstColumn="0" w:firstRowLastColumn="0" w:lastRowFirstColumn="0" w:lastRowLastColumn="0"/>
            </w:pPr>
            <w:r w:rsidRPr="00FB5B78">
              <w:rPr>
                <w:color w:val="4472C4" w:themeColor="accent1"/>
              </w:rPr>
              <w:t>1</w:t>
            </w:r>
          </w:p>
        </w:tc>
        <w:tc>
          <w:tcPr>
            <w:tcW w:w="992" w:type="dxa"/>
          </w:tcPr>
          <w:p w14:paraId="07557331" w14:textId="6C5ABFED" w:rsidR="00FC5673" w:rsidRPr="003C7BFF" w:rsidRDefault="00FC5673" w:rsidP="00C6675B">
            <w:pPr>
              <w:spacing w:after="120"/>
              <w:ind w:left="0"/>
              <w:contextualSpacing/>
              <w:cnfStyle w:val="000000000000" w:firstRow="0" w:lastRow="0" w:firstColumn="0" w:lastColumn="0" w:oddVBand="0" w:evenVBand="0" w:oddHBand="0" w:evenHBand="0" w:firstRowFirstColumn="0" w:firstRowLastColumn="0" w:lastRowFirstColumn="0" w:lastRowLastColumn="0"/>
            </w:pPr>
            <w:r w:rsidRPr="00FB5B78">
              <w:rPr>
                <w:color w:val="4472C4" w:themeColor="accent1"/>
              </w:rPr>
              <w:t>1</w:t>
            </w:r>
          </w:p>
        </w:tc>
        <w:tc>
          <w:tcPr>
            <w:tcW w:w="1023" w:type="dxa"/>
          </w:tcPr>
          <w:p w14:paraId="7430DFC3" w14:textId="7081CD26" w:rsidR="00FC5673" w:rsidRPr="003C7BFF" w:rsidRDefault="00FC5673" w:rsidP="00C6675B">
            <w:pPr>
              <w:spacing w:after="120"/>
              <w:ind w:left="0"/>
              <w:contextualSpacing/>
              <w:cnfStyle w:val="000000000000" w:firstRow="0" w:lastRow="0" w:firstColumn="0" w:lastColumn="0" w:oddVBand="0" w:evenVBand="0" w:oddHBand="0" w:evenHBand="0" w:firstRowFirstColumn="0" w:firstRowLastColumn="0" w:lastRowFirstColumn="0" w:lastRowLastColumn="0"/>
            </w:pPr>
            <w:r w:rsidRPr="00FB5B78">
              <w:rPr>
                <w:color w:val="4472C4" w:themeColor="accent1"/>
              </w:rPr>
              <w:t>1</w:t>
            </w:r>
          </w:p>
        </w:tc>
      </w:tr>
      <w:tr w:rsidR="00FC5673" w14:paraId="1404338A" w14:textId="77777777" w:rsidTr="00FC5673">
        <w:tc>
          <w:tcPr>
            <w:cnfStyle w:val="001000000000" w:firstRow="0" w:lastRow="0" w:firstColumn="1" w:lastColumn="0" w:oddVBand="0" w:evenVBand="0" w:oddHBand="0" w:evenHBand="0" w:firstRowFirstColumn="0" w:firstRowLastColumn="0" w:lastRowFirstColumn="0" w:lastRowLastColumn="0"/>
            <w:tcW w:w="4957" w:type="dxa"/>
          </w:tcPr>
          <w:p w14:paraId="37C06D2F" w14:textId="3A008F99" w:rsidR="00FC5673" w:rsidRPr="0053183F" w:rsidRDefault="00FC5673" w:rsidP="00C6675B">
            <w:pPr>
              <w:spacing w:after="120"/>
              <w:ind w:left="0"/>
              <w:contextualSpacing/>
              <w:rPr>
                <w:b w:val="0"/>
                <w:bCs/>
                <w:color w:val="4472C4" w:themeColor="accent1"/>
              </w:rPr>
            </w:pPr>
            <w:r w:rsidRPr="0053183F">
              <w:rPr>
                <w:b w:val="0"/>
                <w:bCs/>
              </w:rPr>
              <w:t>ślusarze</w:t>
            </w:r>
          </w:p>
        </w:tc>
        <w:tc>
          <w:tcPr>
            <w:tcW w:w="1134" w:type="dxa"/>
          </w:tcPr>
          <w:p w14:paraId="6C296A94" w14:textId="7959BE52" w:rsidR="00FC5673" w:rsidRPr="00FC5673" w:rsidRDefault="00FC5673" w:rsidP="00C6675B">
            <w:pPr>
              <w:spacing w:after="120"/>
              <w:ind w:left="0"/>
              <w:contextualSpacing/>
              <w:cnfStyle w:val="000000000000" w:firstRow="0" w:lastRow="0" w:firstColumn="0" w:lastColumn="0" w:oddVBand="0" w:evenVBand="0" w:oddHBand="0" w:evenHBand="0" w:firstRowFirstColumn="0" w:firstRowLastColumn="0" w:lastRowFirstColumn="0" w:lastRowLastColumn="0"/>
            </w:pPr>
            <w:r w:rsidRPr="00FC5673">
              <w:t>1</w:t>
            </w:r>
          </w:p>
        </w:tc>
        <w:tc>
          <w:tcPr>
            <w:tcW w:w="993" w:type="dxa"/>
          </w:tcPr>
          <w:p w14:paraId="0BEAAD0D" w14:textId="6C89147D" w:rsidR="00FC5673" w:rsidRPr="00FC5673" w:rsidRDefault="00FC5673" w:rsidP="00C6675B">
            <w:pPr>
              <w:spacing w:after="120"/>
              <w:ind w:left="0"/>
              <w:contextualSpacing/>
              <w:cnfStyle w:val="000000000000" w:firstRow="0" w:lastRow="0" w:firstColumn="0" w:lastColumn="0" w:oddVBand="0" w:evenVBand="0" w:oddHBand="0" w:evenHBand="0" w:firstRowFirstColumn="0" w:firstRowLastColumn="0" w:lastRowFirstColumn="0" w:lastRowLastColumn="0"/>
            </w:pPr>
            <w:r w:rsidRPr="00FC5673">
              <w:t xml:space="preserve">  1</w:t>
            </w:r>
          </w:p>
        </w:tc>
        <w:tc>
          <w:tcPr>
            <w:tcW w:w="992" w:type="dxa"/>
          </w:tcPr>
          <w:p w14:paraId="44FD73CF" w14:textId="61E3FC04" w:rsidR="00FC5673" w:rsidRPr="00FC5673" w:rsidRDefault="00FC5673" w:rsidP="00C6675B">
            <w:pPr>
              <w:spacing w:after="120"/>
              <w:ind w:left="0"/>
              <w:contextualSpacing/>
              <w:cnfStyle w:val="000000000000" w:firstRow="0" w:lastRow="0" w:firstColumn="0" w:lastColumn="0" w:oddVBand="0" w:evenVBand="0" w:oddHBand="0" w:evenHBand="0" w:firstRowFirstColumn="0" w:firstRowLastColumn="0" w:lastRowFirstColumn="0" w:lastRowLastColumn="0"/>
            </w:pPr>
            <w:r w:rsidRPr="00FC5673">
              <w:t>1</w:t>
            </w:r>
          </w:p>
        </w:tc>
        <w:tc>
          <w:tcPr>
            <w:tcW w:w="1023" w:type="dxa"/>
          </w:tcPr>
          <w:p w14:paraId="4A50ACDB" w14:textId="024801FE" w:rsidR="00FC5673" w:rsidRPr="00FC5673" w:rsidRDefault="00FC5673" w:rsidP="00C6675B">
            <w:pPr>
              <w:spacing w:after="120"/>
              <w:ind w:left="0"/>
              <w:contextualSpacing/>
              <w:cnfStyle w:val="000000000000" w:firstRow="0" w:lastRow="0" w:firstColumn="0" w:lastColumn="0" w:oddVBand="0" w:evenVBand="0" w:oddHBand="0" w:evenHBand="0" w:firstRowFirstColumn="0" w:firstRowLastColumn="0" w:lastRowFirstColumn="0" w:lastRowLastColumn="0"/>
            </w:pPr>
            <w:r w:rsidRPr="00FC5673">
              <w:t>1</w:t>
            </w:r>
          </w:p>
        </w:tc>
      </w:tr>
    </w:tbl>
    <w:p w14:paraId="20E39DF6" w14:textId="6C58C32D" w:rsidR="00CC55AA" w:rsidRPr="00AA3128" w:rsidRDefault="00CC55AA" w:rsidP="00CC55AA">
      <w:pPr>
        <w:pStyle w:val="podpiselementu"/>
        <w:spacing w:after="240"/>
        <w:rPr>
          <w:rFonts w:asciiTheme="minorHAnsi" w:hAnsiTheme="minorHAnsi"/>
          <w:szCs w:val="24"/>
          <w:lang w:val="pl-PL"/>
        </w:rPr>
      </w:pPr>
      <w:r w:rsidRPr="00AA3128">
        <w:rPr>
          <w:rFonts w:asciiTheme="minorHAnsi" w:hAnsiTheme="minorHAnsi"/>
          <w:szCs w:val="24"/>
          <w:lang w:val="pl-PL"/>
        </w:rPr>
        <w:t>PD - powiat działdowski</w:t>
      </w:r>
      <w:r w:rsidR="00E736E3" w:rsidRPr="00AA3128">
        <w:rPr>
          <w:rFonts w:asciiTheme="minorHAnsi" w:hAnsiTheme="minorHAnsi"/>
          <w:szCs w:val="24"/>
          <w:lang w:val="pl-PL"/>
        </w:rPr>
        <w:t xml:space="preserve">, </w:t>
      </w:r>
      <w:r w:rsidRPr="00AA3128">
        <w:rPr>
          <w:rFonts w:asciiTheme="minorHAnsi" w:hAnsiTheme="minorHAnsi"/>
          <w:szCs w:val="24"/>
          <w:lang w:val="pl-PL"/>
        </w:rPr>
        <w:t>PN – powiat nidzicki</w:t>
      </w:r>
      <w:r w:rsidR="00E736E3" w:rsidRPr="00AA3128">
        <w:rPr>
          <w:rFonts w:asciiTheme="minorHAnsi" w:hAnsiTheme="minorHAnsi"/>
          <w:szCs w:val="24"/>
          <w:lang w:val="pl-PL"/>
        </w:rPr>
        <w:t xml:space="preserve">, </w:t>
      </w:r>
      <w:r w:rsidRPr="00AA3128">
        <w:rPr>
          <w:rFonts w:asciiTheme="minorHAnsi" w:hAnsiTheme="minorHAnsi"/>
          <w:szCs w:val="24"/>
          <w:lang w:val="pl-PL"/>
        </w:rPr>
        <w:t>PP – powiat piski</w:t>
      </w:r>
      <w:r w:rsidR="00E736E3" w:rsidRPr="00AA3128">
        <w:rPr>
          <w:rFonts w:asciiTheme="minorHAnsi" w:hAnsiTheme="minorHAnsi"/>
          <w:szCs w:val="24"/>
          <w:lang w:val="pl-PL"/>
        </w:rPr>
        <w:t xml:space="preserve">, </w:t>
      </w:r>
      <w:r w:rsidRPr="00AA3128">
        <w:rPr>
          <w:rFonts w:asciiTheme="minorHAnsi" w:hAnsiTheme="minorHAnsi"/>
          <w:szCs w:val="24"/>
          <w:lang w:val="pl-PL"/>
        </w:rPr>
        <w:t>PS- powiat szczycieński</w:t>
      </w:r>
    </w:p>
    <w:p w14:paraId="358AD946" w14:textId="37879221" w:rsidR="00577383" w:rsidRPr="00733091" w:rsidRDefault="00577383" w:rsidP="00733091">
      <w:pPr>
        <w:pStyle w:val="podpiselementu"/>
        <w:spacing w:after="240"/>
        <w:rPr>
          <w:lang w:val="pl-PL"/>
        </w:rPr>
      </w:pPr>
      <w:r w:rsidRPr="00733091">
        <w:rPr>
          <w:lang w:val="pl-PL"/>
        </w:rPr>
        <w:t xml:space="preserve">Źródło: opracowanie własne na podstawie: </w:t>
      </w:r>
      <w:hyperlink r:id="rId122" w:history="1">
        <w:r w:rsidRPr="00733091">
          <w:rPr>
            <w:rStyle w:val="Hipercze"/>
            <w:color w:val="auto"/>
            <w:u w:val="none"/>
            <w:lang w:val="pl-PL"/>
          </w:rPr>
          <w:t>https://barometrzawodow.pl/pl/warminsko-mazurskie/prognozy-w-tabelach/2020/warminsko-mazurskie.19...307-315-320-321...2.5-3-1-4-2.14..0.1.0-1..?province=warminsko-mazurskie&amp;Jobs_page=2&amp;ALL=ALL</w:t>
        </w:r>
      </w:hyperlink>
    </w:p>
    <w:p w14:paraId="58E99073" w14:textId="24447F99" w:rsidR="00577383" w:rsidRPr="00FB5B78" w:rsidRDefault="00577383" w:rsidP="00EA3474">
      <w:pPr>
        <w:rPr>
          <w:rFonts w:eastAsia="Times New Roman"/>
          <w:color w:val="000000"/>
          <w:lang w:val="pl-PL" w:eastAsia="pl-PL"/>
        </w:rPr>
      </w:pPr>
      <w:r w:rsidRPr="00733091">
        <w:rPr>
          <w:lang w:val="pl-PL"/>
        </w:rPr>
        <w:br/>
        <w:t>Część zawodów wymienionych w ww. tabeli znalazło się również w</w:t>
      </w:r>
      <w:r w:rsidRPr="00733091">
        <w:rPr>
          <w:i/>
          <w:iCs/>
          <w:lang w:val="pl-PL"/>
        </w:rPr>
        <w:t xml:space="preserve"> </w:t>
      </w:r>
      <w:r w:rsidRPr="00733091">
        <w:rPr>
          <w:lang w:val="pl-PL"/>
        </w:rPr>
        <w:t>wykazie zawodów szkolnictwa branżowego</w:t>
      </w:r>
      <w:r>
        <w:rPr>
          <w:rStyle w:val="Odwoanieprzypisudolnego"/>
          <w:rFonts w:cstheme="minorHAnsi"/>
        </w:rPr>
        <w:footnoteReference w:id="80"/>
      </w:r>
      <w:r w:rsidRPr="00733091">
        <w:rPr>
          <w:lang w:val="pl-PL"/>
        </w:rPr>
        <w:t xml:space="preserve">, dla których prognozowane jest </w:t>
      </w:r>
      <w:r w:rsidRPr="00733091">
        <w:rPr>
          <w:b/>
          <w:lang w:val="pl-PL"/>
        </w:rPr>
        <w:t xml:space="preserve">istotne zapotrzebowanie </w:t>
      </w:r>
      <w:r w:rsidRPr="00733091">
        <w:rPr>
          <w:lang w:val="pl-PL"/>
        </w:rPr>
        <w:t xml:space="preserve">w województwie warmińsko-mazurskim. Wśród ww. zawodów znalazły się te, które mogą być wykorzystane w procesie rozwoju konkurencyjnych gałęzi gospodarki (np. kucharz, monter jachtów i łodzi, monter kadłubów jednostek pływających, piekarz, pracownik pomocniczy gastronomii, technik organizacji turystyki, technik przetwórstwa mleczarskiego, </w:t>
      </w:r>
      <w:r w:rsidRPr="00733091">
        <w:rPr>
          <w:rFonts w:eastAsia="Times New Roman"/>
          <w:color w:val="000000"/>
          <w:lang w:val="pl-PL" w:eastAsia="pl-PL"/>
        </w:rPr>
        <w:t>technik urządzeń i systemów energetyki odnawialnej, technik ochrony środowiska, technik żeglugi śródlądowej</w:t>
      </w:r>
      <w:r w:rsidR="0048506E">
        <w:rPr>
          <w:rFonts w:eastAsia="Times New Roman"/>
          <w:color w:val="000000"/>
          <w:lang w:val="pl-PL" w:eastAsia="pl-PL"/>
        </w:rPr>
        <w:t>,</w:t>
      </w:r>
      <w:r w:rsidRPr="00733091">
        <w:rPr>
          <w:rFonts w:eastAsia="Times New Roman"/>
          <w:color w:val="000000"/>
          <w:lang w:val="pl-PL" w:eastAsia="pl-PL"/>
        </w:rPr>
        <w:t xml:space="preserve"> technik żywienia i usług gastronomicznych).</w:t>
      </w:r>
    </w:p>
    <w:p w14:paraId="13577102" w14:textId="683F564D" w:rsidR="00577383" w:rsidRDefault="00577383" w:rsidP="00733091">
      <w:pPr>
        <w:rPr>
          <w:lang w:val="pl-PL"/>
        </w:rPr>
      </w:pPr>
      <w:r w:rsidRPr="00733091">
        <w:rPr>
          <w:lang w:val="pl-PL"/>
        </w:rPr>
        <w:t xml:space="preserve">O zapotrzebowaniu na siłę roboczą może pośrednio świadczyć liczba ofert pracy. </w:t>
      </w:r>
      <w:r w:rsidRPr="00733091">
        <w:rPr>
          <w:lang w:val="pl-PL"/>
        </w:rPr>
        <w:br/>
        <w:t>Na koniec 2019 r. pracodawcy Południowych Mazur oferowali pracę na 734 stanowiskach. Liczba ofert pracy (rejestrowana na koniec roku kalendarzowego) wahała się w badanym okresie (2012-2019) i osiągnęła w 2019 r. najniższy wskaźnik od 2014 roku.</w:t>
      </w:r>
    </w:p>
    <w:p w14:paraId="60DEB00C" w14:textId="30BBACF4" w:rsidR="00FB5B78" w:rsidRPr="00733091" w:rsidRDefault="00FB5B78" w:rsidP="00733091">
      <w:pPr>
        <w:rPr>
          <w:lang w:val="pl-PL"/>
        </w:rPr>
      </w:pPr>
      <w:r>
        <w:rPr>
          <w:rFonts w:cstheme="minorHAnsi"/>
          <w:i/>
          <w:iCs/>
          <w:noProof/>
        </w:rPr>
        <mc:AlternateContent>
          <mc:Choice Requires="wps">
            <w:drawing>
              <wp:anchor distT="0" distB="0" distL="114300" distR="114300" simplePos="0" relativeHeight="251658260" behindDoc="0" locked="0" layoutInCell="1" allowOverlap="1" wp14:anchorId="56D0B6C7" wp14:editId="09A2A3C3">
                <wp:simplePos x="0" y="0"/>
                <wp:positionH relativeFrom="margin">
                  <wp:align>right</wp:align>
                </wp:positionH>
                <wp:positionV relativeFrom="paragraph">
                  <wp:posOffset>8255</wp:posOffset>
                </wp:positionV>
                <wp:extent cx="5234940" cy="1242060"/>
                <wp:effectExtent l="0" t="0" r="22860" b="15240"/>
                <wp:wrapNone/>
                <wp:docPr id="59" name="Pole tekstowe 59"/>
                <wp:cNvGraphicFramePr/>
                <a:graphic xmlns:a="http://schemas.openxmlformats.org/drawingml/2006/main">
                  <a:graphicData uri="http://schemas.microsoft.com/office/word/2010/wordprocessingShape">
                    <wps:wsp>
                      <wps:cNvSpPr txBox="1"/>
                      <wps:spPr>
                        <a:xfrm>
                          <a:off x="0" y="0"/>
                          <a:ext cx="5234940" cy="1242060"/>
                        </a:xfrm>
                        <a:prstGeom prst="rect">
                          <a:avLst/>
                        </a:prstGeom>
                        <a:solidFill>
                          <a:schemeClr val="accent1">
                            <a:lumMod val="20000"/>
                            <a:lumOff val="80000"/>
                          </a:schemeClr>
                        </a:solidFill>
                        <a:ln w="6350">
                          <a:solidFill>
                            <a:schemeClr val="accent1"/>
                          </a:solidFill>
                        </a:ln>
                      </wps:spPr>
                      <wps:txbx>
                        <w:txbxContent>
                          <w:p w14:paraId="49A60964" w14:textId="77777777" w:rsidR="00B14787" w:rsidRPr="00733091" w:rsidRDefault="00B14787" w:rsidP="00FB5B78">
                            <w:pPr>
                              <w:ind w:left="142"/>
                              <w:jc w:val="both"/>
                              <w:rPr>
                                <w:rFonts w:cstheme="minorHAnsi"/>
                                <w:color w:val="000000" w:themeColor="text1"/>
                                <w:sz w:val="20"/>
                                <w:szCs w:val="20"/>
                                <w:lang w:val="pl-PL"/>
                              </w:rPr>
                            </w:pPr>
                            <w:r w:rsidRPr="00FB5B78">
                              <w:rPr>
                                <w:rFonts w:cstheme="minorHAnsi"/>
                                <w:color w:val="000000" w:themeColor="text1"/>
                                <w:szCs w:val="24"/>
                                <w:lang w:val="pl-PL"/>
                              </w:rPr>
                              <w:t xml:space="preserve">Dla </w:t>
                            </w:r>
                            <w:r w:rsidRPr="00FB5B78">
                              <w:rPr>
                                <w:rFonts w:cstheme="minorHAnsi"/>
                                <w:b/>
                                <w:bCs/>
                                <w:color w:val="000000" w:themeColor="text1"/>
                                <w:szCs w:val="24"/>
                                <w:lang w:val="pl-PL"/>
                              </w:rPr>
                              <w:t>73,35%</w:t>
                            </w:r>
                            <w:r w:rsidRPr="00FB5B78">
                              <w:rPr>
                                <w:rFonts w:cstheme="minorHAnsi"/>
                                <w:color w:val="000000" w:themeColor="text1"/>
                                <w:szCs w:val="24"/>
                                <w:lang w:val="pl-PL"/>
                              </w:rPr>
                              <w:t xml:space="preserve"> badanych uczniów ostatnich klas szkół średnich i </w:t>
                            </w:r>
                            <w:r w:rsidRPr="00FB5B78">
                              <w:rPr>
                                <w:rFonts w:cstheme="minorHAnsi"/>
                                <w:b/>
                                <w:bCs/>
                                <w:color w:val="000000" w:themeColor="text1"/>
                                <w:szCs w:val="24"/>
                                <w:lang w:val="pl-PL"/>
                              </w:rPr>
                              <w:t>83,44%</w:t>
                            </w:r>
                            <w:r w:rsidRPr="00FB5B78">
                              <w:rPr>
                                <w:rFonts w:cstheme="minorHAnsi"/>
                                <w:color w:val="000000" w:themeColor="text1"/>
                                <w:szCs w:val="24"/>
                                <w:lang w:val="pl-PL"/>
                              </w:rPr>
                              <w:t xml:space="preserve"> badanych mieszkańców rynek pracy i oferty pracy są czynnikiem zachęcającym do opuszczenia Południowych Mazur. Zwiększenie liczby „dobrych” miejsc pracy dla </w:t>
                            </w:r>
                            <w:r w:rsidRPr="00FB5B78">
                              <w:rPr>
                                <w:rFonts w:cstheme="minorHAnsi"/>
                                <w:b/>
                                <w:bCs/>
                                <w:color w:val="000000" w:themeColor="text1"/>
                                <w:szCs w:val="24"/>
                                <w:lang w:val="pl-PL"/>
                              </w:rPr>
                              <w:t>71,74%</w:t>
                            </w:r>
                            <w:r w:rsidRPr="00FB5B78">
                              <w:rPr>
                                <w:rFonts w:cstheme="minorHAnsi"/>
                                <w:color w:val="000000" w:themeColor="text1"/>
                                <w:szCs w:val="24"/>
                                <w:lang w:val="pl-PL"/>
                              </w:rPr>
                              <w:t xml:space="preserve"> badanych młodych mieszkańców Południowych Mazur </w:t>
                            </w:r>
                            <w:r w:rsidRPr="00FB5B78">
                              <w:rPr>
                                <w:rFonts w:eastAsia="Times New Roman" w:cstheme="minorHAnsi"/>
                                <w:color w:val="000000" w:themeColor="text1"/>
                                <w:szCs w:val="24"/>
                                <w:lang w:val="pl-PL" w:eastAsia="pl-PL"/>
                              </w:rPr>
                              <w:t>jest warunkiem koniecznym dla wiązania planów życiowych z obszarem Partnerstwa</w:t>
                            </w:r>
                            <w:r w:rsidRPr="00733091">
                              <w:rPr>
                                <w:rFonts w:eastAsia="Times New Roman" w:cstheme="minorHAnsi"/>
                                <w:color w:val="000000" w:themeColor="text1"/>
                                <w:sz w:val="20"/>
                                <w:szCs w:val="20"/>
                                <w:lang w:val="pl-PL" w:eastAsia="pl-PL"/>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D0B6C7" id="Pole tekstowe 59" o:spid="_x0000_s1044" type="#_x0000_t202" style="position:absolute;left:0;text-align:left;margin-left:361pt;margin-top:.65pt;width:412.2pt;height:97.8pt;z-index:2516582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" fillcolor="#d9e2f3 [660]" strokecolor="#4472c4 [3204]" strokeweight=".5pt">
                <v:textbox>
                  <w:txbxContent>
                    <w:p w14:paraId="49A60964" w14:textId="77777777" w:rsidR="00B14787" w:rsidRPr="00733091" w:rsidRDefault="00B14787" w:rsidP="00FB5B78">
                      <w:pPr>
                        <w:ind w:left="142"/>
                        <w:jc w:val="both"/>
                        <w:rPr>
                          <w:rFonts w:cstheme="minorHAnsi"/>
                          <w:color w:val="000000" w:themeColor="text1"/>
                          <w:sz w:val="20"/>
                          <w:szCs w:val="20"/>
                          <w:lang w:val="pl-PL"/>
                        </w:rPr>
                      </w:pPr>
                      <w:r w:rsidRPr="00FB5B78">
                        <w:rPr>
                          <w:rFonts w:cstheme="minorHAnsi"/>
                          <w:color w:val="000000" w:themeColor="text1"/>
                          <w:szCs w:val="24"/>
                          <w:lang w:val="pl-PL"/>
                        </w:rPr>
                        <w:t xml:space="preserve">Dla </w:t>
                      </w:r>
                      <w:r w:rsidRPr="00FB5B78">
                        <w:rPr>
                          <w:rFonts w:cstheme="minorHAnsi"/>
                          <w:b/>
                          <w:bCs/>
                          <w:color w:val="000000" w:themeColor="text1"/>
                          <w:szCs w:val="24"/>
                          <w:lang w:val="pl-PL"/>
                        </w:rPr>
                        <w:t>73,35%</w:t>
                      </w:r>
                      <w:r w:rsidRPr="00FB5B78">
                        <w:rPr>
                          <w:rFonts w:cstheme="minorHAnsi"/>
                          <w:color w:val="000000" w:themeColor="text1"/>
                          <w:szCs w:val="24"/>
                          <w:lang w:val="pl-PL"/>
                        </w:rPr>
                        <w:t xml:space="preserve"> badanych uczniów ostatnich klas szkół średnich i </w:t>
                      </w:r>
                      <w:r w:rsidRPr="00FB5B78">
                        <w:rPr>
                          <w:rFonts w:cstheme="minorHAnsi"/>
                          <w:b/>
                          <w:bCs/>
                          <w:color w:val="000000" w:themeColor="text1"/>
                          <w:szCs w:val="24"/>
                          <w:lang w:val="pl-PL"/>
                        </w:rPr>
                        <w:t>83,44%</w:t>
                      </w:r>
                      <w:r w:rsidRPr="00FB5B78">
                        <w:rPr>
                          <w:rFonts w:cstheme="minorHAnsi"/>
                          <w:color w:val="000000" w:themeColor="text1"/>
                          <w:szCs w:val="24"/>
                          <w:lang w:val="pl-PL"/>
                        </w:rPr>
                        <w:t xml:space="preserve"> badanych mieszkańców rynek pracy i oferty pracy są czynnikiem zachęcającym do opuszczenia Południowych Mazur. Zwiększenie liczby „dobrych” miejsc pracy dla </w:t>
                      </w:r>
                      <w:r w:rsidRPr="00FB5B78">
                        <w:rPr>
                          <w:rFonts w:cstheme="minorHAnsi"/>
                          <w:b/>
                          <w:bCs/>
                          <w:color w:val="000000" w:themeColor="text1"/>
                          <w:szCs w:val="24"/>
                          <w:lang w:val="pl-PL"/>
                        </w:rPr>
                        <w:t>71,74%</w:t>
                      </w:r>
                      <w:r w:rsidRPr="00FB5B78">
                        <w:rPr>
                          <w:rFonts w:cstheme="minorHAnsi"/>
                          <w:color w:val="000000" w:themeColor="text1"/>
                          <w:szCs w:val="24"/>
                          <w:lang w:val="pl-PL"/>
                        </w:rPr>
                        <w:t xml:space="preserve"> badanych młodych mieszkańców Południowych Mazur </w:t>
                      </w:r>
                      <w:r w:rsidRPr="00FB5B78">
                        <w:rPr>
                          <w:rFonts w:eastAsia="Times New Roman" w:cstheme="minorHAnsi"/>
                          <w:color w:val="000000" w:themeColor="text1"/>
                          <w:szCs w:val="24"/>
                          <w:lang w:val="pl-PL" w:eastAsia="pl-PL"/>
                        </w:rPr>
                        <w:t>jest warunkiem koniecznym dla wiązania planów życiowych z obszarem Partnerstwa</w:t>
                      </w:r>
                      <w:r w:rsidRPr="00733091">
                        <w:rPr>
                          <w:rFonts w:eastAsia="Times New Roman" w:cstheme="minorHAnsi"/>
                          <w:color w:val="000000" w:themeColor="text1"/>
                          <w:sz w:val="20"/>
                          <w:szCs w:val="20"/>
                          <w:lang w:val="pl-PL" w:eastAsia="pl-PL"/>
                        </w:rPr>
                        <w:t>.</w:t>
                      </w:r>
                    </w:p>
                  </w:txbxContent>
                </v:textbox>
                <w10:wrap anchorx="margin"/>
              </v:shape>
            </w:pict>
          </mc:Fallback>
        </mc:AlternateContent>
      </w:r>
    </w:p>
    <w:p w14:paraId="1C971C6A" w14:textId="3C7006A5" w:rsidR="00577383" w:rsidRDefault="00577383" w:rsidP="00733091">
      <w:pPr>
        <w:pStyle w:val="rdo"/>
        <w:spacing w:before="120" w:after="240" w:line="276" w:lineRule="auto"/>
        <w:jc w:val="left"/>
        <w:rPr>
          <w:rFonts w:asciiTheme="minorHAnsi" w:hAnsiTheme="minorHAnsi" w:cstheme="minorHAnsi"/>
          <w:i w:val="0"/>
          <w:iCs/>
          <w:color w:val="auto"/>
          <w:sz w:val="22"/>
        </w:rPr>
      </w:pPr>
    </w:p>
    <w:p w14:paraId="6C29DB4F" w14:textId="71B2BC9E" w:rsidR="00577383" w:rsidRDefault="00577383" w:rsidP="00733091">
      <w:pPr>
        <w:pStyle w:val="rdo"/>
        <w:spacing w:before="120" w:after="240" w:line="276" w:lineRule="auto"/>
        <w:jc w:val="left"/>
        <w:rPr>
          <w:rFonts w:asciiTheme="minorHAnsi" w:hAnsiTheme="minorHAnsi" w:cstheme="minorHAnsi"/>
          <w:i w:val="0"/>
          <w:iCs/>
          <w:color w:val="auto"/>
          <w:sz w:val="22"/>
        </w:rPr>
      </w:pPr>
    </w:p>
    <w:p w14:paraId="1E7E8702" w14:textId="77777777" w:rsidR="00577383" w:rsidRDefault="00577383" w:rsidP="00733091">
      <w:pPr>
        <w:pStyle w:val="rdo"/>
        <w:spacing w:before="120" w:after="240" w:line="276" w:lineRule="auto"/>
        <w:jc w:val="left"/>
        <w:rPr>
          <w:rFonts w:asciiTheme="minorHAnsi" w:hAnsiTheme="minorHAnsi" w:cstheme="minorHAnsi"/>
          <w:i w:val="0"/>
          <w:iCs/>
          <w:color w:val="auto"/>
          <w:sz w:val="22"/>
        </w:rPr>
      </w:pPr>
    </w:p>
    <w:p w14:paraId="0FB5FAE2" w14:textId="74309767" w:rsidR="00C6675B" w:rsidRDefault="00AA3128" w:rsidP="00733091">
      <w:pPr>
        <w:pStyle w:val="Nagwek4"/>
        <w:spacing w:before="120" w:after="240"/>
      </w:pPr>
      <w:r>
        <w:lastRenderedPageBreak/>
        <w:t>Z</w:t>
      </w:r>
      <w:r w:rsidR="00C6675B">
        <w:t>atrudnienie na terenie Południowych Mazur</w:t>
      </w:r>
    </w:p>
    <w:p w14:paraId="3CE3FB9B" w14:textId="38659F3C" w:rsidR="00C6675B" w:rsidRPr="00C6675B" w:rsidRDefault="00C6675B" w:rsidP="00C6675B">
      <w:pPr>
        <w:spacing w:before="100" w:beforeAutospacing="1" w:after="100" w:afterAutospacing="1" w:line="240" w:lineRule="auto"/>
        <w:contextualSpacing/>
        <w:jc w:val="both"/>
        <w:rPr>
          <w:rFonts w:cstheme="minorHAnsi"/>
          <w:color w:val="000000"/>
          <w:lang w:val="pl-PL"/>
        </w:rPr>
      </w:pPr>
      <w:r w:rsidRPr="00C6675B">
        <w:rPr>
          <w:rFonts w:cstheme="minorHAnsi"/>
          <w:color w:val="000000"/>
          <w:lang w:val="pl-PL"/>
        </w:rPr>
        <w:t xml:space="preserve">W 2019 r. na terenie Południowych Mazur na 1 tys. mieszkańców pracę świadczyło 166 osób. Mimo, iż wskaźnik ten wzrastał od 2009 r. osiągał on wartości niższe niż średnia dla województwa warmińsko-mazurskiego (w 2019 r. - 203) i </w:t>
      </w:r>
      <w:r w:rsidR="00834A24">
        <w:rPr>
          <w:rFonts w:cstheme="minorHAnsi"/>
          <w:color w:val="000000"/>
          <w:lang w:val="pl-PL"/>
        </w:rPr>
        <w:t xml:space="preserve">w </w:t>
      </w:r>
      <w:r w:rsidRPr="00C6675B">
        <w:rPr>
          <w:rFonts w:cstheme="minorHAnsi"/>
          <w:color w:val="000000"/>
          <w:lang w:val="pl-PL"/>
        </w:rPr>
        <w:t xml:space="preserve">kraju </w:t>
      </w:r>
      <w:r w:rsidR="00834A24">
        <w:rPr>
          <w:rFonts w:cstheme="minorHAnsi"/>
          <w:color w:val="000000"/>
          <w:lang w:val="pl-PL"/>
        </w:rPr>
        <w:br/>
      </w:r>
      <w:r w:rsidRPr="00C6675B">
        <w:rPr>
          <w:rFonts w:cstheme="minorHAnsi"/>
          <w:color w:val="000000"/>
          <w:lang w:val="pl-PL"/>
        </w:rPr>
        <w:t xml:space="preserve">(w 2019 r. - 255). </w:t>
      </w:r>
    </w:p>
    <w:p w14:paraId="11384E3D" w14:textId="7B9CFD2C" w:rsidR="00C6675B" w:rsidRPr="00C6675B" w:rsidRDefault="00C6675B" w:rsidP="00C6675B">
      <w:pPr>
        <w:pStyle w:val="Legenda"/>
        <w:rPr>
          <w:rFonts w:cstheme="minorHAnsi"/>
          <w:lang w:val="pl-PL"/>
        </w:rPr>
      </w:pPr>
      <w:bookmarkStart w:id="120" w:name="_Toc69723201"/>
      <w:r w:rsidRPr="00C6675B">
        <w:rPr>
          <w:lang w:val="pl-PL"/>
        </w:rPr>
        <w:t xml:space="preserve">Wykres </w:t>
      </w:r>
      <w:r>
        <w:fldChar w:fldCharType="begin"/>
      </w:r>
      <w:r w:rsidRPr="00C6675B">
        <w:rPr>
          <w:lang w:val="pl-PL"/>
        </w:rPr>
        <w:instrText xml:space="preserve"> SEQ Wykres \* ARABIC </w:instrText>
      </w:r>
      <w:r>
        <w:fldChar w:fldCharType="separate"/>
      </w:r>
      <w:r w:rsidR="00B14787">
        <w:rPr>
          <w:noProof/>
          <w:lang w:val="pl-PL"/>
        </w:rPr>
        <w:t>43</w:t>
      </w:r>
      <w:r>
        <w:fldChar w:fldCharType="end"/>
      </w:r>
      <w:r w:rsidRPr="00C6675B">
        <w:rPr>
          <w:lang w:val="pl-PL"/>
        </w:rPr>
        <w:t xml:space="preserve">: </w:t>
      </w:r>
      <w:r w:rsidRPr="00C6675B">
        <w:rPr>
          <w:rFonts w:cstheme="minorHAnsi"/>
          <w:lang w:val="pl-PL"/>
        </w:rPr>
        <w:t>Pracujący w Południowych Mazurach na 1 tys. mieszkańców w latach 2009-2019</w:t>
      </w:r>
      <w:bookmarkEnd w:id="120"/>
    </w:p>
    <w:p w14:paraId="381E4756" w14:textId="77777777" w:rsidR="00C6675B" w:rsidRPr="00C6675B" w:rsidRDefault="00C6675B" w:rsidP="00C6675B">
      <w:pPr>
        <w:ind w:left="0"/>
        <w:rPr>
          <w:rFonts w:asciiTheme="majorHAnsi" w:hAnsiTheme="majorHAnsi" w:cstheme="minorHAnsi"/>
          <w:color w:val="44546A" w:themeColor="text2"/>
          <w:szCs w:val="24"/>
          <w:lang w:val="pl-PL"/>
        </w:rPr>
      </w:pPr>
      <w:r>
        <w:rPr>
          <w:noProof/>
        </w:rPr>
        <w:drawing>
          <wp:inline distT="0" distB="0" distL="0" distR="0" wp14:anchorId="62A60E8B" wp14:editId="5A8212E6">
            <wp:extent cx="5775960" cy="2263140"/>
            <wp:effectExtent l="0" t="0" r="15240" b="3810"/>
            <wp:docPr id="114" name="Wykres 114" descr=": wykres liniowy wskazujący zatrudnienie w Południowych Mazurach na 1 tys. mieszkańców w latach 2009-2019. Kolorem ciemnoniebieskim zaznaczony jest powiat działdowski, żółtym powiat szczycieński, szarym – powiat nidzicki i pomarańczowym – powiat piski. Kolorem jasnoniebieskim zaznaczone jest województwo warmińsko-mazurskie, a zielonym - Polska">
              <a:extLst xmlns:a="http://schemas.openxmlformats.org/drawingml/2006/main">
                <a:ext uri="{FF2B5EF4-FFF2-40B4-BE49-F238E27FC236}">
                  <a16:creationId xmlns:a16="http://schemas.microsoft.com/office/drawing/2014/main" id="{A6A4F672-2529-4268-8DAD-3F0C0BEACF5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r w:rsidRPr="00C6675B">
        <w:rPr>
          <w:rFonts w:asciiTheme="majorHAnsi" w:hAnsiTheme="majorHAnsi" w:cstheme="minorHAnsi"/>
          <w:color w:val="44546A" w:themeColor="text2"/>
          <w:szCs w:val="24"/>
          <w:lang w:val="pl-PL"/>
        </w:rPr>
        <w:t>Źródło: Dane GUS, Bank Danych Lokalnych</w:t>
      </w:r>
    </w:p>
    <w:p w14:paraId="7941A600" w14:textId="54E34787" w:rsidR="00C6675B" w:rsidRPr="00C6675B" w:rsidRDefault="00C6675B" w:rsidP="00AA3128">
      <w:pPr>
        <w:spacing w:before="100" w:beforeAutospacing="1" w:after="100" w:afterAutospacing="1" w:line="240" w:lineRule="auto"/>
        <w:contextualSpacing/>
        <w:jc w:val="both"/>
        <w:rPr>
          <w:rFonts w:cstheme="minorHAnsi"/>
          <w:color w:val="333333"/>
          <w:shd w:val="clear" w:color="auto" w:fill="FFFFFF"/>
          <w:lang w:val="pl-PL"/>
        </w:rPr>
      </w:pPr>
      <w:r w:rsidRPr="00C6675B">
        <w:rPr>
          <w:rFonts w:cstheme="minorHAnsi"/>
          <w:color w:val="333333"/>
          <w:shd w:val="clear" w:color="auto" w:fill="FFFFFF"/>
          <w:lang w:val="pl-PL"/>
        </w:rPr>
        <w:t>W 2019 r. 26,43</w:t>
      </w:r>
      <w:r w:rsidRPr="00834A24">
        <w:rPr>
          <w:rFonts w:cstheme="minorHAnsi"/>
          <w:color w:val="333333"/>
          <w:shd w:val="clear" w:color="auto" w:fill="FFFFFF"/>
          <w:lang w:val="pl-PL"/>
        </w:rPr>
        <w:t>%</w:t>
      </w:r>
      <w:r w:rsidRPr="00C6675B">
        <w:rPr>
          <w:rFonts w:cstheme="minorHAnsi"/>
          <w:color w:val="333333"/>
          <w:shd w:val="clear" w:color="auto" w:fill="FFFFFF"/>
          <w:lang w:val="pl-PL"/>
        </w:rPr>
        <w:t xml:space="preserve"> aktywnych zawodowo mieszkańców Południowych Mazur pracowało </w:t>
      </w:r>
      <w:r w:rsidRPr="00C6675B">
        <w:rPr>
          <w:rFonts w:cstheme="minorHAnsi"/>
          <w:b/>
          <w:bCs/>
          <w:color w:val="333333"/>
          <w:shd w:val="clear" w:color="auto" w:fill="FFFFFF"/>
          <w:lang w:val="pl-PL"/>
        </w:rPr>
        <w:t xml:space="preserve">w sektorze rolniczym </w:t>
      </w:r>
      <w:r w:rsidRPr="00C6675B">
        <w:rPr>
          <w:rFonts w:cstheme="minorHAnsi"/>
          <w:color w:val="333333"/>
          <w:shd w:val="clear" w:color="auto" w:fill="FFFFFF"/>
          <w:lang w:val="pl-PL"/>
        </w:rPr>
        <w:t xml:space="preserve">(rolnictwo, leśnictwo, łowiectwo i rybactwo), 32,80% w </w:t>
      </w:r>
      <w:r w:rsidRPr="00C6675B">
        <w:rPr>
          <w:rFonts w:cstheme="minorHAnsi"/>
          <w:b/>
          <w:bCs/>
          <w:color w:val="333333"/>
          <w:shd w:val="clear" w:color="auto" w:fill="FFFFFF"/>
          <w:lang w:val="pl-PL"/>
        </w:rPr>
        <w:t>przemyśle i budownictwie</w:t>
      </w:r>
      <w:r w:rsidRPr="00C6675B">
        <w:rPr>
          <w:rFonts w:cstheme="minorHAnsi"/>
          <w:color w:val="333333"/>
          <w:shd w:val="clear" w:color="auto" w:fill="FFFFFF"/>
          <w:lang w:val="pl-PL"/>
        </w:rPr>
        <w:t xml:space="preserve">, a 12,43% w sektorze usługowym (handel, naprawa pojazdów, transport, </w:t>
      </w:r>
      <w:r w:rsidRPr="00C6675B">
        <w:rPr>
          <w:rFonts w:cstheme="minorHAnsi"/>
          <w:b/>
          <w:bCs/>
          <w:color w:val="333333"/>
          <w:shd w:val="clear" w:color="auto" w:fill="FFFFFF"/>
          <w:lang w:val="pl-PL"/>
        </w:rPr>
        <w:t>zakwaterowanie i gastronomia</w:t>
      </w:r>
      <w:r w:rsidRPr="00C6675B">
        <w:rPr>
          <w:rFonts w:cstheme="minorHAnsi"/>
          <w:color w:val="333333"/>
          <w:shd w:val="clear" w:color="auto" w:fill="FFFFFF"/>
          <w:lang w:val="pl-PL"/>
        </w:rPr>
        <w:t xml:space="preserve">, informacja </w:t>
      </w:r>
      <w:r w:rsidR="00AA3128">
        <w:rPr>
          <w:rFonts w:cstheme="minorHAnsi"/>
          <w:color w:val="333333"/>
          <w:shd w:val="clear" w:color="auto" w:fill="FFFFFF"/>
          <w:lang w:val="pl-PL"/>
        </w:rPr>
        <w:br/>
      </w:r>
      <w:r w:rsidRPr="00C6675B">
        <w:rPr>
          <w:rFonts w:cstheme="minorHAnsi"/>
          <w:color w:val="333333"/>
          <w:shd w:val="clear" w:color="auto" w:fill="FFFFFF"/>
          <w:lang w:val="pl-PL"/>
        </w:rPr>
        <w:t xml:space="preserve">i komunikacja). 1,68% mieszkańców Południowych Mazur zatrudnionych było </w:t>
      </w:r>
      <w:r w:rsidR="00AA3128">
        <w:rPr>
          <w:rFonts w:cstheme="minorHAnsi"/>
          <w:color w:val="333333"/>
          <w:shd w:val="clear" w:color="auto" w:fill="FFFFFF"/>
          <w:lang w:val="pl-PL"/>
        </w:rPr>
        <w:br/>
      </w:r>
      <w:r w:rsidRPr="00C6675B">
        <w:rPr>
          <w:rFonts w:cstheme="minorHAnsi"/>
          <w:color w:val="333333"/>
          <w:shd w:val="clear" w:color="auto" w:fill="FFFFFF"/>
          <w:lang w:val="pl-PL"/>
        </w:rPr>
        <w:t>w sektorze finansowym (działalność finansowa i ubezpieczeniowa, obsługa rynku nieruchomości), a 26,70% w pozostałych sektorach (wykres poniżej).</w:t>
      </w:r>
    </w:p>
    <w:p w14:paraId="639D8DD0" w14:textId="52AF9474" w:rsidR="00C6675B" w:rsidRPr="00C6675B" w:rsidRDefault="00834A24" w:rsidP="00834A24">
      <w:pPr>
        <w:pStyle w:val="Legenda"/>
        <w:rPr>
          <w:rFonts w:cstheme="minorHAnsi"/>
          <w:color w:val="333333"/>
          <w:shd w:val="clear" w:color="auto" w:fill="FFFFFF"/>
          <w:lang w:val="pl-PL"/>
        </w:rPr>
      </w:pPr>
      <w:bookmarkStart w:id="121" w:name="_Toc69723202"/>
      <w:r w:rsidRPr="00834A24">
        <w:rPr>
          <w:lang w:val="pl-PL"/>
        </w:rPr>
        <w:t xml:space="preserve">Wykres </w:t>
      </w:r>
      <w:r>
        <w:fldChar w:fldCharType="begin"/>
      </w:r>
      <w:r w:rsidRPr="00834A24">
        <w:rPr>
          <w:lang w:val="pl-PL"/>
        </w:rPr>
        <w:instrText xml:space="preserve"> SEQ Wykres \* ARABIC </w:instrText>
      </w:r>
      <w:r>
        <w:fldChar w:fldCharType="separate"/>
      </w:r>
      <w:r w:rsidR="00B14787">
        <w:rPr>
          <w:noProof/>
          <w:lang w:val="pl-PL"/>
        </w:rPr>
        <w:t>44</w:t>
      </w:r>
      <w:r>
        <w:fldChar w:fldCharType="end"/>
      </w:r>
      <w:r w:rsidRPr="00834A24">
        <w:rPr>
          <w:lang w:val="pl-PL"/>
        </w:rPr>
        <w:t xml:space="preserve">: </w:t>
      </w:r>
      <w:r w:rsidR="00C6675B" w:rsidRPr="00C6675B">
        <w:rPr>
          <w:lang w:val="pl-PL"/>
        </w:rPr>
        <w:t>Zatrudnienie na terenie Południowych Mazur według klas PKD w 2019 r.</w:t>
      </w:r>
      <w:bookmarkEnd w:id="121"/>
      <w:r w:rsidR="00C6675B" w:rsidRPr="00C6675B">
        <w:rPr>
          <w:lang w:val="pl-PL"/>
        </w:rPr>
        <w:t xml:space="preserve"> </w:t>
      </w:r>
    </w:p>
    <w:p w14:paraId="0364AF03" w14:textId="4DF29D46" w:rsidR="00C6675B" w:rsidRPr="00834A24" w:rsidRDefault="00C6675B" w:rsidP="00834A24">
      <w:pPr>
        <w:spacing w:after="0" w:line="240" w:lineRule="auto"/>
        <w:ind w:left="0"/>
        <w:contextualSpacing/>
        <w:rPr>
          <w:rFonts w:asciiTheme="majorHAnsi" w:hAnsiTheme="majorHAnsi" w:cstheme="minorHAnsi"/>
          <w:color w:val="44546A" w:themeColor="text2"/>
          <w:szCs w:val="24"/>
          <w:lang w:val="pl-PL"/>
        </w:rPr>
      </w:pPr>
      <w:r>
        <w:rPr>
          <w:noProof/>
        </w:rPr>
        <w:drawing>
          <wp:inline distT="0" distB="0" distL="0" distR="0" wp14:anchorId="7653B83A" wp14:editId="4EDCA2FE">
            <wp:extent cx="5676900" cy="2407920"/>
            <wp:effectExtent l="0" t="0" r="0" b="11430"/>
            <wp:docPr id="118" name="Wykres 118" descr="wykres słupkowy wskazujący na zatrudnienie w poszczególnych gałęziach przemysłu począwszy od dołu: w rolnictwie, leśnictwie, łowiectwie i rybactwie; następnie: przemyśle i budownictwie, następnie: handlu, naprawie pojazdów itd., następnie: działalności finansowej i ubezpieczeniowej, obsłudze rynku nieruchomości, następnie: w pozostałych branżach w 2019 r. Kolorem jasnoniebieskim zaznaczony jest powiat szczycieński, żółtym powiat nidzicki, szarym – powiat piski i pomarańczowym – powiat działdowski. Kolorem ciemnoniebieskim zaznaczone są dane dotyczące obszaru Partnerstwa">
              <a:extLst xmlns:a="http://schemas.openxmlformats.org/drawingml/2006/main">
                <a:ext uri="{FF2B5EF4-FFF2-40B4-BE49-F238E27FC236}">
                  <a16:creationId xmlns:a16="http://schemas.microsoft.com/office/drawing/2014/main" id="{9EB2BA35-CB5A-4686-B244-48C98671275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r w:rsidRPr="00C6675B">
        <w:rPr>
          <w:rFonts w:cstheme="minorHAnsi"/>
          <w:color w:val="333333"/>
          <w:shd w:val="clear" w:color="auto" w:fill="FFFFFF"/>
          <w:lang w:val="pl-PL"/>
        </w:rPr>
        <w:br/>
      </w:r>
      <w:r w:rsidRPr="00C6675B">
        <w:rPr>
          <w:rFonts w:asciiTheme="majorHAnsi" w:hAnsiTheme="majorHAnsi" w:cstheme="minorHAnsi"/>
          <w:color w:val="44546A" w:themeColor="text2"/>
          <w:szCs w:val="24"/>
          <w:lang w:val="pl-PL"/>
        </w:rPr>
        <w:t>Źródło: Dane GUS, Bank Danych Lokalnych</w:t>
      </w:r>
    </w:p>
    <w:p w14:paraId="06B35C56" w14:textId="20A872EE" w:rsidR="00C6675B" w:rsidRPr="00C6675B" w:rsidRDefault="00C6675B" w:rsidP="00C6675B">
      <w:pPr>
        <w:spacing w:before="100" w:beforeAutospacing="1" w:after="100" w:afterAutospacing="1" w:line="240" w:lineRule="auto"/>
        <w:jc w:val="both"/>
        <w:rPr>
          <w:rFonts w:cstheme="minorHAnsi"/>
          <w:lang w:val="pl-PL"/>
        </w:rPr>
      </w:pPr>
      <w:r w:rsidRPr="00C6675B">
        <w:rPr>
          <w:rFonts w:cstheme="minorHAnsi"/>
          <w:lang w:val="pl-PL"/>
        </w:rPr>
        <w:lastRenderedPageBreak/>
        <w:t xml:space="preserve">Obecna struktura zatrudnienia na terenie Południowych Mazur nie odpowiada oczekiwaniom młodzieży, co może stanowić niekorzystny prognostyk </w:t>
      </w:r>
      <w:r w:rsidR="00834A24">
        <w:rPr>
          <w:rFonts w:cstheme="minorHAnsi"/>
          <w:lang w:val="pl-PL"/>
        </w:rPr>
        <w:t xml:space="preserve">w zakresie dostępności zasobów </w:t>
      </w:r>
      <w:r w:rsidRPr="00C6675B">
        <w:rPr>
          <w:rFonts w:cstheme="minorHAnsi"/>
          <w:lang w:val="pl-PL"/>
        </w:rPr>
        <w:t xml:space="preserve">dla rynku pracy w przyszłości. </w:t>
      </w:r>
    </w:p>
    <w:p w14:paraId="29E9FCE0" w14:textId="77777777" w:rsidR="00C6675B" w:rsidRPr="00C6675B" w:rsidRDefault="00C6675B" w:rsidP="00C6675B">
      <w:pPr>
        <w:spacing w:before="100" w:beforeAutospacing="1" w:after="100" w:afterAutospacing="1" w:line="240" w:lineRule="auto"/>
        <w:jc w:val="center"/>
        <w:rPr>
          <w:rFonts w:cstheme="minorHAnsi"/>
          <w:color w:val="333333"/>
          <w:shd w:val="clear" w:color="auto" w:fill="FFFFFF"/>
          <w:lang w:val="pl-PL"/>
        </w:rPr>
      </w:pPr>
      <w:r>
        <w:rPr>
          <w:rFonts w:cstheme="minorHAnsi"/>
          <w:i/>
          <w:iCs/>
          <w:noProof/>
        </w:rPr>
        <mc:AlternateContent>
          <mc:Choice Requires="wps">
            <w:drawing>
              <wp:anchor distT="0" distB="0" distL="114300" distR="114300" simplePos="0" relativeHeight="251658280" behindDoc="0" locked="0" layoutInCell="1" allowOverlap="1" wp14:anchorId="2992AB97" wp14:editId="251C849A">
                <wp:simplePos x="0" y="0"/>
                <wp:positionH relativeFrom="margin">
                  <wp:posOffset>509270</wp:posOffset>
                </wp:positionH>
                <wp:positionV relativeFrom="paragraph">
                  <wp:posOffset>19050</wp:posOffset>
                </wp:positionV>
                <wp:extent cx="5234940" cy="4975860"/>
                <wp:effectExtent l="0" t="0" r="22860" b="15240"/>
                <wp:wrapNone/>
                <wp:docPr id="119" name="Pole tekstowe 119"/>
                <wp:cNvGraphicFramePr/>
                <a:graphic xmlns:a="http://schemas.openxmlformats.org/drawingml/2006/main">
                  <a:graphicData uri="http://schemas.microsoft.com/office/word/2010/wordprocessingShape">
                    <wps:wsp>
                      <wps:cNvSpPr txBox="1"/>
                      <wps:spPr>
                        <a:xfrm>
                          <a:off x="0" y="0"/>
                          <a:ext cx="5234940" cy="4975860"/>
                        </a:xfrm>
                        <a:prstGeom prst="rect">
                          <a:avLst/>
                        </a:prstGeom>
                        <a:solidFill>
                          <a:schemeClr val="accent1">
                            <a:lumMod val="20000"/>
                            <a:lumOff val="80000"/>
                          </a:schemeClr>
                        </a:solidFill>
                        <a:ln w="6350">
                          <a:solidFill>
                            <a:schemeClr val="accent1"/>
                          </a:solidFill>
                        </a:ln>
                      </wps:spPr>
                      <wps:txbx>
                        <w:txbxContent>
                          <w:p w14:paraId="72CEEFCB" w14:textId="77777777" w:rsidR="00B14787" w:rsidRPr="00AA3128" w:rsidRDefault="00B14787" w:rsidP="00AA3128">
                            <w:pPr>
                              <w:spacing w:after="0"/>
                              <w:ind w:left="0"/>
                              <w:contextualSpacing/>
                              <w:jc w:val="both"/>
                              <w:rPr>
                                <w:rFonts w:cstheme="minorHAnsi"/>
                                <w:color w:val="000000" w:themeColor="text1"/>
                                <w:szCs w:val="24"/>
                                <w:lang w:val="pl-PL"/>
                              </w:rPr>
                            </w:pPr>
                            <w:r w:rsidRPr="00AA3128">
                              <w:rPr>
                                <w:rFonts w:cstheme="minorHAnsi"/>
                                <w:color w:val="000000" w:themeColor="text1"/>
                                <w:szCs w:val="24"/>
                                <w:lang w:val="pl-PL"/>
                              </w:rPr>
                              <w:t>Młodzież ostatnich klas szkół średnich za atrakcyjną uznała pracę:</w:t>
                            </w:r>
                          </w:p>
                          <w:p w14:paraId="07D2269A" w14:textId="77777777" w:rsidR="00B14787" w:rsidRPr="00AA3128" w:rsidRDefault="00B14787" w:rsidP="00B063F0">
                            <w:pPr>
                              <w:pStyle w:val="Akapitzlist"/>
                              <w:numPr>
                                <w:ilvl w:val="0"/>
                                <w:numId w:val="56"/>
                              </w:numPr>
                              <w:spacing w:before="0" w:after="0" w:line="259" w:lineRule="auto"/>
                              <w:jc w:val="both"/>
                              <w:rPr>
                                <w:rFonts w:cstheme="minorHAnsi"/>
                                <w:color w:val="000000" w:themeColor="text1"/>
                                <w:szCs w:val="24"/>
                                <w:lang w:val="pl-PL"/>
                              </w:rPr>
                            </w:pPr>
                            <w:r w:rsidRPr="00AA3128">
                              <w:rPr>
                                <w:rFonts w:cstheme="minorHAnsi"/>
                                <w:color w:val="000000" w:themeColor="text1"/>
                                <w:szCs w:val="24"/>
                                <w:lang w:val="pl-PL"/>
                              </w:rPr>
                              <w:t xml:space="preserve">w branżach nowej technologii: IT, biotechnologii - </w:t>
                            </w:r>
                            <w:r w:rsidRPr="00AA3128">
                              <w:rPr>
                                <w:rFonts w:cstheme="minorHAnsi"/>
                                <w:b/>
                                <w:bCs/>
                                <w:color w:val="000000" w:themeColor="text1"/>
                                <w:szCs w:val="24"/>
                                <w:lang w:val="pl-PL"/>
                              </w:rPr>
                              <w:t>67,32%</w:t>
                            </w:r>
                            <w:r w:rsidRPr="00AA3128">
                              <w:rPr>
                                <w:rFonts w:cstheme="minorHAnsi"/>
                                <w:color w:val="000000" w:themeColor="text1"/>
                                <w:szCs w:val="24"/>
                                <w:lang w:val="pl-PL"/>
                              </w:rPr>
                              <w:t xml:space="preserve"> respondentów  </w:t>
                            </w:r>
                          </w:p>
                          <w:p w14:paraId="241F8C22" w14:textId="77777777" w:rsidR="00B14787" w:rsidRPr="00AA3128" w:rsidRDefault="00B14787" w:rsidP="00B063F0">
                            <w:pPr>
                              <w:pStyle w:val="Akapitzlist"/>
                              <w:numPr>
                                <w:ilvl w:val="0"/>
                                <w:numId w:val="56"/>
                              </w:numPr>
                              <w:spacing w:before="0" w:after="0" w:line="259" w:lineRule="auto"/>
                              <w:jc w:val="both"/>
                              <w:rPr>
                                <w:rFonts w:cstheme="minorHAnsi"/>
                                <w:color w:val="000000" w:themeColor="text1"/>
                                <w:szCs w:val="24"/>
                              </w:rPr>
                            </w:pPr>
                            <w:r w:rsidRPr="00AA3128">
                              <w:rPr>
                                <w:rFonts w:cstheme="minorHAnsi"/>
                                <w:color w:val="000000" w:themeColor="text1"/>
                                <w:szCs w:val="24"/>
                              </w:rPr>
                              <w:t xml:space="preserve">w kulturze i rozrywce: </w:t>
                            </w:r>
                            <w:r w:rsidRPr="00AA3128">
                              <w:rPr>
                                <w:rFonts w:cstheme="minorHAnsi"/>
                                <w:b/>
                                <w:bCs/>
                                <w:color w:val="000000" w:themeColor="text1"/>
                                <w:szCs w:val="24"/>
                              </w:rPr>
                              <w:t>63,46%</w:t>
                            </w:r>
                            <w:r w:rsidRPr="00AA3128">
                              <w:rPr>
                                <w:rFonts w:cstheme="minorHAnsi"/>
                                <w:color w:val="000000" w:themeColor="text1"/>
                                <w:szCs w:val="24"/>
                              </w:rPr>
                              <w:t xml:space="preserve"> respondentów  </w:t>
                            </w:r>
                          </w:p>
                          <w:p w14:paraId="694FB1F1" w14:textId="77777777" w:rsidR="00B14787" w:rsidRPr="00AA3128" w:rsidRDefault="00B14787" w:rsidP="00B063F0">
                            <w:pPr>
                              <w:pStyle w:val="Akapitzlist"/>
                              <w:numPr>
                                <w:ilvl w:val="0"/>
                                <w:numId w:val="56"/>
                              </w:numPr>
                              <w:spacing w:before="0" w:after="0" w:line="259" w:lineRule="auto"/>
                              <w:jc w:val="both"/>
                              <w:rPr>
                                <w:rFonts w:cstheme="minorHAnsi"/>
                                <w:color w:val="000000" w:themeColor="text1"/>
                                <w:szCs w:val="24"/>
                              </w:rPr>
                            </w:pPr>
                            <w:r w:rsidRPr="00AA3128">
                              <w:rPr>
                                <w:rFonts w:cstheme="minorHAnsi"/>
                                <w:color w:val="000000" w:themeColor="text1"/>
                                <w:szCs w:val="24"/>
                              </w:rPr>
                              <w:t xml:space="preserve">w handlu - </w:t>
                            </w:r>
                            <w:r w:rsidRPr="00AA3128">
                              <w:rPr>
                                <w:rFonts w:cstheme="minorHAnsi"/>
                                <w:b/>
                                <w:bCs/>
                                <w:color w:val="000000" w:themeColor="text1"/>
                                <w:szCs w:val="24"/>
                              </w:rPr>
                              <w:t>60,94%</w:t>
                            </w:r>
                            <w:r w:rsidRPr="00AA3128">
                              <w:rPr>
                                <w:rFonts w:cstheme="minorHAnsi"/>
                                <w:color w:val="000000" w:themeColor="text1"/>
                                <w:szCs w:val="24"/>
                              </w:rPr>
                              <w:t xml:space="preserve"> respondentów</w:t>
                            </w:r>
                          </w:p>
                          <w:p w14:paraId="316A503B" w14:textId="77777777" w:rsidR="00B14787" w:rsidRPr="00AA3128" w:rsidRDefault="00B14787" w:rsidP="00B063F0">
                            <w:pPr>
                              <w:pStyle w:val="Akapitzlist"/>
                              <w:numPr>
                                <w:ilvl w:val="0"/>
                                <w:numId w:val="56"/>
                              </w:numPr>
                              <w:spacing w:before="0" w:after="0" w:line="259" w:lineRule="auto"/>
                              <w:jc w:val="both"/>
                              <w:rPr>
                                <w:rFonts w:cstheme="minorHAnsi"/>
                                <w:color w:val="000000" w:themeColor="text1"/>
                                <w:szCs w:val="24"/>
                              </w:rPr>
                            </w:pPr>
                            <w:r w:rsidRPr="00AA3128">
                              <w:rPr>
                                <w:rFonts w:eastAsia="Times New Roman" w:cs="Times New Roman"/>
                                <w:color w:val="000000"/>
                                <w:szCs w:val="24"/>
                                <w:lang w:eastAsia="pl-PL"/>
                              </w:rPr>
                              <w:t>w nauce i technice</w:t>
                            </w:r>
                            <w:r w:rsidRPr="00AA3128">
                              <w:rPr>
                                <w:rFonts w:cstheme="minorHAnsi"/>
                                <w:color w:val="000000" w:themeColor="text1"/>
                                <w:szCs w:val="24"/>
                              </w:rPr>
                              <w:t xml:space="preserve"> -56,19% respondentów  </w:t>
                            </w:r>
                          </w:p>
                          <w:p w14:paraId="5694AD91" w14:textId="77777777" w:rsidR="00B14787" w:rsidRPr="00AA3128" w:rsidRDefault="00B14787" w:rsidP="00B063F0">
                            <w:pPr>
                              <w:pStyle w:val="Akapitzlist"/>
                              <w:numPr>
                                <w:ilvl w:val="0"/>
                                <w:numId w:val="56"/>
                              </w:numPr>
                              <w:spacing w:before="0" w:after="0" w:line="259" w:lineRule="auto"/>
                              <w:jc w:val="both"/>
                              <w:rPr>
                                <w:rFonts w:cstheme="minorHAnsi"/>
                                <w:color w:val="000000" w:themeColor="text1"/>
                                <w:szCs w:val="24"/>
                              </w:rPr>
                            </w:pPr>
                            <w:r w:rsidRPr="00AA3128">
                              <w:rPr>
                                <w:rFonts w:cstheme="minorHAnsi"/>
                                <w:color w:val="000000" w:themeColor="text1"/>
                                <w:szCs w:val="24"/>
                              </w:rPr>
                              <w:t xml:space="preserve">w administracji państwowej – 54,69% respondentów  </w:t>
                            </w:r>
                          </w:p>
                          <w:p w14:paraId="20D36E1E" w14:textId="77777777" w:rsidR="00B14787" w:rsidRPr="00AA3128" w:rsidRDefault="00B14787" w:rsidP="00B063F0">
                            <w:pPr>
                              <w:pStyle w:val="Akapitzlist"/>
                              <w:numPr>
                                <w:ilvl w:val="0"/>
                                <w:numId w:val="56"/>
                              </w:numPr>
                              <w:spacing w:before="0" w:after="0" w:line="259" w:lineRule="auto"/>
                              <w:jc w:val="both"/>
                              <w:rPr>
                                <w:rFonts w:cstheme="minorHAnsi"/>
                                <w:color w:val="000000" w:themeColor="text1"/>
                                <w:szCs w:val="24"/>
                                <w:lang w:val="pl-PL"/>
                              </w:rPr>
                            </w:pPr>
                            <w:r w:rsidRPr="00AA3128">
                              <w:rPr>
                                <w:rFonts w:cstheme="minorHAnsi"/>
                                <w:color w:val="000000" w:themeColor="text1"/>
                                <w:szCs w:val="24"/>
                                <w:lang w:val="pl-PL"/>
                              </w:rPr>
                              <w:t xml:space="preserve">w usługach (hotele, restauracje/kawiarnie, catering, usługi </w:t>
                            </w:r>
                            <w:r w:rsidRPr="00AA3128">
                              <w:rPr>
                                <w:rFonts w:cstheme="minorHAnsi"/>
                                <w:i/>
                                <w:iCs/>
                                <w:color w:val="000000" w:themeColor="text1"/>
                                <w:szCs w:val="24"/>
                                <w:lang w:val="pl-PL"/>
                              </w:rPr>
                              <w:t>bauty</w:t>
                            </w:r>
                            <w:r w:rsidRPr="00AA3128">
                              <w:rPr>
                                <w:rFonts w:cstheme="minorHAnsi"/>
                                <w:color w:val="000000" w:themeColor="text1"/>
                                <w:szCs w:val="24"/>
                                <w:lang w:val="pl-PL"/>
                              </w:rPr>
                              <w:t xml:space="preserve">) - 52,65% respondentów </w:t>
                            </w:r>
                          </w:p>
                          <w:p w14:paraId="6A343197" w14:textId="77777777" w:rsidR="00B14787" w:rsidRPr="00AA3128" w:rsidRDefault="00B14787" w:rsidP="00B063F0">
                            <w:pPr>
                              <w:pStyle w:val="Akapitzlist"/>
                              <w:numPr>
                                <w:ilvl w:val="0"/>
                                <w:numId w:val="56"/>
                              </w:numPr>
                              <w:spacing w:before="0" w:after="0" w:line="259" w:lineRule="auto"/>
                              <w:jc w:val="both"/>
                              <w:rPr>
                                <w:rFonts w:cstheme="minorHAnsi"/>
                                <w:color w:val="000000" w:themeColor="text1"/>
                                <w:szCs w:val="24"/>
                                <w:lang w:val="pl-PL"/>
                              </w:rPr>
                            </w:pPr>
                            <w:r w:rsidRPr="00AA3128">
                              <w:rPr>
                                <w:rFonts w:cstheme="minorHAnsi"/>
                                <w:color w:val="000000" w:themeColor="text1"/>
                                <w:szCs w:val="24"/>
                                <w:lang w:val="pl-PL"/>
                              </w:rPr>
                              <w:t>ochronie zdrowia, pomocy społecznej – 50,44% respondentów.</w:t>
                            </w:r>
                          </w:p>
                          <w:p w14:paraId="6F5F4CA3" w14:textId="32CC6FE3" w:rsidR="00B14787" w:rsidRPr="00AA3128" w:rsidRDefault="00B14787" w:rsidP="00AA3128">
                            <w:pPr>
                              <w:spacing w:after="0"/>
                              <w:jc w:val="both"/>
                              <w:rPr>
                                <w:rFonts w:cstheme="minorHAnsi"/>
                                <w:color w:val="000000" w:themeColor="text1"/>
                                <w:szCs w:val="24"/>
                                <w:lang w:val="pl-PL"/>
                              </w:rPr>
                            </w:pPr>
                            <w:r w:rsidRPr="00AA3128">
                              <w:rPr>
                                <w:rFonts w:cstheme="minorHAnsi"/>
                                <w:color w:val="000000" w:themeColor="text1"/>
                                <w:szCs w:val="24"/>
                                <w:lang w:val="pl-PL"/>
                              </w:rPr>
                              <w:t xml:space="preserve"> </w:t>
                            </w:r>
                          </w:p>
                          <w:p w14:paraId="360C00CD" w14:textId="77777777" w:rsidR="00B14787" w:rsidRPr="00AA3128" w:rsidRDefault="00B14787" w:rsidP="00AA3128">
                            <w:pPr>
                              <w:spacing w:after="0"/>
                              <w:ind w:left="0"/>
                              <w:contextualSpacing/>
                              <w:jc w:val="both"/>
                              <w:rPr>
                                <w:rFonts w:cstheme="minorHAnsi"/>
                                <w:color w:val="000000" w:themeColor="text1"/>
                                <w:szCs w:val="24"/>
                                <w:lang w:val="pl-PL"/>
                              </w:rPr>
                            </w:pPr>
                            <w:r w:rsidRPr="00AA3128">
                              <w:rPr>
                                <w:rFonts w:cstheme="minorHAnsi"/>
                                <w:color w:val="000000" w:themeColor="text1"/>
                                <w:szCs w:val="24"/>
                                <w:lang w:val="pl-PL"/>
                              </w:rPr>
                              <w:t>Zatrudnienie w branżach dominujących obecnie w gospodarce Południowych Mazur (budownictwo, przemysł, rolnictwo) młodzi ludzie uznali za nietrakcyjne, zaliczając do grupy najmniej atrakcyjnych branż:</w:t>
                            </w:r>
                          </w:p>
                          <w:p w14:paraId="05878E6B" w14:textId="77777777" w:rsidR="00B14787" w:rsidRPr="00AA3128" w:rsidRDefault="00B14787" w:rsidP="00B063F0">
                            <w:pPr>
                              <w:pStyle w:val="Akapitzlist"/>
                              <w:numPr>
                                <w:ilvl w:val="0"/>
                                <w:numId w:val="57"/>
                              </w:numPr>
                              <w:spacing w:before="0" w:after="0" w:line="259" w:lineRule="auto"/>
                              <w:jc w:val="both"/>
                              <w:rPr>
                                <w:rFonts w:cstheme="minorHAnsi"/>
                                <w:color w:val="000000" w:themeColor="text1"/>
                                <w:szCs w:val="24"/>
                                <w:lang w:val="pl-PL"/>
                              </w:rPr>
                            </w:pPr>
                            <w:r w:rsidRPr="00AA3128">
                              <w:rPr>
                                <w:rFonts w:eastAsia="Times New Roman" w:cs="Times New Roman"/>
                                <w:color w:val="000000"/>
                                <w:szCs w:val="24"/>
                                <w:lang w:val="pl-PL" w:eastAsia="pl-PL"/>
                              </w:rPr>
                              <w:t>gospodarkę i usługi komunalne i mieszkaniowe</w:t>
                            </w:r>
                            <w:r w:rsidRPr="00AA3128">
                              <w:rPr>
                                <w:rFonts w:cstheme="minorHAnsi"/>
                                <w:color w:val="000000" w:themeColor="text1"/>
                                <w:szCs w:val="24"/>
                                <w:lang w:val="pl-PL"/>
                              </w:rPr>
                              <w:t xml:space="preserve"> - </w:t>
                            </w:r>
                            <w:r w:rsidRPr="00AA3128">
                              <w:rPr>
                                <w:rFonts w:cstheme="minorHAnsi"/>
                                <w:b/>
                                <w:bCs/>
                                <w:color w:val="000000" w:themeColor="text1"/>
                                <w:szCs w:val="24"/>
                                <w:lang w:val="pl-PL"/>
                              </w:rPr>
                              <w:t>73,24%</w:t>
                            </w:r>
                            <w:r w:rsidRPr="00AA3128">
                              <w:rPr>
                                <w:rFonts w:cstheme="minorHAnsi"/>
                                <w:color w:val="000000" w:themeColor="text1"/>
                                <w:szCs w:val="24"/>
                                <w:lang w:val="pl-PL"/>
                              </w:rPr>
                              <w:t xml:space="preserve"> respondentów</w:t>
                            </w:r>
                          </w:p>
                          <w:p w14:paraId="3C6F5F76" w14:textId="77777777" w:rsidR="00B14787" w:rsidRPr="00AA3128" w:rsidRDefault="00B14787" w:rsidP="00B063F0">
                            <w:pPr>
                              <w:pStyle w:val="Akapitzlist"/>
                              <w:numPr>
                                <w:ilvl w:val="0"/>
                                <w:numId w:val="57"/>
                              </w:numPr>
                              <w:spacing w:before="0" w:after="0" w:line="259" w:lineRule="auto"/>
                              <w:jc w:val="both"/>
                              <w:rPr>
                                <w:rFonts w:cstheme="minorHAnsi"/>
                                <w:color w:val="000000" w:themeColor="text1"/>
                                <w:szCs w:val="24"/>
                              </w:rPr>
                            </w:pPr>
                            <w:r w:rsidRPr="00AA3128">
                              <w:rPr>
                                <w:rFonts w:cstheme="minorHAnsi"/>
                                <w:color w:val="000000" w:themeColor="text1"/>
                                <w:szCs w:val="24"/>
                              </w:rPr>
                              <w:t xml:space="preserve">rolnictwo, ogrodnictwo - </w:t>
                            </w:r>
                            <w:r w:rsidRPr="00AA3128">
                              <w:rPr>
                                <w:rFonts w:cstheme="minorHAnsi"/>
                                <w:b/>
                                <w:bCs/>
                                <w:color w:val="000000" w:themeColor="text1"/>
                                <w:szCs w:val="24"/>
                              </w:rPr>
                              <w:t>70,32%</w:t>
                            </w:r>
                            <w:r w:rsidRPr="00AA3128">
                              <w:rPr>
                                <w:rFonts w:cstheme="minorHAnsi"/>
                                <w:color w:val="000000" w:themeColor="text1"/>
                                <w:szCs w:val="24"/>
                              </w:rPr>
                              <w:t xml:space="preserve"> respondentów</w:t>
                            </w:r>
                          </w:p>
                          <w:p w14:paraId="17ADFB60" w14:textId="77777777" w:rsidR="00B14787" w:rsidRPr="00AA3128" w:rsidRDefault="00B14787" w:rsidP="00B063F0">
                            <w:pPr>
                              <w:pStyle w:val="Akapitzlist"/>
                              <w:numPr>
                                <w:ilvl w:val="0"/>
                                <w:numId w:val="57"/>
                              </w:numPr>
                              <w:spacing w:before="0" w:after="0" w:line="259" w:lineRule="auto"/>
                              <w:jc w:val="both"/>
                              <w:rPr>
                                <w:rFonts w:cstheme="minorHAnsi"/>
                                <w:color w:val="000000" w:themeColor="text1"/>
                                <w:szCs w:val="24"/>
                              </w:rPr>
                            </w:pPr>
                            <w:r w:rsidRPr="00AA3128">
                              <w:rPr>
                                <w:rFonts w:cstheme="minorHAnsi"/>
                                <w:color w:val="000000" w:themeColor="text1"/>
                                <w:szCs w:val="24"/>
                              </w:rPr>
                              <w:t xml:space="preserve">budownictwo - 65,75% respondentów </w:t>
                            </w:r>
                          </w:p>
                          <w:p w14:paraId="08914C9F" w14:textId="77777777" w:rsidR="00B14787" w:rsidRPr="00AA3128" w:rsidRDefault="00B14787" w:rsidP="00B063F0">
                            <w:pPr>
                              <w:pStyle w:val="Akapitzlist"/>
                              <w:numPr>
                                <w:ilvl w:val="0"/>
                                <w:numId w:val="57"/>
                              </w:numPr>
                              <w:spacing w:before="0" w:after="0" w:line="259" w:lineRule="auto"/>
                              <w:jc w:val="both"/>
                              <w:rPr>
                                <w:rFonts w:cstheme="minorHAnsi"/>
                                <w:color w:val="000000" w:themeColor="text1"/>
                                <w:szCs w:val="24"/>
                              </w:rPr>
                            </w:pPr>
                            <w:r w:rsidRPr="00AA3128">
                              <w:rPr>
                                <w:rFonts w:cstheme="minorHAnsi"/>
                                <w:color w:val="000000" w:themeColor="text1"/>
                                <w:szCs w:val="24"/>
                              </w:rPr>
                              <w:t>rzemiosło, rękodzielnictwo– 64,96% respondentów</w:t>
                            </w:r>
                          </w:p>
                          <w:p w14:paraId="493532D3" w14:textId="77777777" w:rsidR="00B14787" w:rsidRPr="00AA3128" w:rsidRDefault="00B14787" w:rsidP="00B063F0">
                            <w:pPr>
                              <w:pStyle w:val="Akapitzlist"/>
                              <w:numPr>
                                <w:ilvl w:val="0"/>
                                <w:numId w:val="57"/>
                              </w:numPr>
                              <w:spacing w:before="0" w:after="0" w:line="259" w:lineRule="auto"/>
                              <w:jc w:val="both"/>
                              <w:rPr>
                                <w:rFonts w:cstheme="minorHAnsi"/>
                                <w:color w:val="000000" w:themeColor="text1"/>
                                <w:szCs w:val="24"/>
                              </w:rPr>
                            </w:pPr>
                            <w:r w:rsidRPr="00AA3128">
                              <w:rPr>
                                <w:rFonts w:eastAsia="Times New Roman" w:cs="Times New Roman"/>
                                <w:color w:val="000000"/>
                                <w:szCs w:val="24"/>
                                <w:lang w:eastAsia="pl-PL"/>
                              </w:rPr>
                              <w:t>oświatę, szkolnictwo, wychowanie</w:t>
                            </w:r>
                            <w:r w:rsidRPr="00AA3128">
                              <w:rPr>
                                <w:rFonts w:cstheme="minorHAnsi"/>
                                <w:color w:val="000000" w:themeColor="text1"/>
                                <w:szCs w:val="24"/>
                              </w:rPr>
                              <w:t xml:space="preserve"> – 63,46% respondentów</w:t>
                            </w:r>
                          </w:p>
                          <w:p w14:paraId="18EB91EF" w14:textId="77777777" w:rsidR="00B14787" w:rsidRPr="00AA3128" w:rsidRDefault="00B14787" w:rsidP="00B063F0">
                            <w:pPr>
                              <w:pStyle w:val="Akapitzlist"/>
                              <w:numPr>
                                <w:ilvl w:val="0"/>
                                <w:numId w:val="57"/>
                              </w:numPr>
                              <w:spacing w:before="0" w:after="0" w:line="259" w:lineRule="auto"/>
                              <w:jc w:val="both"/>
                              <w:rPr>
                                <w:rFonts w:cstheme="minorHAnsi"/>
                                <w:color w:val="000000" w:themeColor="text1"/>
                                <w:szCs w:val="24"/>
                              </w:rPr>
                            </w:pPr>
                            <w:r w:rsidRPr="00AA3128">
                              <w:rPr>
                                <w:rFonts w:cstheme="minorHAnsi"/>
                                <w:color w:val="000000" w:themeColor="text1"/>
                                <w:szCs w:val="24"/>
                              </w:rPr>
                              <w:t>sektory NGO - 61,25% respondentów</w:t>
                            </w:r>
                          </w:p>
                          <w:p w14:paraId="204A4A07" w14:textId="77777777" w:rsidR="00B14787" w:rsidRPr="00AA3128" w:rsidRDefault="00B14787" w:rsidP="00B063F0">
                            <w:pPr>
                              <w:pStyle w:val="Akapitzlist"/>
                              <w:numPr>
                                <w:ilvl w:val="0"/>
                                <w:numId w:val="57"/>
                              </w:numPr>
                              <w:spacing w:before="0" w:after="0" w:line="259" w:lineRule="auto"/>
                              <w:jc w:val="both"/>
                              <w:rPr>
                                <w:rFonts w:cstheme="minorHAnsi"/>
                                <w:color w:val="000000" w:themeColor="text1"/>
                                <w:szCs w:val="24"/>
                              </w:rPr>
                            </w:pPr>
                            <w:r w:rsidRPr="00AA3128">
                              <w:rPr>
                                <w:rFonts w:cstheme="minorHAnsi"/>
                                <w:color w:val="000000" w:themeColor="text1"/>
                                <w:szCs w:val="24"/>
                              </w:rPr>
                              <w:t>przemysł - 59,75% respondentów</w:t>
                            </w:r>
                          </w:p>
                          <w:p w14:paraId="5D06BDF7" w14:textId="77777777" w:rsidR="00B14787" w:rsidRPr="00AA3128" w:rsidRDefault="00B14787" w:rsidP="00B063F0">
                            <w:pPr>
                              <w:pStyle w:val="Akapitzlist"/>
                              <w:numPr>
                                <w:ilvl w:val="0"/>
                                <w:numId w:val="57"/>
                              </w:numPr>
                              <w:spacing w:before="0" w:after="0" w:line="259" w:lineRule="auto"/>
                              <w:jc w:val="both"/>
                              <w:rPr>
                                <w:rFonts w:cstheme="minorHAnsi"/>
                                <w:color w:val="000000" w:themeColor="text1"/>
                                <w:szCs w:val="24"/>
                              </w:rPr>
                            </w:pPr>
                            <w:r w:rsidRPr="00AA3128">
                              <w:rPr>
                                <w:rFonts w:cstheme="minorHAnsi"/>
                                <w:color w:val="000000" w:themeColor="text1"/>
                                <w:szCs w:val="24"/>
                              </w:rPr>
                              <w:t>administrację samorządową –59,09% respondentów</w:t>
                            </w:r>
                          </w:p>
                          <w:p w14:paraId="6CFABD04" w14:textId="790E7385" w:rsidR="00B14787" w:rsidRPr="00AA3128" w:rsidRDefault="00B14787" w:rsidP="00B063F0">
                            <w:pPr>
                              <w:pStyle w:val="Akapitzlist"/>
                              <w:numPr>
                                <w:ilvl w:val="0"/>
                                <w:numId w:val="57"/>
                              </w:numPr>
                              <w:spacing w:before="0" w:after="0" w:line="259" w:lineRule="auto"/>
                              <w:jc w:val="both"/>
                              <w:rPr>
                                <w:rFonts w:cstheme="minorHAnsi"/>
                                <w:color w:val="000000" w:themeColor="text1"/>
                                <w:szCs w:val="24"/>
                                <w:lang w:val="pl-PL"/>
                              </w:rPr>
                            </w:pPr>
                            <w:r w:rsidRPr="00AA3128">
                              <w:rPr>
                                <w:rFonts w:cstheme="minorHAnsi"/>
                                <w:color w:val="000000" w:themeColor="text1"/>
                                <w:szCs w:val="24"/>
                                <w:lang w:val="pl-PL"/>
                              </w:rPr>
                              <w:t>sektory tzw. eko-gospodarki, ochrony środowiska - 53,25% respondentów.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92AB97" id="Pole tekstowe 119" o:spid="_x0000_s1045" type="#_x0000_t202" style="position:absolute;left:0;text-align:left;margin-left:40.1pt;margin-top:1.5pt;width:412.2pt;height:391.8pt;z-index:251658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" fillcolor="#d9e2f3 [660]" strokecolor="#4472c4 [3204]" strokeweight=".5pt">
                <v:textbox>
                  <w:txbxContent>
                    <w:p w14:paraId="72CEEFCB" w14:textId="77777777" w:rsidR="00B14787" w:rsidRPr="00AA3128" w:rsidRDefault="00B14787" w:rsidP="00AA3128">
                      <w:pPr>
                        <w:spacing w:after="0"/>
                        <w:ind w:left="0"/>
                        <w:contextualSpacing/>
                        <w:jc w:val="both"/>
                        <w:rPr>
                          <w:rFonts w:cstheme="minorHAnsi"/>
                          <w:color w:val="000000" w:themeColor="text1"/>
                          <w:szCs w:val="24"/>
                          <w:lang w:val="pl-PL"/>
                        </w:rPr>
                      </w:pPr>
                      <w:r w:rsidRPr="00AA3128">
                        <w:rPr>
                          <w:rFonts w:cstheme="minorHAnsi"/>
                          <w:color w:val="000000" w:themeColor="text1"/>
                          <w:szCs w:val="24"/>
                          <w:lang w:val="pl-PL"/>
                        </w:rPr>
                        <w:t>Młodzież ostatnich klas szkół średnich za atrakcyjną uznała pracę:</w:t>
                      </w:r>
                    </w:p>
                    <w:p w14:paraId="07D2269A" w14:textId="77777777" w:rsidR="00B14787" w:rsidRPr="00AA3128" w:rsidRDefault="00B14787" w:rsidP="00B063F0">
                      <w:pPr>
                        <w:pStyle w:val="Akapitzlist"/>
                        <w:numPr>
                          <w:ilvl w:val="0"/>
                          <w:numId w:val="56"/>
                        </w:numPr>
                        <w:spacing w:before="0" w:after="0" w:line="259" w:lineRule="auto"/>
                        <w:jc w:val="both"/>
                        <w:rPr>
                          <w:rFonts w:cstheme="minorHAnsi"/>
                          <w:color w:val="000000" w:themeColor="text1"/>
                          <w:szCs w:val="24"/>
                          <w:lang w:val="pl-PL"/>
                        </w:rPr>
                      </w:pPr>
                      <w:r w:rsidRPr="00AA3128">
                        <w:rPr>
                          <w:rFonts w:cstheme="minorHAnsi"/>
                          <w:color w:val="000000" w:themeColor="text1"/>
                          <w:szCs w:val="24"/>
                          <w:lang w:val="pl-PL"/>
                        </w:rPr>
                        <w:t xml:space="preserve">w branżach nowej technologii: IT, biotechnologii - </w:t>
                      </w:r>
                      <w:r w:rsidRPr="00AA3128">
                        <w:rPr>
                          <w:rFonts w:cstheme="minorHAnsi"/>
                          <w:b/>
                          <w:bCs/>
                          <w:color w:val="000000" w:themeColor="text1"/>
                          <w:szCs w:val="24"/>
                          <w:lang w:val="pl-PL"/>
                        </w:rPr>
                        <w:t>67,32%</w:t>
                      </w:r>
                      <w:r w:rsidRPr="00AA3128">
                        <w:rPr>
                          <w:rFonts w:cstheme="minorHAnsi"/>
                          <w:color w:val="000000" w:themeColor="text1"/>
                          <w:szCs w:val="24"/>
                          <w:lang w:val="pl-PL"/>
                        </w:rPr>
                        <w:t xml:space="preserve"> respondentów  </w:t>
                      </w:r>
                    </w:p>
                    <w:p w14:paraId="241F8C22" w14:textId="77777777" w:rsidR="00B14787" w:rsidRPr="00AA3128" w:rsidRDefault="00B14787" w:rsidP="00B063F0">
                      <w:pPr>
                        <w:pStyle w:val="Akapitzlist"/>
                        <w:numPr>
                          <w:ilvl w:val="0"/>
                          <w:numId w:val="56"/>
                        </w:numPr>
                        <w:spacing w:before="0" w:after="0" w:line="259" w:lineRule="auto"/>
                        <w:jc w:val="both"/>
                        <w:rPr>
                          <w:rFonts w:cstheme="minorHAnsi"/>
                          <w:color w:val="000000" w:themeColor="text1"/>
                          <w:szCs w:val="24"/>
                        </w:rPr>
                      </w:pPr>
                      <w:r w:rsidRPr="00AA3128">
                        <w:rPr>
                          <w:rFonts w:cstheme="minorHAnsi"/>
                          <w:color w:val="000000" w:themeColor="text1"/>
                          <w:szCs w:val="24"/>
                        </w:rPr>
                        <w:t xml:space="preserve">w kulturze i rozrywce: </w:t>
                      </w:r>
                      <w:r w:rsidRPr="00AA3128">
                        <w:rPr>
                          <w:rFonts w:cstheme="minorHAnsi"/>
                          <w:b/>
                          <w:bCs/>
                          <w:color w:val="000000" w:themeColor="text1"/>
                          <w:szCs w:val="24"/>
                        </w:rPr>
                        <w:t>63,46%</w:t>
                      </w:r>
                      <w:r w:rsidRPr="00AA3128">
                        <w:rPr>
                          <w:rFonts w:cstheme="minorHAnsi"/>
                          <w:color w:val="000000" w:themeColor="text1"/>
                          <w:szCs w:val="24"/>
                        </w:rPr>
                        <w:t xml:space="preserve"> respondentów  </w:t>
                      </w:r>
                    </w:p>
                    <w:p w14:paraId="694FB1F1" w14:textId="77777777" w:rsidR="00B14787" w:rsidRPr="00AA3128" w:rsidRDefault="00B14787" w:rsidP="00B063F0">
                      <w:pPr>
                        <w:pStyle w:val="Akapitzlist"/>
                        <w:numPr>
                          <w:ilvl w:val="0"/>
                          <w:numId w:val="56"/>
                        </w:numPr>
                        <w:spacing w:before="0" w:after="0" w:line="259" w:lineRule="auto"/>
                        <w:jc w:val="both"/>
                        <w:rPr>
                          <w:rFonts w:cstheme="minorHAnsi"/>
                          <w:color w:val="000000" w:themeColor="text1"/>
                          <w:szCs w:val="24"/>
                        </w:rPr>
                      </w:pPr>
                      <w:r w:rsidRPr="00AA3128">
                        <w:rPr>
                          <w:rFonts w:cstheme="minorHAnsi"/>
                          <w:color w:val="000000" w:themeColor="text1"/>
                          <w:szCs w:val="24"/>
                        </w:rPr>
                        <w:t xml:space="preserve">w handlu - </w:t>
                      </w:r>
                      <w:r w:rsidRPr="00AA3128">
                        <w:rPr>
                          <w:rFonts w:cstheme="minorHAnsi"/>
                          <w:b/>
                          <w:bCs/>
                          <w:color w:val="000000" w:themeColor="text1"/>
                          <w:szCs w:val="24"/>
                        </w:rPr>
                        <w:t>60,94%</w:t>
                      </w:r>
                      <w:r w:rsidRPr="00AA3128">
                        <w:rPr>
                          <w:rFonts w:cstheme="minorHAnsi"/>
                          <w:color w:val="000000" w:themeColor="text1"/>
                          <w:szCs w:val="24"/>
                        </w:rPr>
                        <w:t xml:space="preserve"> respondentów</w:t>
                      </w:r>
                    </w:p>
                    <w:p w14:paraId="316A503B" w14:textId="77777777" w:rsidR="00B14787" w:rsidRPr="00AA3128" w:rsidRDefault="00B14787" w:rsidP="00B063F0">
                      <w:pPr>
                        <w:pStyle w:val="Akapitzlist"/>
                        <w:numPr>
                          <w:ilvl w:val="0"/>
                          <w:numId w:val="56"/>
                        </w:numPr>
                        <w:spacing w:before="0" w:after="0" w:line="259" w:lineRule="auto"/>
                        <w:jc w:val="both"/>
                        <w:rPr>
                          <w:rFonts w:cstheme="minorHAnsi"/>
                          <w:color w:val="000000" w:themeColor="text1"/>
                          <w:szCs w:val="24"/>
                        </w:rPr>
                      </w:pPr>
                      <w:r w:rsidRPr="00AA3128">
                        <w:rPr>
                          <w:rFonts w:eastAsia="Times New Roman" w:cs="Times New Roman"/>
                          <w:color w:val="000000"/>
                          <w:szCs w:val="24"/>
                          <w:lang w:eastAsia="pl-PL"/>
                        </w:rPr>
                        <w:t>w nauce i technice</w:t>
                      </w:r>
                      <w:r w:rsidRPr="00AA3128">
                        <w:rPr>
                          <w:rFonts w:cstheme="minorHAnsi"/>
                          <w:color w:val="000000" w:themeColor="text1"/>
                          <w:szCs w:val="24"/>
                        </w:rPr>
                        <w:t xml:space="preserve"> -56,19% respondentów  </w:t>
                      </w:r>
                    </w:p>
                    <w:p w14:paraId="5694AD91" w14:textId="77777777" w:rsidR="00B14787" w:rsidRPr="00AA3128" w:rsidRDefault="00B14787" w:rsidP="00B063F0">
                      <w:pPr>
                        <w:pStyle w:val="Akapitzlist"/>
                        <w:numPr>
                          <w:ilvl w:val="0"/>
                          <w:numId w:val="56"/>
                        </w:numPr>
                        <w:spacing w:before="0" w:after="0" w:line="259" w:lineRule="auto"/>
                        <w:jc w:val="both"/>
                        <w:rPr>
                          <w:rFonts w:cstheme="minorHAnsi"/>
                          <w:color w:val="000000" w:themeColor="text1"/>
                          <w:szCs w:val="24"/>
                        </w:rPr>
                      </w:pPr>
                      <w:r w:rsidRPr="00AA3128">
                        <w:rPr>
                          <w:rFonts w:cstheme="minorHAnsi"/>
                          <w:color w:val="000000" w:themeColor="text1"/>
                          <w:szCs w:val="24"/>
                        </w:rPr>
                        <w:t xml:space="preserve">w administracji państwowej – 54,69% respondentów  </w:t>
                      </w:r>
                    </w:p>
                    <w:p w14:paraId="20D36E1E" w14:textId="77777777" w:rsidR="00B14787" w:rsidRPr="00AA3128" w:rsidRDefault="00B14787" w:rsidP="00B063F0">
                      <w:pPr>
                        <w:pStyle w:val="Akapitzlist"/>
                        <w:numPr>
                          <w:ilvl w:val="0"/>
                          <w:numId w:val="56"/>
                        </w:numPr>
                        <w:spacing w:before="0" w:after="0" w:line="259" w:lineRule="auto"/>
                        <w:jc w:val="both"/>
                        <w:rPr>
                          <w:rFonts w:cstheme="minorHAnsi"/>
                          <w:color w:val="000000" w:themeColor="text1"/>
                          <w:szCs w:val="24"/>
                          <w:lang w:val="pl-PL"/>
                        </w:rPr>
                      </w:pPr>
                      <w:r w:rsidRPr="00AA3128">
                        <w:rPr>
                          <w:rFonts w:cstheme="minorHAnsi"/>
                          <w:color w:val="000000" w:themeColor="text1"/>
                          <w:szCs w:val="24"/>
                          <w:lang w:val="pl-PL"/>
                        </w:rPr>
                        <w:t xml:space="preserve">w usługach (hotele, restauracje/kawiarnie, catering, usługi </w:t>
                      </w:r>
                      <w:r w:rsidRPr="00AA3128">
                        <w:rPr>
                          <w:rFonts w:cstheme="minorHAnsi"/>
                          <w:i/>
                          <w:iCs/>
                          <w:color w:val="000000" w:themeColor="text1"/>
                          <w:szCs w:val="24"/>
                          <w:lang w:val="pl-PL"/>
                        </w:rPr>
                        <w:t>bauty</w:t>
                      </w:r>
                      <w:r w:rsidRPr="00AA3128">
                        <w:rPr>
                          <w:rFonts w:cstheme="minorHAnsi"/>
                          <w:color w:val="000000" w:themeColor="text1"/>
                          <w:szCs w:val="24"/>
                          <w:lang w:val="pl-PL"/>
                        </w:rPr>
                        <w:t xml:space="preserve">) - 52,65% respondentów </w:t>
                      </w:r>
                    </w:p>
                    <w:p w14:paraId="6A343197" w14:textId="77777777" w:rsidR="00B14787" w:rsidRPr="00AA3128" w:rsidRDefault="00B14787" w:rsidP="00B063F0">
                      <w:pPr>
                        <w:pStyle w:val="Akapitzlist"/>
                        <w:numPr>
                          <w:ilvl w:val="0"/>
                          <w:numId w:val="56"/>
                        </w:numPr>
                        <w:spacing w:before="0" w:after="0" w:line="259" w:lineRule="auto"/>
                        <w:jc w:val="both"/>
                        <w:rPr>
                          <w:rFonts w:cstheme="minorHAnsi"/>
                          <w:color w:val="000000" w:themeColor="text1"/>
                          <w:szCs w:val="24"/>
                          <w:lang w:val="pl-PL"/>
                        </w:rPr>
                      </w:pPr>
                      <w:r w:rsidRPr="00AA3128">
                        <w:rPr>
                          <w:rFonts w:cstheme="minorHAnsi"/>
                          <w:color w:val="000000" w:themeColor="text1"/>
                          <w:szCs w:val="24"/>
                          <w:lang w:val="pl-PL"/>
                        </w:rPr>
                        <w:t>ochronie zdrowia, pomocy społecznej – 50,44% respondentów.</w:t>
                      </w:r>
                    </w:p>
                    <w:p w14:paraId="6F5F4CA3" w14:textId="32CC6FE3" w:rsidR="00B14787" w:rsidRPr="00AA3128" w:rsidRDefault="00B14787" w:rsidP="00AA3128">
                      <w:pPr>
                        <w:spacing w:after="0"/>
                        <w:jc w:val="both"/>
                        <w:rPr>
                          <w:rFonts w:cstheme="minorHAnsi"/>
                          <w:color w:val="000000" w:themeColor="text1"/>
                          <w:szCs w:val="24"/>
                          <w:lang w:val="pl-PL"/>
                        </w:rPr>
                      </w:pPr>
                      <w:r w:rsidRPr="00AA3128">
                        <w:rPr>
                          <w:rFonts w:cstheme="minorHAnsi"/>
                          <w:color w:val="000000" w:themeColor="text1"/>
                          <w:szCs w:val="24"/>
                          <w:lang w:val="pl-PL"/>
                        </w:rPr>
                        <w:t xml:space="preserve"> </w:t>
                      </w:r>
                    </w:p>
                    <w:p w14:paraId="360C00CD" w14:textId="77777777" w:rsidR="00B14787" w:rsidRPr="00AA3128" w:rsidRDefault="00B14787" w:rsidP="00AA3128">
                      <w:pPr>
                        <w:spacing w:after="0"/>
                        <w:ind w:left="0"/>
                        <w:contextualSpacing/>
                        <w:jc w:val="both"/>
                        <w:rPr>
                          <w:rFonts w:cstheme="minorHAnsi"/>
                          <w:color w:val="000000" w:themeColor="text1"/>
                          <w:szCs w:val="24"/>
                          <w:lang w:val="pl-PL"/>
                        </w:rPr>
                      </w:pPr>
                      <w:r w:rsidRPr="00AA3128">
                        <w:rPr>
                          <w:rFonts w:cstheme="minorHAnsi"/>
                          <w:color w:val="000000" w:themeColor="text1"/>
                          <w:szCs w:val="24"/>
                          <w:lang w:val="pl-PL"/>
                        </w:rPr>
                        <w:t>Zatrudnienie w branżach dominujących obecnie w gospodarce Południowych Mazur (budownictwo, przemysł, rolnictwo) młodzi ludzie uznali za nietrakcyjne, zaliczając do grupy najmniej atrakcyjnych branż:</w:t>
                      </w:r>
                    </w:p>
                    <w:p w14:paraId="05878E6B" w14:textId="77777777" w:rsidR="00B14787" w:rsidRPr="00AA3128" w:rsidRDefault="00B14787" w:rsidP="00B063F0">
                      <w:pPr>
                        <w:pStyle w:val="Akapitzlist"/>
                        <w:numPr>
                          <w:ilvl w:val="0"/>
                          <w:numId w:val="57"/>
                        </w:numPr>
                        <w:spacing w:before="0" w:after="0" w:line="259" w:lineRule="auto"/>
                        <w:jc w:val="both"/>
                        <w:rPr>
                          <w:rFonts w:cstheme="minorHAnsi"/>
                          <w:color w:val="000000" w:themeColor="text1"/>
                          <w:szCs w:val="24"/>
                          <w:lang w:val="pl-PL"/>
                        </w:rPr>
                      </w:pPr>
                      <w:r w:rsidRPr="00AA3128">
                        <w:rPr>
                          <w:rFonts w:eastAsia="Times New Roman" w:cs="Times New Roman"/>
                          <w:color w:val="000000"/>
                          <w:szCs w:val="24"/>
                          <w:lang w:val="pl-PL" w:eastAsia="pl-PL"/>
                        </w:rPr>
                        <w:t>gospodarkę i usługi komunalne i mieszkaniowe</w:t>
                      </w:r>
                      <w:r w:rsidRPr="00AA3128">
                        <w:rPr>
                          <w:rFonts w:cstheme="minorHAnsi"/>
                          <w:color w:val="000000" w:themeColor="text1"/>
                          <w:szCs w:val="24"/>
                          <w:lang w:val="pl-PL"/>
                        </w:rPr>
                        <w:t xml:space="preserve"> - </w:t>
                      </w:r>
                      <w:r w:rsidRPr="00AA3128">
                        <w:rPr>
                          <w:rFonts w:cstheme="minorHAnsi"/>
                          <w:b/>
                          <w:bCs/>
                          <w:color w:val="000000" w:themeColor="text1"/>
                          <w:szCs w:val="24"/>
                          <w:lang w:val="pl-PL"/>
                        </w:rPr>
                        <w:t>73,24%</w:t>
                      </w:r>
                      <w:r w:rsidRPr="00AA3128">
                        <w:rPr>
                          <w:rFonts w:cstheme="minorHAnsi"/>
                          <w:color w:val="000000" w:themeColor="text1"/>
                          <w:szCs w:val="24"/>
                          <w:lang w:val="pl-PL"/>
                        </w:rPr>
                        <w:t xml:space="preserve"> respondentów</w:t>
                      </w:r>
                    </w:p>
                    <w:p w14:paraId="3C6F5F76" w14:textId="77777777" w:rsidR="00B14787" w:rsidRPr="00AA3128" w:rsidRDefault="00B14787" w:rsidP="00B063F0">
                      <w:pPr>
                        <w:pStyle w:val="Akapitzlist"/>
                        <w:numPr>
                          <w:ilvl w:val="0"/>
                          <w:numId w:val="57"/>
                        </w:numPr>
                        <w:spacing w:before="0" w:after="0" w:line="259" w:lineRule="auto"/>
                        <w:jc w:val="both"/>
                        <w:rPr>
                          <w:rFonts w:cstheme="minorHAnsi"/>
                          <w:color w:val="000000" w:themeColor="text1"/>
                          <w:szCs w:val="24"/>
                        </w:rPr>
                      </w:pPr>
                      <w:r w:rsidRPr="00AA3128">
                        <w:rPr>
                          <w:rFonts w:cstheme="minorHAnsi"/>
                          <w:color w:val="000000" w:themeColor="text1"/>
                          <w:szCs w:val="24"/>
                        </w:rPr>
                        <w:t xml:space="preserve">rolnictwo, ogrodnictwo - </w:t>
                      </w:r>
                      <w:r w:rsidRPr="00AA3128">
                        <w:rPr>
                          <w:rFonts w:cstheme="minorHAnsi"/>
                          <w:b/>
                          <w:bCs/>
                          <w:color w:val="000000" w:themeColor="text1"/>
                          <w:szCs w:val="24"/>
                        </w:rPr>
                        <w:t>70,32%</w:t>
                      </w:r>
                      <w:r w:rsidRPr="00AA3128">
                        <w:rPr>
                          <w:rFonts w:cstheme="minorHAnsi"/>
                          <w:color w:val="000000" w:themeColor="text1"/>
                          <w:szCs w:val="24"/>
                        </w:rPr>
                        <w:t xml:space="preserve"> respondentów</w:t>
                      </w:r>
                    </w:p>
                    <w:p w14:paraId="17ADFB60" w14:textId="77777777" w:rsidR="00B14787" w:rsidRPr="00AA3128" w:rsidRDefault="00B14787" w:rsidP="00B063F0">
                      <w:pPr>
                        <w:pStyle w:val="Akapitzlist"/>
                        <w:numPr>
                          <w:ilvl w:val="0"/>
                          <w:numId w:val="57"/>
                        </w:numPr>
                        <w:spacing w:before="0" w:after="0" w:line="259" w:lineRule="auto"/>
                        <w:jc w:val="both"/>
                        <w:rPr>
                          <w:rFonts w:cstheme="minorHAnsi"/>
                          <w:color w:val="000000" w:themeColor="text1"/>
                          <w:szCs w:val="24"/>
                        </w:rPr>
                      </w:pPr>
                      <w:r w:rsidRPr="00AA3128">
                        <w:rPr>
                          <w:rFonts w:cstheme="minorHAnsi"/>
                          <w:color w:val="000000" w:themeColor="text1"/>
                          <w:szCs w:val="24"/>
                        </w:rPr>
                        <w:t xml:space="preserve">budownictwo - 65,75% respondentów </w:t>
                      </w:r>
                    </w:p>
                    <w:p w14:paraId="08914C9F" w14:textId="77777777" w:rsidR="00B14787" w:rsidRPr="00AA3128" w:rsidRDefault="00B14787" w:rsidP="00B063F0">
                      <w:pPr>
                        <w:pStyle w:val="Akapitzlist"/>
                        <w:numPr>
                          <w:ilvl w:val="0"/>
                          <w:numId w:val="57"/>
                        </w:numPr>
                        <w:spacing w:before="0" w:after="0" w:line="259" w:lineRule="auto"/>
                        <w:jc w:val="both"/>
                        <w:rPr>
                          <w:rFonts w:cstheme="minorHAnsi"/>
                          <w:color w:val="000000" w:themeColor="text1"/>
                          <w:szCs w:val="24"/>
                        </w:rPr>
                      </w:pPr>
                      <w:r w:rsidRPr="00AA3128">
                        <w:rPr>
                          <w:rFonts w:cstheme="minorHAnsi"/>
                          <w:color w:val="000000" w:themeColor="text1"/>
                          <w:szCs w:val="24"/>
                        </w:rPr>
                        <w:t>rzemiosło, rękodzielnictwo– 64,96% respondentów</w:t>
                      </w:r>
                    </w:p>
                    <w:p w14:paraId="493532D3" w14:textId="77777777" w:rsidR="00B14787" w:rsidRPr="00AA3128" w:rsidRDefault="00B14787" w:rsidP="00B063F0">
                      <w:pPr>
                        <w:pStyle w:val="Akapitzlist"/>
                        <w:numPr>
                          <w:ilvl w:val="0"/>
                          <w:numId w:val="57"/>
                        </w:numPr>
                        <w:spacing w:before="0" w:after="0" w:line="259" w:lineRule="auto"/>
                        <w:jc w:val="both"/>
                        <w:rPr>
                          <w:rFonts w:cstheme="minorHAnsi"/>
                          <w:color w:val="000000" w:themeColor="text1"/>
                          <w:szCs w:val="24"/>
                        </w:rPr>
                      </w:pPr>
                      <w:r w:rsidRPr="00AA3128">
                        <w:rPr>
                          <w:rFonts w:eastAsia="Times New Roman" w:cs="Times New Roman"/>
                          <w:color w:val="000000"/>
                          <w:szCs w:val="24"/>
                          <w:lang w:eastAsia="pl-PL"/>
                        </w:rPr>
                        <w:t>oświatę, szkolnictwo, wychowanie</w:t>
                      </w:r>
                      <w:r w:rsidRPr="00AA3128">
                        <w:rPr>
                          <w:rFonts w:cstheme="minorHAnsi"/>
                          <w:color w:val="000000" w:themeColor="text1"/>
                          <w:szCs w:val="24"/>
                        </w:rPr>
                        <w:t xml:space="preserve"> – 63,46% respondentów</w:t>
                      </w:r>
                    </w:p>
                    <w:p w14:paraId="18EB91EF" w14:textId="77777777" w:rsidR="00B14787" w:rsidRPr="00AA3128" w:rsidRDefault="00B14787" w:rsidP="00B063F0">
                      <w:pPr>
                        <w:pStyle w:val="Akapitzlist"/>
                        <w:numPr>
                          <w:ilvl w:val="0"/>
                          <w:numId w:val="57"/>
                        </w:numPr>
                        <w:spacing w:before="0" w:after="0" w:line="259" w:lineRule="auto"/>
                        <w:jc w:val="both"/>
                        <w:rPr>
                          <w:rFonts w:cstheme="minorHAnsi"/>
                          <w:color w:val="000000" w:themeColor="text1"/>
                          <w:szCs w:val="24"/>
                        </w:rPr>
                      </w:pPr>
                      <w:r w:rsidRPr="00AA3128">
                        <w:rPr>
                          <w:rFonts w:cstheme="minorHAnsi"/>
                          <w:color w:val="000000" w:themeColor="text1"/>
                          <w:szCs w:val="24"/>
                        </w:rPr>
                        <w:t>sektory NGO - 61,25% respondentów</w:t>
                      </w:r>
                    </w:p>
                    <w:p w14:paraId="204A4A07" w14:textId="77777777" w:rsidR="00B14787" w:rsidRPr="00AA3128" w:rsidRDefault="00B14787" w:rsidP="00B063F0">
                      <w:pPr>
                        <w:pStyle w:val="Akapitzlist"/>
                        <w:numPr>
                          <w:ilvl w:val="0"/>
                          <w:numId w:val="57"/>
                        </w:numPr>
                        <w:spacing w:before="0" w:after="0" w:line="259" w:lineRule="auto"/>
                        <w:jc w:val="both"/>
                        <w:rPr>
                          <w:rFonts w:cstheme="minorHAnsi"/>
                          <w:color w:val="000000" w:themeColor="text1"/>
                          <w:szCs w:val="24"/>
                        </w:rPr>
                      </w:pPr>
                      <w:r w:rsidRPr="00AA3128">
                        <w:rPr>
                          <w:rFonts w:cstheme="minorHAnsi"/>
                          <w:color w:val="000000" w:themeColor="text1"/>
                          <w:szCs w:val="24"/>
                        </w:rPr>
                        <w:t>przemysł - 59,75% respondentów</w:t>
                      </w:r>
                    </w:p>
                    <w:p w14:paraId="5D06BDF7" w14:textId="77777777" w:rsidR="00B14787" w:rsidRPr="00AA3128" w:rsidRDefault="00B14787" w:rsidP="00B063F0">
                      <w:pPr>
                        <w:pStyle w:val="Akapitzlist"/>
                        <w:numPr>
                          <w:ilvl w:val="0"/>
                          <w:numId w:val="57"/>
                        </w:numPr>
                        <w:spacing w:before="0" w:after="0" w:line="259" w:lineRule="auto"/>
                        <w:jc w:val="both"/>
                        <w:rPr>
                          <w:rFonts w:cstheme="minorHAnsi"/>
                          <w:color w:val="000000" w:themeColor="text1"/>
                          <w:szCs w:val="24"/>
                        </w:rPr>
                      </w:pPr>
                      <w:r w:rsidRPr="00AA3128">
                        <w:rPr>
                          <w:rFonts w:cstheme="minorHAnsi"/>
                          <w:color w:val="000000" w:themeColor="text1"/>
                          <w:szCs w:val="24"/>
                        </w:rPr>
                        <w:t>administrację samorządową –59,09% respondentów</w:t>
                      </w:r>
                    </w:p>
                    <w:p w14:paraId="6CFABD04" w14:textId="790E7385" w:rsidR="00B14787" w:rsidRPr="00AA3128" w:rsidRDefault="00B14787" w:rsidP="00B063F0">
                      <w:pPr>
                        <w:pStyle w:val="Akapitzlist"/>
                        <w:numPr>
                          <w:ilvl w:val="0"/>
                          <w:numId w:val="57"/>
                        </w:numPr>
                        <w:spacing w:before="0" w:after="0" w:line="259" w:lineRule="auto"/>
                        <w:jc w:val="both"/>
                        <w:rPr>
                          <w:rFonts w:cstheme="minorHAnsi"/>
                          <w:color w:val="000000" w:themeColor="text1"/>
                          <w:szCs w:val="24"/>
                          <w:lang w:val="pl-PL"/>
                        </w:rPr>
                      </w:pPr>
                      <w:r w:rsidRPr="00AA3128">
                        <w:rPr>
                          <w:rFonts w:cstheme="minorHAnsi"/>
                          <w:color w:val="000000" w:themeColor="text1"/>
                          <w:szCs w:val="24"/>
                          <w:lang w:val="pl-PL"/>
                        </w:rPr>
                        <w:t>sektory tzw. eko-gospodarki, ochrony środowiska - 53,25% respondentów.</w:t>
                      </w:r>
                    </w:p>
                  </w:txbxContent>
                </v:textbox>
                <w10:wrap anchorx="margin"/>
              </v:shape>
            </w:pict>
          </mc:Fallback>
        </mc:AlternateContent>
      </w:r>
    </w:p>
    <w:p w14:paraId="1096E89B" w14:textId="77777777" w:rsidR="00C6675B" w:rsidRPr="00C6675B" w:rsidRDefault="00C6675B" w:rsidP="00C6675B">
      <w:pPr>
        <w:spacing w:before="100" w:beforeAutospacing="1" w:after="100" w:afterAutospacing="1" w:line="240" w:lineRule="auto"/>
        <w:jc w:val="center"/>
        <w:rPr>
          <w:rFonts w:cstheme="minorHAnsi"/>
          <w:color w:val="333333"/>
          <w:shd w:val="clear" w:color="auto" w:fill="FFFFFF"/>
          <w:lang w:val="pl-PL"/>
        </w:rPr>
      </w:pPr>
    </w:p>
    <w:p w14:paraId="086643E0" w14:textId="77777777" w:rsidR="00C6675B" w:rsidRPr="00C6675B" w:rsidRDefault="00C6675B" w:rsidP="00C6675B">
      <w:pPr>
        <w:spacing w:before="100" w:beforeAutospacing="1" w:after="100" w:afterAutospacing="1" w:line="240" w:lineRule="auto"/>
        <w:jc w:val="center"/>
        <w:rPr>
          <w:rFonts w:cstheme="minorHAnsi"/>
          <w:color w:val="333333"/>
          <w:shd w:val="clear" w:color="auto" w:fill="FFFFFF"/>
          <w:lang w:val="pl-PL"/>
        </w:rPr>
      </w:pPr>
    </w:p>
    <w:p w14:paraId="56469961" w14:textId="77777777" w:rsidR="00C6675B" w:rsidRPr="00C6675B" w:rsidRDefault="00C6675B" w:rsidP="00C6675B">
      <w:pPr>
        <w:spacing w:before="100" w:beforeAutospacing="1" w:after="100" w:afterAutospacing="1" w:line="240" w:lineRule="auto"/>
        <w:jc w:val="center"/>
        <w:rPr>
          <w:rFonts w:cstheme="minorHAnsi"/>
          <w:color w:val="333333"/>
          <w:shd w:val="clear" w:color="auto" w:fill="FFFFFF"/>
          <w:lang w:val="pl-PL"/>
        </w:rPr>
      </w:pPr>
    </w:p>
    <w:p w14:paraId="6D76F022" w14:textId="77777777" w:rsidR="00C6675B" w:rsidRPr="00C6675B" w:rsidRDefault="00C6675B" w:rsidP="00C6675B">
      <w:pPr>
        <w:spacing w:before="100" w:beforeAutospacing="1" w:after="100" w:afterAutospacing="1" w:line="240" w:lineRule="auto"/>
        <w:jc w:val="center"/>
        <w:rPr>
          <w:rFonts w:cstheme="minorHAnsi"/>
          <w:color w:val="333333"/>
          <w:shd w:val="clear" w:color="auto" w:fill="FFFFFF"/>
          <w:lang w:val="pl-PL"/>
        </w:rPr>
      </w:pPr>
    </w:p>
    <w:p w14:paraId="06E736A6" w14:textId="77777777" w:rsidR="00C6675B" w:rsidRDefault="00C6675B" w:rsidP="00C6675B">
      <w:pPr>
        <w:spacing w:before="100" w:beforeAutospacing="1" w:after="100" w:afterAutospacing="1" w:line="240" w:lineRule="auto"/>
        <w:rPr>
          <w:rFonts w:cstheme="minorHAnsi"/>
          <w:color w:val="333333"/>
          <w:shd w:val="clear" w:color="auto" w:fill="FFFFFF"/>
        </w:rPr>
      </w:pPr>
      <w:r>
        <w:rPr>
          <w:rFonts w:cstheme="minorHAnsi"/>
          <w:noProof/>
          <w:color w:val="001133"/>
          <w:shd w:val="clear" w:color="auto" w:fill="FFFFFF"/>
        </w:rPr>
        <w:drawing>
          <wp:inline distT="0" distB="0" distL="0" distR="0" wp14:anchorId="37B16B56" wp14:editId="2C6F890D">
            <wp:extent cx="365760" cy="365760"/>
            <wp:effectExtent l="0" t="0" r="0" b="0"/>
            <wp:docPr id="83" name="Grafika 83" descr="Lista kontrolna (od prawej do lew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a 14" descr="Lista kontrolna (od prawej do lewej)"/>
                    <pic:cNvPicPr/>
                  </pic:nvPicPr>
                  <pic:blipFill>
                    <a:blip r:embed="rId35" cstate="print">
                      <a:extLst>
                        <a:ext uri="{28A0092B-C50C-407E-A947-70E740481C1C}">
                          <a14:useLocalDpi xmlns:a14="http://schemas.microsoft.com/office/drawing/2010/main" val="0"/>
                        </a:ext>
                        <a:ext uri="{96DAC541-7B7A-43D3-8B79-37D633B846F1}">
                          <asvg:svgBlip xmlns:asvg="http://schemas.microsoft.com/office/drawing/2016/SVG/main" r:embed="rId125"/>
                        </a:ext>
                      </a:extLst>
                    </a:blip>
                    <a:stretch>
                      <a:fillRect/>
                    </a:stretch>
                  </pic:blipFill>
                  <pic:spPr>
                    <a:xfrm>
                      <a:off x="0" y="0"/>
                      <a:ext cx="365760" cy="365760"/>
                    </a:xfrm>
                    <a:prstGeom prst="rect">
                      <a:avLst/>
                    </a:prstGeom>
                  </pic:spPr>
                </pic:pic>
              </a:graphicData>
            </a:graphic>
          </wp:inline>
        </w:drawing>
      </w:r>
    </w:p>
    <w:p w14:paraId="6F28402A" w14:textId="77777777" w:rsidR="00C6675B" w:rsidRDefault="00C6675B" w:rsidP="00C6675B">
      <w:pPr>
        <w:spacing w:before="100" w:beforeAutospacing="1" w:after="100" w:afterAutospacing="1" w:line="240" w:lineRule="auto"/>
        <w:contextualSpacing/>
        <w:jc w:val="both"/>
        <w:rPr>
          <w:rFonts w:cstheme="minorHAnsi"/>
          <w:color w:val="333333"/>
          <w:shd w:val="clear" w:color="auto" w:fill="FFFFFF"/>
        </w:rPr>
      </w:pPr>
    </w:p>
    <w:p w14:paraId="76327E7F" w14:textId="77777777" w:rsidR="00C6675B" w:rsidRDefault="00C6675B" w:rsidP="00C6675B">
      <w:pPr>
        <w:spacing w:before="100" w:beforeAutospacing="1" w:after="100" w:afterAutospacing="1" w:line="240" w:lineRule="auto"/>
        <w:contextualSpacing/>
        <w:jc w:val="both"/>
      </w:pPr>
    </w:p>
    <w:p w14:paraId="0A2BB611" w14:textId="77777777" w:rsidR="00C6675B" w:rsidRDefault="00C6675B" w:rsidP="00C6675B">
      <w:pPr>
        <w:spacing w:before="100" w:beforeAutospacing="1" w:after="100" w:afterAutospacing="1" w:line="240" w:lineRule="auto"/>
        <w:contextualSpacing/>
        <w:jc w:val="both"/>
      </w:pPr>
    </w:p>
    <w:p w14:paraId="49F45B41" w14:textId="77777777" w:rsidR="00C6675B" w:rsidRDefault="00C6675B" w:rsidP="00C6675B">
      <w:pPr>
        <w:spacing w:before="100" w:beforeAutospacing="1" w:after="100" w:afterAutospacing="1" w:line="240" w:lineRule="auto"/>
        <w:contextualSpacing/>
        <w:jc w:val="both"/>
      </w:pPr>
    </w:p>
    <w:p w14:paraId="3E5DA57B" w14:textId="77777777" w:rsidR="00C6675B" w:rsidRDefault="00C6675B" w:rsidP="00C6675B">
      <w:pPr>
        <w:spacing w:before="100" w:beforeAutospacing="1" w:after="100" w:afterAutospacing="1" w:line="240" w:lineRule="auto"/>
        <w:contextualSpacing/>
        <w:jc w:val="both"/>
      </w:pPr>
    </w:p>
    <w:p w14:paraId="29A2237F" w14:textId="77777777" w:rsidR="00C6675B" w:rsidRDefault="00C6675B" w:rsidP="00C6675B">
      <w:pPr>
        <w:spacing w:before="100" w:beforeAutospacing="1" w:after="100" w:afterAutospacing="1" w:line="240" w:lineRule="auto"/>
        <w:contextualSpacing/>
        <w:jc w:val="both"/>
      </w:pPr>
    </w:p>
    <w:p w14:paraId="4C38815F" w14:textId="77777777" w:rsidR="00C6675B" w:rsidRDefault="00C6675B" w:rsidP="00C6675B">
      <w:pPr>
        <w:spacing w:before="100" w:beforeAutospacing="1" w:after="100" w:afterAutospacing="1" w:line="240" w:lineRule="auto"/>
        <w:contextualSpacing/>
        <w:jc w:val="both"/>
      </w:pPr>
    </w:p>
    <w:p w14:paraId="2EC8093B" w14:textId="77777777" w:rsidR="00C6675B" w:rsidRDefault="00C6675B" w:rsidP="00C6675B">
      <w:pPr>
        <w:spacing w:before="100" w:beforeAutospacing="1" w:after="100" w:afterAutospacing="1" w:line="240" w:lineRule="auto"/>
        <w:contextualSpacing/>
        <w:jc w:val="both"/>
      </w:pPr>
    </w:p>
    <w:p w14:paraId="4B16EF9B" w14:textId="77777777" w:rsidR="00C6675B" w:rsidRDefault="00C6675B" w:rsidP="00C6675B">
      <w:pPr>
        <w:spacing w:before="100" w:beforeAutospacing="1" w:after="100" w:afterAutospacing="1" w:line="240" w:lineRule="auto"/>
        <w:contextualSpacing/>
        <w:jc w:val="both"/>
      </w:pPr>
    </w:p>
    <w:p w14:paraId="49F2D89C" w14:textId="77777777" w:rsidR="00C6675B" w:rsidRDefault="00C6675B" w:rsidP="00C6675B">
      <w:pPr>
        <w:spacing w:before="100" w:beforeAutospacing="1" w:after="100" w:afterAutospacing="1" w:line="240" w:lineRule="auto"/>
        <w:contextualSpacing/>
        <w:jc w:val="both"/>
      </w:pPr>
    </w:p>
    <w:p w14:paraId="046CC792" w14:textId="747B171D" w:rsidR="00C6675B" w:rsidRDefault="00C6675B" w:rsidP="00C6675B">
      <w:pPr>
        <w:spacing w:before="100" w:beforeAutospacing="1" w:after="100" w:afterAutospacing="1" w:line="240" w:lineRule="auto"/>
        <w:contextualSpacing/>
        <w:jc w:val="both"/>
      </w:pPr>
    </w:p>
    <w:p w14:paraId="313299AA" w14:textId="7D3DD869" w:rsidR="00AA3128" w:rsidRDefault="00AA3128" w:rsidP="00C6675B">
      <w:pPr>
        <w:spacing w:before="100" w:beforeAutospacing="1" w:after="100" w:afterAutospacing="1" w:line="240" w:lineRule="auto"/>
        <w:contextualSpacing/>
        <w:jc w:val="both"/>
      </w:pPr>
    </w:p>
    <w:p w14:paraId="48A42330" w14:textId="5BE6C9C5" w:rsidR="00AA3128" w:rsidRDefault="00AA3128" w:rsidP="00C6675B">
      <w:pPr>
        <w:spacing w:before="100" w:beforeAutospacing="1" w:after="100" w:afterAutospacing="1" w:line="240" w:lineRule="auto"/>
        <w:contextualSpacing/>
        <w:jc w:val="both"/>
      </w:pPr>
    </w:p>
    <w:p w14:paraId="3FD76288" w14:textId="44EBDEB0" w:rsidR="00AA3128" w:rsidRDefault="00AA3128" w:rsidP="00C6675B">
      <w:pPr>
        <w:spacing w:before="100" w:beforeAutospacing="1" w:after="100" w:afterAutospacing="1" w:line="240" w:lineRule="auto"/>
        <w:contextualSpacing/>
        <w:jc w:val="both"/>
      </w:pPr>
    </w:p>
    <w:p w14:paraId="27CAD344" w14:textId="2B179C90" w:rsidR="00AA3128" w:rsidRDefault="00AA3128" w:rsidP="00C6675B">
      <w:pPr>
        <w:spacing w:before="100" w:beforeAutospacing="1" w:after="100" w:afterAutospacing="1" w:line="240" w:lineRule="auto"/>
        <w:contextualSpacing/>
        <w:jc w:val="both"/>
      </w:pPr>
    </w:p>
    <w:p w14:paraId="704E38F5" w14:textId="77777777" w:rsidR="00AA3128" w:rsidRDefault="00AA3128" w:rsidP="00AA3128">
      <w:pPr>
        <w:spacing w:before="100" w:beforeAutospacing="1" w:after="100" w:afterAutospacing="1" w:line="240" w:lineRule="auto"/>
        <w:ind w:left="0"/>
        <w:contextualSpacing/>
        <w:jc w:val="both"/>
      </w:pPr>
    </w:p>
    <w:p w14:paraId="5C30D8EB" w14:textId="77777777" w:rsidR="00C6675B" w:rsidRPr="00C6675B" w:rsidRDefault="00C6675B" w:rsidP="00C6675B">
      <w:pPr>
        <w:spacing w:before="100" w:beforeAutospacing="1" w:after="100" w:afterAutospacing="1" w:line="240" w:lineRule="auto"/>
        <w:contextualSpacing/>
        <w:jc w:val="both"/>
        <w:rPr>
          <w:rFonts w:cstheme="minorHAnsi"/>
          <w:color w:val="000000"/>
          <w:lang w:val="pl-PL"/>
        </w:rPr>
      </w:pPr>
      <w:r w:rsidRPr="00C6675B">
        <w:rPr>
          <w:lang w:val="pl-PL"/>
        </w:rPr>
        <w:t xml:space="preserve">Niezgodna z oczekiwaniami pracowników/przyszłych pracowników jest również wysokość wynagrodzeń ze stosunku pracy. </w:t>
      </w:r>
      <w:r w:rsidRPr="00C6675B">
        <w:rPr>
          <w:rFonts w:cstheme="minorHAnsi"/>
          <w:color w:val="000000"/>
          <w:lang w:val="pl-PL"/>
        </w:rPr>
        <w:t xml:space="preserve">W 2018 r. średnie miesięczne wynagrodzenie wynosiło 3.788,42 zł, stanowiąc jedynie </w:t>
      </w:r>
      <w:r w:rsidRPr="00C6675B">
        <w:rPr>
          <w:rFonts w:cstheme="minorHAnsi"/>
          <w:b/>
          <w:bCs/>
          <w:color w:val="000000"/>
          <w:lang w:val="pl-PL"/>
        </w:rPr>
        <w:t>78,15%</w:t>
      </w:r>
      <w:r w:rsidRPr="00C6675B">
        <w:rPr>
          <w:rFonts w:cstheme="minorHAnsi"/>
          <w:color w:val="000000"/>
          <w:lang w:val="pl-PL"/>
        </w:rPr>
        <w:t xml:space="preserve"> średniego wynagrodzenia brutto w Polsce. </w:t>
      </w:r>
    </w:p>
    <w:p w14:paraId="58FEA801" w14:textId="16AC5414" w:rsidR="00C6675B" w:rsidRPr="00C6675B" w:rsidRDefault="00C6675B" w:rsidP="00C6675B">
      <w:pPr>
        <w:spacing w:before="100" w:beforeAutospacing="1" w:after="100" w:afterAutospacing="1" w:line="240" w:lineRule="auto"/>
        <w:contextualSpacing/>
        <w:jc w:val="both"/>
        <w:rPr>
          <w:rFonts w:cstheme="minorHAnsi"/>
          <w:color w:val="000000"/>
          <w:lang w:val="pl-PL"/>
        </w:rPr>
      </w:pPr>
    </w:p>
    <w:p w14:paraId="3C801923" w14:textId="6C223EE8" w:rsidR="00C6675B" w:rsidRPr="00C6675B" w:rsidRDefault="00834A24" w:rsidP="00C6675B">
      <w:pPr>
        <w:spacing w:before="100" w:beforeAutospacing="1" w:after="100" w:afterAutospacing="1" w:line="240" w:lineRule="auto"/>
        <w:contextualSpacing/>
        <w:jc w:val="both"/>
        <w:rPr>
          <w:rFonts w:cstheme="minorHAnsi"/>
          <w:color w:val="000000"/>
          <w:lang w:val="pl-PL"/>
        </w:rPr>
      </w:pPr>
      <w:r>
        <w:rPr>
          <w:rFonts w:cstheme="minorHAnsi"/>
          <w:i/>
          <w:iCs/>
          <w:noProof/>
        </w:rPr>
        <mc:AlternateContent>
          <mc:Choice Requires="wps">
            <w:drawing>
              <wp:anchor distT="0" distB="0" distL="114300" distR="114300" simplePos="0" relativeHeight="251658281" behindDoc="0" locked="0" layoutInCell="1" allowOverlap="1" wp14:anchorId="4DE98426" wp14:editId="1A867DA5">
                <wp:simplePos x="0" y="0"/>
                <wp:positionH relativeFrom="margin">
                  <wp:posOffset>524510</wp:posOffset>
                </wp:positionH>
                <wp:positionV relativeFrom="paragraph">
                  <wp:posOffset>13335</wp:posOffset>
                </wp:positionV>
                <wp:extent cx="5234940" cy="1424940"/>
                <wp:effectExtent l="0" t="0" r="22860" b="22860"/>
                <wp:wrapNone/>
                <wp:docPr id="81" name="Pole tekstowe 81"/>
                <wp:cNvGraphicFramePr/>
                <a:graphic xmlns:a="http://schemas.openxmlformats.org/drawingml/2006/main">
                  <a:graphicData uri="http://schemas.microsoft.com/office/word/2010/wordprocessingShape">
                    <wps:wsp>
                      <wps:cNvSpPr txBox="1"/>
                      <wps:spPr>
                        <a:xfrm>
                          <a:off x="0" y="0"/>
                          <a:ext cx="5234940" cy="1424940"/>
                        </a:xfrm>
                        <a:prstGeom prst="rect">
                          <a:avLst/>
                        </a:prstGeom>
                        <a:solidFill>
                          <a:schemeClr val="accent1">
                            <a:lumMod val="20000"/>
                            <a:lumOff val="80000"/>
                          </a:schemeClr>
                        </a:solidFill>
                        <a:ln w="6350">
                          <a:solidFill>
                            <a:schemeClr val="accent1"/>
                          </a:solidFill>
                        </a:ln>
                      </wps:spPr>
                      <wps:txbx>
                        <w:txbxContent>
                          <w:p w14:paraId="6A322954" w14:textId="3BB3890E" w:rsidR="00B14787" w:rsidRPr="00AA3128" w:rsidRDefault="00B14787" w:rsidP="00AA3128">
                            <w:pPr>
                              <w:ind w:left="0"/>
                              <w:jc w:val="both"/>
                              <w:rPr>
                                <w:rFonts w:cstheme="minorHAnsi"/>
                                <w:szCs w:val="24"/>
                                <w:lang w:val="pl-PL"/>
                              </w:rPr>
                            </w:pPr>
                            <w:r w:rsidRPr="00AA3128">
                              <w:rPr>
                                <w:rFonts w:cstheme="minorHAnsi"/>
                                <w:szCs w:val="24"/>
                                <w:lang w:val="pl-PL"/>
                              </w:rPr>
                              <w:t xml:space="preserve">Dla </w:t>
                            </w:r>
                            <w:r w:rsidRPr="00AA3128">
                              <w:rPr>
                                <w:rFonts w:cstheme="minorHAnsi"/>
                                <w:b/>
                                <w:bCs/>
                                <w:szCs w:val="24"/>
                                <w:lang w:val="pl-PL"/>
                              </w:rPr>
                              <w:t>78,61%</w:t>
                            </w:r>
                            <w:r w:rsidRPr="00AA3128">
                              <w:rPr>
                                <w:rFonts w:cstheme="minorHAnsi"/>
                                <w:szCs w:val="24"/>
                                <w:lang w:val="pl-PL"/>
                              </w:rPr>
                              <w:t xml:space="preserve"> badanych uczniów ostatnich klas szkół średnich i </w:t>
                            </w:r>
                            <w:r w:rsidRPr="00AA3128">
                              <w:rPr>
                                <w:rFonts w:cstheme="minorHAnsi"/>
                                <w:b/>
                                <w:bCs/>
                                <w:szCs w:val="24"/>
                                <w:lang w:val="pl-PL"/>
                              </w:rPr>
                              <w:t>82,92%</w:t>
                            </w:r>
                            <w:r w:rsidRPr="00AA3128">
                              <w:rPr>
                                <w:rFonts w:cstheme="minorHAnsi"/>
                                <w:szCs w:val="24"/>
                                <w:lang w:val="pl-PL"/>
                              </w:rPr>
                              <w:t xml:space="preserve"> badanych mieszkańców Południowych Mazur </w:t>
                            </w:r>
                            <w:r w:rsidRPr="00AA3128">
                              <w:rPr>
                                <w:rFonts w:cstheme="minorHAnsi"/>
                                <w:b/>
                                <w:bCs/>
                                <w:szCs w:val="24"/>
                                <w:lang w:val="pl-PL"/>
                              </w:rPr>
                              <w:t>wysokość zarobków i płac jest słabą stroną obszaru.</w:t>
                            </w:r>
                            <w:r w:rsidRPr="00AA3128">
                              <w:rPr>
                                <w:rFonts w:cstheme="minorHAnsi"/>
                                <w:szCs w:val="24"/>
                                <w:lang w:val="pl-PL"/>
                              </w:rPr>
                              <w:t xml:space="preserve"> Jednocześnie dobrobyt, stabilność finansowa i niezależność ekonomiczna jest</w:t>
                            </w:r>
                            <w:r>
                              <w:rPr>
                                <w:rFonts w:cstheme="minorHAnsi"/>
                                <w:szCs w:val="24"/>
                                <w:lang w:val="pl-PL"/>
                              </w:rPr>
                              <w:t xml:space="preserve"> </w:t>
                            </w:r>
                            <w:r w:rsidRPr="00AA3128">
                              <w:rPr>
                                <w:rFonts w:cstheme="minorHAnsi"/>
                                <w:szCs w:val="24"/>
                                <w:lang w:val="pl-PL"/>
                              </w:rPr>
                              <w:t>najważniejszym (zaraz po rodzinie) aspektem życia (</w:t>
                            </w:r>
                            <w:r w:rsidRPr="00AA3128">
                              <w:rPr>
                                <w:rFonts w:cstheme="minorHAnsi"/>
                                <w:b/>
                                <w:bCs/>
                                <w:szCs w:val="24"/>
                                <w:lang w:val="pl-PL"/>
                              </w:rPr>
                              <w:t>62,98%</w:t>
                            </w:r>
                            <w:r w:rsidRPr="00AA3128">
                              <w:rPr>
                                <w:rFonts w:cstheme="minorHAnsi"/>
                                <w:szCs w:val="24"/>
                                <w:lang w:val="pl-PL"/>
                              </w:rPr>
                              <w:t xml:space="preserve"> wskazań młodzieży).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E98426" id="Pole tekstowe 81" o:spid="_x0000_s1046" type="#_x0000_t202" style="position:absolute;left:0;text-align:left;margin-left:41.3pt;margin-top:1.05pt;width:412.2pt;height:112.2pt;z-index:25165828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" fillcolor="#d9e2f3 [660]" strokecolor="#4472c4 [3204]" strokeweight=".5pt">
                <v:textbox>
                  <w:txbxContent>
                    <w:p w14:paraId="6A322954" w14:textId="3BB3890E" w:rsidR="00B14787" w:rsidRPr="00AA3128" w:rsidRDefault="00B14787" w:rsidP="00AA3128">
                      <w:pPr>
                        <w:ind w:left="0"/>
                        <w:jc w:val="both"/>
                        <w:rPr>
                          <w:rFonts w:cstheme="minorHAnsi"/>
                          <w:szCs w:val="24"/>
                          <w:lang w:val="pl-PL"/>
                        </w:rPr>
                      </w:pPr>
                      <w:r w:rsidRPr="00AA3128">
                        <w:rPr>
                          <w:rFonts w:cstheme="minorHAnsi"/>
                          <w:szCs w:val="24"/>
                          <w:lang w:val="pl-PL"/>
                        </w:rPr>
                        <w:t xml:space="preserve">Dla </w:t>
                      </w:r>
                      <w:r w:rsidRPr="00AA3128">
                        <w:rPr>
                          <w:rFonts w:cstheme="minorHAnsi"/>
                          <w:b/>
                          <w:bCs/>
                          <w:szCs w:val="24"/>
                          <w:lang w:val="pl-PL"/>
                        </w:rPr>
                        <w:t>78,61%</w:t>
                      </w:r>
                      <w:r w:rsidRPr="00AA3128">
                        <w:rPr>
                          <w:rFonts w:cstheme="minorHAnsi"/>
                          <w:szCs w:val="24"/>
                          <w:lang w:val="pl-PL"/>
                        </w:rPr>
                        <w:t xml:space="preserve"> badanych uczniów ostatnich klas szkół średnich i </w:t>
                      </w:r>
                      <w:r w:rsidRPr="00AA3128">
                        <w:rPr>
                          <w:rFonts w:cstheme="minorHAnsi"/>
                          <w:b/>
                          <w:bCs/>
                          <w:szCs w:val="24"/>
                          <w:lang w:val="pl-PL"/>
                        </w:rPr>
                        <w:t>82,92%</w:t>
                      </w:r>
                      <w:r w:rsidRPr="00AA3128">
                        <w:rPr>
                          <w:rFonts w:cstheme="minorHAnsi"/>
                          <w:szCs w:val="24"/>
                          <w:lang w:val="pl-PL"/>
                        </w:rPr>
                        <w:t xml:space="preserve"> badanych mieszkańców Południowych Mazur </w:t>
                      </w:r>
                      <w:r w:rsidRPr="00AA3128">
                        <w:rPr>
                          <w:rFonts w:cstheme="minorHAnsi"/>
                          <w:b/>
                          <w:bCs/>
                          <w:szCs w:val="24"/>
                          <w:lang w:val="pl-PL"/>
                        </w:rPr>
                        <w:t>wysokość zarobków i płac jest słabą stroną obszaru.</w:t>
                      </w:r>
                      <w:r w:rsidRPr="00AA3128">
                        <w:rPr>
                          <w:rFonts w:cstheme="minorHAnsi"/>
                          <w:szCs w:val="24"/>
                          <w:lang w:val="pl-PL"/>
                        </w:rPr>
                        <w:t xml:space="preserve"> Jednocześnie dobrobyt, stabilność finansowa i niezależność ekonomiczna jest</w:t>
                      </w:r>
                      <w:r>
                        <w:rPr>
                          <w:rFonts w:cstheme="minorHAnsi"/>
                          <w:szCs w:val="24"/>
                          <w:lang w:val="pl-PL"/>
                        </w:rPr>
                        <w:t xml:space="preserve"> </w:t>
                      </w:r>
                      <w:r w:rsidRPr="00AA3128">
                        <w:rPr>
                          <w:rFonts w:cstheme="minorHAnsi"/>
                          <w:szCs w:val="24"/>
                          <w:lang w:val="pl-PL"/>
                        </w:rPr>
                        <w:t>najważniejszym (zaraz po rodzinie) aspektem życia (</w:t>
                      </w:r>
                      <w:r w:rsidRPr="00AA3128">
                        <w:rPr>
                          <w:rFonts w:cstheme="minorHAnsi"/>
                          <w:b/>
                          <w:bCs/>
                          <w:szCs w:val="24"/>
                          <w:lang w:val="pl-PL"/>
                        </w:rPr>
                        <w:t>62,98%</w:t>
                      </w:r>
                      <w:r w:rsidRPr="00AA3128">
                        <w:rPr>
                          <w:rFonts w:cstheme="minorHAnsi"/>
                          <w:szCs w:val="24"/>
                          <w:lang w:val="pl-PL"/>
                        </w:rPr>
                        <w:t xml:space="preserve"> wskazań młodzieży). </w:t>
                      </w:r>
                    </w:p>
                  </w:txbxContent>
                </v:textbox>
                <w10:wrap anchorx="margin"/>
              </v:shape>
            </w:pict>
          </mc:Fallback>
        </mc:AlternateContent>
      </w:r>
    </w:p>
    <w:p w14:paraId="19512756" w14:textId="3F629822" w:rsidR="00C6675B" w:rsidRPr="00B50B20" w:rsidRDefault="00C6675B" w:rsidP="00C6675B">
      <w:pPr>
        <w:spacing w:before="100" w:beforeAutospacing="1" w:after="100" w:afterAutospacing="1" w:line="240" w:lineRule="auto"/>
        <w:contextualSpacing/>
        <w:jc w:val="both"/>
        <w:rPr>
          <w:rFonts w:cstheme="minorHAnsi"/>
          <w:noProof/>
          <w:color w:val="001133"/>
          <w:shd w:val="clear" w:color="auto" w:fill="FFFFFF"/>
          <w:lang w:val="pl-PL"/>
        </w:rPr>
      </w:pPr>
    </w:p>
    <w:p w14:paraId="2A250822" w14:textId="270F9876" w:rsidR="00834A24" w:rsidRPr="00B50B20" w:rsidRDefault="00834A24" w:rsidP="00C6675B">
      <w:pPr>
        <w:spacing w:before="100" w:beforeAutospacing="1" w:after="100" w:afterAutospacing="1" w:line="240" w:lineRule="auto"/>
        <w:contextualSpacing/>
        <w:jc w:val="both"/>
        <w:rPr>
          <w:rFonts w:cstheme="minorHAnsi"/>
          <w:noProof/>
          <w:color w:val="001133"/>
          <w:shd w:val="clear" w:color="auto" w:fill="FFFFFF"/>
          <w:lang w:val="pl-PL"/>
        </w:rPr>
      </w:pPr>
    </w:p>
    <w:p w14:paraId="1C58A12A" w14:textId="0F2B87E0" w:rsidR="00834A24" w:rsidRPr="00B50B20" w:rsidRDefault="00834A24" w:rsidP="00C6675B">
      <w:pPr>
        <w:spacing w:before="100" w:beforeAutospacing="1" w:after="100" w:afterAutospacing="1" w:line="240" w:lineRule="auto"/>
        <w:contextualSpacing/>
        <w:jc w:val="both"/>
        <w:rPr>
          <w:rFonts w:cstheme="minorHAnsi"/>
          <w:noProof/>
          <w:color w:val="001133"/>
          <w:shd w:val="clear" w:color="auto" w:fill="FFFFFF"/>
          <w:lang w:val="pl-PL"/>
        </w:rPr>
      </w:pPr>
    </w:p>
    <w:p w14:paraId="14085805" w14:textId="77777777" w:rsidR="00834A24" w:rsidRPr="00B50B20" w:rsidRDefault="00834A24" w:rsidP="00C6675B">
      <w:pPr>
        <w:spacing w:before="100" w:beforeAutospacing="1" w:after="100" w:afterAutospacing="1" w:line="240" w:lineRule="auto"/>
        <w:contextualSpacing/>
        <w:jc w:val="both"/>
        <w:rPr>
          <w:rFonts w:cstheme="minorHAnsi"/>
          <w:color w:val="000000"/>
          <w:lang w:val="pl-PL"/>
        </w:rPr>
      </w:pPr>
    </w:p>
    <w:p w14:paraId="595EDCFE" w14:textId="77777777" w:rsidR="00C6675B" w:rsidRPr="00B50B20" w:rsidRDefault="00C6675B" w:rsidP="00C6675B">
      <w:pPr>
        <w:spacing w:before="100" w:beforeAutospacing="1" w:after="100" w:afterAutospacing="1" w:line="240" w:lineRule="auto"/>
        <w:contextualSpacing/>
        <w:jc w:val="both"/>
        <w:rPr>
          <w:rFonts w:cstheme="minorHAnsi"/>
          <w:color w:val="000000"/>
          <w:lang w:val="pl-PL"/>
        </w:rPr>
      </w:pPr>
    </w:p>
    <w:p w14:paraId="1A04A3B7" w14:textId="3F097634" w:rsidR="00834A24" w:rsidRPr="00834A24" w:rsidRDefault="00C6675B" w:rsidP="00834A24">
      <w:pPr>
        <w:spacing w:line="259" w:lineRule="auto"/>
        <w:rPr>
          <w:rFonts w:cstheme="minorHAnsi"/>
          <w:shd w:val="clear" w:color="auto" w:fill="FFFFFF"/>
          <w:lang w:val="pl-PL"/>
        </w:rPr>
      </w:pPr>
      <w:r w:rsidRPr="00C6675B">
        <w:rPr>
          <w:rFonts w:cstheme="minorHAnsi"/>
          <w:color w:val="333333"/>
          <w:shd w:val="clear" w:color="auto" w:fill="FFFFFF"/>
          <w:lang w:val="pl-PL"/>
        </w:rPr>
        <w:br/>
      </w:r>
      <w:r w:rsidRPr="00C6675B">
        <w:rPr>
          <w:rFonts w:cstheme="minorHAnsi"/>
          <w:color w:val="333333"/>
          <w:shd w:val="clear" w:color="auto" w:fill="FFFFFF"/>
          <w:lang w:val="pl-PL"/>
        </w:rPr>
        <w:br/>
      </w:r>
      <w:r w:rsidRPr="00C6675B">
        <w:rPr>
          <w:rFonts w:cstheme="minorHAnsi"/>
          <w:shd w:val="clear" w:color="auto" w:fill="FFFFFF"/>
          <w:lang w:val="pl-PL"/>
        </w:rPr>
        <w:br/>
      </w:r>
      <w:r w:rsidRPr="00C6675B">
        <w:rPr>
          <w:rFonts w:cstheme="minorHAnsi"/>
          <w:shd w:val="clear" w:color="auto" w:fill="FFFFFF"/>
          <w:lang w:val="pl-PL"/>
        </w:rPr>
        <w:lastRenderedPageBreak/>
        <w:t xml:space="preserve">Brak odpowiednich ofert pracy oraz niesatysfakcjonująca wysokość zarobków, </w:t>
      </w:r>
      <w:r w:rsidR="00834A24">
        <w:rPr>
          <w:rFonts w:cstheme="minorHAnsi"/>
          <w:shd w:val="clear" w:color="auto" w:fill="FFFFFF"/>
          <w:lang w:val="pl-PL"/>
        </w:rPr>
        <w:br/>
      </w:r>
      <w:r w:rsidRPr="00C6675B">
        <w:rPr>
          <w:rFonts w:cstheme="minorHAnsi"/>
          <w:shd w:val="clear" w:color="auto" w:fill="FFFFFF"/>
          <w:lang w:val="pl-PL"/>
        </w:rPr>
        <w:t xml:space="preserve">w powiązaniu z planami zawodowymi i życiowymi młodzieży (respondenci za najbardziej atrakcyjny rodzaj pracy uznali pracę najemną) może skutkować odpływem młodych ludzi z Południowych Mazur i tym samym wzmacniać niekorzystną sytuację w zakresie zasobów pracy.  </w:t>
      </w:r>
    </w:p>
    <w:p w14:paraId="75DC3C9B" w14:textId="3C75D696" w:rsidR="001E162D" w:rsidRPr="00690E7F" w:rsidRDefault="007D6B09" w:rsidP="00733091">
      <w:pPr>
        <w:pStyle w:val="Nagwek4"/>
        <w:spacing w:before="120" w:after="240"/>
      </w:pPr>
      <w:r w:rsidRPr="007D6B09">
        <w:t>Bezrobocie na terenie Południowych Mazur</w:t>
      </w:r>
    </w:p>
    <w:p w14:paraId="54F09DDC" w14:textId="517D6D4D" w:rsidR="00577383" w:rsidRPr="00733091" w:rsidRDefault="00577383" w:rsidP="00FB5B78">
      <w:pPr>
        <w:rPr>
          <w:lang w:val="pl-PL"/>
        </w:rPr>
      </w:pPr>
      <w:r w:rsidRPr="00733091">
        <w:rPr>
          <w:lang w:val="pl-PL"/>
        </w:rPr>
        <w:t xml:space="preserve">Stopa bezrobocia rejestrowanego na terenie Południowych Mazur wynosiła </w:t>
      </w:r>
      <w:r w:rsidR="00834A24">
        <w:rPr>
          <w:lang w:val="pl-PL"/>
        </w:rPr>
        <w:br/>
      </w:r>
      <w:r w:rsidRPr="00733091">
        <w:rPr>
          <w:lang w:val="pl-PL"/>
        </w:rPr>
        <w:t xml:space="preserve">w 2019 r. </w:t>
      </w:r>
      <w:r w:rsidRPr="00733091">
        <w:rPr>
          <w:b/>
          <w:bCs/>
          <w:lang w:val="pl-PL"/>
        </w:rPr>
        <w:t>10,4%</w:t>
      </w:r>
      <w:r w:rsidRPr="00733091">
        <w:rPr>
          <w:lang w:val="pl-PL"/>
        </w:rPr>
        <w:t xml:space="preserve"> i była wyższa</w:t>
      </w:r>
      <w:r>
        <w:rPr>
          <w:rStyle w:val="Odwoanieprzypisudolnego"/>
          <w:rFonts w:cstheme="minorHAnsi"/>
        </w:rPr>
        <w:footnoteReference w:id="81"/>
      </w:r>
      <w:r w:rsidRPr="00733091">
        <w:rPr>
          <w:lang w:val="pl-PL"/>
        </w:rPr>
        <w:t xml:space="preserve"> niż w województwie warmińsko-mazurskim (9,0%) </w:t>
      </w:r>
      <w:r w:rsidR="00834A24">
        <w:rPr>
          <w:lang w:val="pl-PL"/>
        </w:rPr>
        <w:br/>
      </w:r>
      <w:r w:rsidRPr="00733091">
        <w:rPr>
          <w:lang w:val="pl-PL"/>
        </w:rPr>
        <w:t>i w kraju (5,2%).</w:t>
      </w:r>
    </w:p>
    <w:p w14:paraId="43A2CEBB" w14:textId="68D697CB" w:rsidR="00577383" w:rsidRPr="00733091" w:rsidRDefault="00577383" w:rsidP="00CC55AA">
      <w:pPr>
        <w:rPr>
          <w:lang w:val="pl-PL"/>
        </w:rPr>
      </w:pPr>
      <w:r w:rsidRPr="00733091">
        <w:rPr>
          <w:lang w:val="pl-PL"/>
        </w:rPr>
        <w:t>Wskaźnik udziału bezrobotnych zarejestrowanych w liczbie ludności w wieku produkcyjnym w 2019 r. wyniósł 5,3% i był porównywalny ze wskaźnikiem wojewódzkim</w:t>
      </w:r>
      <w:r w:rsidRPr="00F6702F">
        <w:rPr>
          <w:rStyle w:val="Odwoanieprzypisudolnego"/>
          <w:rFonts w:cstheme="minorHAnsi"/>
        </w:rPr>
        <w:footnoteReference w:id="82"/>
      </w:r>
      <w:r w:rsidRPr="00733091">
        <w:rPr>
          <w:lang w:val="pl-PL"/>
        </w:rPr>
        <w:t xml:space="preserve"> (5,2%) i gorszy od krajowego (3,8%). </w:t>
      </w:r>
      <w:r w:rsidRPr="00733091">
        <w:rPr>
          <w:shd w:val="clear" w:color="auto" w:fill="FFFFFF"/>
          <w:lang w:val="pl-PL"/>
        </w:rPr>
        <w:t>W okresie od 2009-2019 zmniejszyła się liczba osób pozostających bez pracy na terenie Południowych Mazur o 59,94%, co można uznać za zjawisko pozytywne</w:t>
      </w:r>
      <w:r w:rsidR="0048506E">
        <w:rPr>
          <w:shd w:val="clear" w:color="auto" w:fill="FFFFFF"/>
          <w:lang w:val="pl-PL"/>
        </w:rPr>
        <w:t>, j</w:t>
      </w:r>
      <w:r w:rsidRPr="00733091">
        <w:rPr>
          <w:shd w:val="clear" w:color="auto" w:fill="FFFFFF"/>
          <w:lang w:val="pl-PL"/>
        </w:rPr>
        <w:t>ednakże sytuacja w tym zakresie znacznie różnicowała obszary Południowych Mazur</w:t>
      </w:r>
      <w:r w:rsidRPr="00F6702F">
        <w:rPr>
          <w:rStyle w:val="Odwoanieprzypisudolnego"/>
          <w:rFonts w:cstheme="minorHAnsi"/>
          <w:shd w:val="clear" w:color="auto" w:fill="FFFFFF"/>
        </w:rPr>
        <w:footnoteReference w:id="83"/>
      </w:r>
      <w:r w:rsidRPr="00733091">
        <w:rPr>
          <w:shd w:val="clear" w:color="auto" w:fill="FFFFFF"/>
          <w:lang w:val="pl-PL"/>
        </w:rPr>
        <w:t>.</w:t>
      </w:r>
    </w:p>
    <w:p w14:paraId="08CDC131" w14:textId="244AAAAD" w:rsidR="00577383" w:rsidRPr="00733091" w:rsidRDefault="00577383" w:rsidP="00FB5B78">
      <w:pPr>
        <w:rPr>
          <w:lang w:val="pl-PL"/>
        </w:rPr>
      </w:pPr>
      <w:r w:rsidRPr="00733091">
        <w:rPr>
          <w:lang w:val="pl-PL"/>
        </w:rPr>
        <w:t>W 2019 r. grupę bezrobotnych tworzyły osoby w różnym wieku, głównie młode - do 35 roku życia (41,3%), z czego ponad połowa (64,7%) mieściła się w przedziale 25-34 lata. W latach 2009-2019 odsetek osób młodych pozostających bez pracy uległ redukcji, co widoczne było zwłaszcza w grupie poniżej 24 roku życia (w której wskaźnik udziału zmniejszył się o 8,5 pkt. proc.) W tym samym okresie wzrósł odsetek bezrobotnych powyżej 55 roku życia (o 10,2 pkt proc.).</w:t>
      </w:r>
    </w:p>
    <w:p w14:paraId="58792D85" w14:textId="77777777" w:rsidR="00577383" w:rsidRPr="00733091" w:rsidRDefault="00577383" w:rsidP="00733091">
      <w:pPr>
        <w:rPr>
          <w:color w:val="2C2C2C"/>
          <w:shd w:val="clear" w:color="auto" w:fill="FFFFFF"/>
          <w:lang w:val="pl-PL"/>
        </w:rPr>
      </w:pPr>
      <w:r w:rsidRPr="00733091">
        <w:rPr>
          <w:lang w:val="pl-PL"/>
        </w:rPr>
        <w:t>Większość osób (31,7%) pozostawała bez zatrudnienia przez krótki czas (do 3 miesięcy), choć widoczna była też spora grupa długotrwale bezrobotnych, tzn. powyżej 24 miesięcy (20,9%). Znaczny odsetek pozostających bez pracy posiadał niewielkie doświadczenie, liczone w miesiącach (1-12) (17,8%) lub latach (1-5) (27,9%).</w:t>
      </w:r>
    </w:p>
    <w:p w14:paraId="4FD250B5" w14:textId="22378606" w:rsidR="001E162D" w:rsidRPr="00690E7F" w:rsidRDefault="00C709E6" w:rsidP="00733091">
      <w:pPr>
        <w:pStyle w:val="Nagwek3"/>
        <w:spacing w:after="240"/>
        <w:rPr>
          <w:lang w:val="en-US"/>
        </w:rPr>
      </w:pPr>
      <w:bookmarkStart w:id="122" w:name="_Toc69725445"/>
      <w:r w:rsidRPr="00C709E6">
        <w:rPr>
          <w:lang w:val="en-US"/>
        </w:rPr>
        <w:lastRenderedPageBreak/>
        <w:t>Potencjał ekonomiczny społeczności lokalnej</w:t>
      </w:r>
      <w:bookmarkEnd w:id="122"/>
    </w:p>
    <w:p w14:paraId="54D77F61" w14:textId="411E1863" w:rsidR="00577383" w:rsidRPr="00733091" w:rsidRDefault="00577383" w:rsidP="00FB5B78">
      <w:pPr>
        <w:rPr>
          <w:lang w:val="pl-PL"/>
        </w:rPr>
      </w:pPr>
      <w:r w:rsidRPr="00733091">
        <w:rPr>
          <w:lang w:val="pl-PL"/>
        </w:rPr>
        <w:t>Potencjał ekonomiczny mieszkańców Południowych Mazur wyznaczany jest wysokością przychodów, jakie mieszkańcy osiągają z tytułu prowadzonej działalności gospodarczej, pracy najemnej lub kapitału. Potencjał ten nie tylko decyduje o jakości życia mieszkańców, ale również warunkuje skłonność do podejmowania działań inwestycyjnych, wpływających na rozwój obszaru.</w:t>
      </w:r>
    </w:p>
    <w:p w14:paraId="7A2F1001" w14:textId="05C004BF" w:rsidR="00577383" w:rsidRPr="00733091" w:rsidRDefault="00577383" w:rsidP="00CC55AA">
      <w:pPr>
        <w:rPr>
          <w:lang w:val="pl-PL"/>
        </w:rPr>
      </w:pPr>
      <w:r w:rsidRPr="00733091">
        <w:rPr>
          <w:lang w:val="pl-PL"/>
        </w:rPr>
        <w:t>Potencjał ekonomiczny mieszkańców Południowych Mazur jest stosunkowo niski, jednakże polepszał się w badanym okresie (2009-2019).</w:t>
      </w:r>
    </w:p>
    <w:p w14:paraId="41BAB78A" w14:textId="77777777" w:rsidR="00FB5B78" w:rsidRDefault="00577383" w:rsidP="00FB5B78">
      <w:pPr>
        <w:rPr>
          <w:rFonts w:eastAsia="Times New Roman" w:cstheme="minorHAnsi"/>
          <w:lang w:val="pl-PL" w:eastAsia="pl-PL"/>
        </w:rPr>
      </w:pPr>
      <w:r w:rsidRPr="00733091">
        <w:rPr>
          <w:rFonts w:cstheme="minorHAnsi"/>
          <w:lang w:val="pl-PL"/>
        </w:rPr>
        <w:t xml:space="preserve">W okresie 2012-2019 wzrosła liczba mieszkańców prowadzących działalność gospodarczą (o 7,55% z 11.942 w 2012 r. do 15.595 w 2019 r.). Jednocześnie o 82,62% wzrosły przychody do budżetu JST z tytułu prowadzonej działalności gospodarczej (z </w:t>
      </w:r>
      <w:r w:rsidRPr="00733091">
        <w:rPr>
          <w:rFonts w:eastAsia="Times New Roman" w:cstheme="minorHAnsi"/>
          <w:lang w:val="pl-PL" w:eastAsia="pl-PL"/>
        </w:rPr>
        <w:t>2.506.296,18 zł w 2009 r. do 4.577.013,95 zł w</w:t>
      </w:r>
      <w:r w:rsidR="00FB5B78">
        <w:rPr>
          <w:rFonts w:eastAsia="Times New Roman" w:cstheme="minorHAnsi"/>
          <w:lang w:val="pl-PL" w:eastAsia="pl-PL"/>
        </w:rPr>
        <w:t xml:space="preserve"> </w:t>
      </w:r>
      <w:r w:rsidRPr="00733091">
        <w:rPr>
          <w:rFonts w:eastAsia="Times New Roman" w:cstheme="minorHAnsi"/>
          <w:lang w:val="pl-PL" w:eastAsia="pl-PL"/>
        </w:rPr>
        <w:t>2019 r.)</w:t>
      </w:r>
    </w:p>
    <w:p w14:paraId="46E5A444" w14:textId="3CAC86C3" w:rsidR="00577383" w:rsidRPr="00FB5B78" w:rsidRDefault="00577383" w:rsidP="00FB5B78">
      <w:pPr>
        <w:rPr>
          <w:rFonts w:eastAsia="Times New Roman" w:cstheme="minorHAnsi"/>
          <w:lang w:val="pl-PL" w:eastAsia="pl-PL"/>
        </w:rPr>
      </w:pPr>
      <w:r w:rsidRPr="00733091">
        <w:rPr>
          <w:lang w:val="pl-PL"/>
        </w:rPr>
        <w:t xml:space="preserve">W opisywanym okresie wzrosły również przychody do budżetu jednostek samorządowych z ich udziału w podatkach z tytułu </w:t>
      </w:r>
      <w:r w:rsidRPr="00733091">
        <w:rPr>
          <w:rFonts w:cstheme="minorHAnsi"/>
          <w:lang w:val="pl-PL"/>
        </w:rPr>
        <w:t xml:space="preserve">zatrudnienia (wzrost o 118,13% z </w:t>
      </w:r>
      <w:r w:rsidRPr="00733091">
        <w:rPr>
          <w:rFonts w:eastAsia="Times New Roman" w:cstheme="minorHAnsi"/>
          <w:lang w:val="pl-PL" w:eastAsia="pl-PL"/>
        </w:rPr>
        <w:t xml:space="preserve">67.426.159,00 zł </w:t>
      </w:r>
      <w:r w:rsidRPr="00733091">
        <w:rPr>
          <w:rFonts w:cstheme="minorHAnsi"/>
          <w:lang w:val="pl-PL"/>
        </w:rPr>
        <w:t xml:space="preserve">w 2009 r. do </w:t>
      </w:r>
      <w:r w:rsidRPr="00733091">
        <w:rPr>
          <w:rFonts w:eastAsia="Times New Roman" w:cstheme="minorHAnsi"/>
          <w:lang w:val="pl-PL" w:eastAsia="pl-PL"/>
        </w:rPr>
        <w:t>147.075.982,00 zł w 2019 r.).</w:t>
      </w:r>
      <w:r w:rsidRPr="00733091">
        <w:rPr>
          <w:rFonts w:ascii="Courier New" w:eastAsia="Times New Roman" w:hAnsi="Courier New" w:cs="Courier New"/>
          <w:color w:val="5E5E5E"/>
          <w:sz w:val="20"/>
          <w:szCs w:val="20"/>
          <w:lang w:val="pl-PL" w:eastAsia="pl-PL"/>
        </w:rPr>
        <w:t xml:space="preserve"> </w:t>
      </w:r>
      <w:r w:rsidRPr="00733091">
        <w:rPr>
          <w:lang w:val="pl-PL"/>
        </w:rPr>
        <w:t>Ma to bezpośredni związek ze wzrostem liczby osób zatrudnionych na terenie Południowych Mazur</w:t>
      </w:r>
      <w:r>
        <w:rPr>
          <w:rStyle w:val="Odwoanieprzypisudolnego"/>
        </w:rPr>
        <w:footnoteReference w:id="84"/>
      </w:r>
      <w:r w:rsidRPr="00733091">
        <w:rPr>
          <w:lang w:val="pl-PL"/>
        </w:rPr>
        <w:t>oraz spadkiem liczby osób bezrobotnych (ze 121.428 w 2009 r. na 45.130 osób w 2019 r.).</w:t>
      </w:r>
    </w:p>
    <w:p w14:paraId="72DB8FA1" w14:textId="690870BF" w:rsidR="00577383" w:rsidRDefault="00577383" w:rsidP="00733091">
      <w:pPr>
        <w:rPr>
          <w:rFonts w:ascii="Courier New" w:eastAsia="Times New Roman" w:hAnsi="Courier New" w:cs="Courier New"/>
          <w:b/>
          <w:bCs/>
          <w:color w:val="5E5E5E"/>
          <w:sz w:val="20"/>
          <w:szCs w:val="20"/>
          <w:lang w:val="pl-PL" w:eastAsia="pl-PL"/>
        </w:rPr>
      </w:pPr>
      <w:r w:rsidRPr="00733091">
        <w:rPr>
          <w:lang w:val="pl-PL"/>
        </w:rPr>
        <w:t xml:space="preserve">Jednocześnie wzrosła zdolność mieszkańców do kumulowania kapitału. </w:t>
      </w:r>
      <w:r w:rsidRPr="00733091">
        <w:rPr>
          <w:rFonts w:cstheme="minorHAnsi"/>
          <w:color w:val="000000" w:themeColor="text1"/>
          <w:lang w:val="pl-PL"/>
        </w:rPr>
        <w:t xml:space="preserve">Dochody od osób fizycznych z podatku od nieruchomości, rolnego i leśnego przypadające na 1000 osób w wieku produkcyjnym </w:t>
      </w:r>
      <w:r w:rsidRPr="00733091">
        <w:rPr>
          <w:rFonts w:cstheme="minorHAnsi"/>
          <w:lang w:val="pl-PL"/>
        </w:rPr>
        <w:t xml:space="preserve">zwiększyły się o 78,56% w latach 2009-2019 (z </w:t>
      </w:r>
      <w:r w:rsidRPr="00733091">
        <w:rPr>
          <w:rFonts w:eastAsia="Times New Roman" w:cstheme="minorHAnsi"/>
          <w:lang w:val="pl-PL" w:eastAsia="pl-PL"/>
        </w:rPr>
        <w:t>64.903.192,18 zł</w:t>
      </w:r>
      <w:r w:rsidRPr="00733091">
        <w:rPr>
          <w:rFonts w:cstheme="minorHAnsi"/>
          <w:lang w:val="pl-PL"/>
        </w:rPr>
        <w:t xml:space="preserve"> w 2009 r. na </w:t>
      </w:r>
      <w:r w:rsidRPr="00733091">
        <w:rPr>
          <w:rFonts w:eastAsia="Times New Roman" w:cstheme="minorHAnsi"/>
          <w:lang w:val="pl-PL" w:eastAsia="pl-PL"/>
        </w:rPr>
        <w:t>115.882.483,67 zł  w 2019 r.)</w:t>
      </w:r>
      <w:r w:rsidRPr="00733091">
        <w:rPr>
          <w:rFonts w:ascii="Courier New" w:eastAsia="Times New Roman" w:hAnsi="Courier New" w:cs="Courier New"/>
          <w:b/>
          <w:bCs/>
          <w:color w:val="5E5E5E"/>
          <w:sz w:val="20"/>
          <w:szCs w:val="20"/>
          <w:lang w:val="pl-PL" w:eastAsia="pl-PL"/>
        </w:rPr>
        <w:t>.</w:t>
      </w:r>
    </w:p>
    <w:p w14:paraId="6C22115E" w14:textId="77777777" w:rsidR="00577383" w:rsidRPr="00733091" w:rsidRDefault="00577383" w:rsidP="00733091">
      <w:pPr>
        <w:rPr>
          <w:rFonts w:eastAsia="Times New Roman" w:cstheme="minorHAnsi"/>
          <w:lang w:val="pl-PL" w:eastAsia="pl-PL"/>
        </w:rPr>
      </w:pPr>
      <w:r w:rsidRPr="00733091">
        <w:rPr>
          <w:rFonts w:eastAsia="Times New Roman" w:cstheme="minorHAnsi"/>
          <w:lang w:val="pl-PL" w:eastAsia="pl-PL"/>
        </w:rPr>
        <w:t>Sytuację Południowych Mazur w ww. zakresie prezentuje poniższy wykres.</w:t>
      </w:r>
    </w:p>
    <w:p w14:paraId="720122FB" w14:textId="5B1D4C2F" w:rsidR="00577383" w:rsidRPr="00733091" w:rsidRDefault="00E50187" w:rsidP="002E24A9">
      <w:pPr>
        <w:pStyle w:val="Legenda"/>
        <w:rPr>
          <w:rFonts w:ascii="Courier New" w:eastAsia="Times New Roman" w:hAnsi="Courier New" w:cs="Courier New"/>
          <w:color w:val="5E5E5E"/>
          <w:lang w:val="pl-PL" w:eastAsia="pl-PL"/>
        </w:rPr>
      </w:pPr>
      <w:bookmarkStart w:id="123" w:name="_Toc69723203"/>
      <w:r w:rsidRPr="00733091">
        <w:rPr>
          <w:lang w:val="pl-PL"/>
        </w:rPr>
        <w:lastRenderedPageBreak/>
        <w:t xml:space="preserve">Wykres </w:t>
      </w:r>
      <w:r w:rsidR="00733091">
        <w:fldChar w:fldCharType="begin"/>
      </w:r>
      <w:r w:rsidR="00733091" w:rsidRPr="00733091">
        <w:rPr>
          <w:lang w:val="pl-PL"/>
        </w:rPr>
        <w:instrText xml:space="preserve"> SEQ Wykres \* ARABIC </w:instrText>
      </w:r>
      <w:r w:rsidR="00733091">
        <w:fldChar w:fldCharType="separate"/>
      </w:r>
      <w:r w:rsidR="00B14787">
        <w:rPr>
          <w:noProof/>
          <w:lang w:val="pl-PL"/>
        </w:rPr>
        <w:t>45</w:t>
      </w:r>
      <w:r w:rsidR="00733091">
        <w:rPr>
          <w:noProof/>
        </w:rPr>
        <w:fldChar w:fldCharType="end"/>
      </w:r>
      <w:r w:rsidRPr="00733091">
        <w:rPr>
          <w:lang w:val="pl-PL"/>
        </w:rPr>
        <w:t xml:space="preserve">: </w:t>
      </w:r>
      <w:r w:rsidR="00577383" w:rsidRPr="00733091">
        <w:rPr>
          <w:lang w:val="pl-PL"/>
        </w:rPr>
        <w:t>Dochody budżetu gmin Południowych Mazur według rodzaju wpływów</w:t>
      </w:r>
      <w:bookmarkEnd w:id="123"/>
    </w:p>
    <w:p w14:paraId="30A7DD50" w14:textId="77777777" w:rsidR="00577383" w:rsidRDefault="00577383" w:rsidP="00733091">
      <w:pPr>
        <w:pStyle w:val="podpiselementu"/>
        <w:spacing w:after="240"/>
        <w:rPr>
          <w:rFonts w:cstheme="minorHAnsi"/>
          <w:color w:val="000000" w:themeColor="text1"/>
        </w:rPr>
      </w:pPr>
      <w:r>
        <w:rPr>
          <w:noProof/>
        </w:rPr>
        <w:drawing>
          <wp:inline distT="0" distB="0" distL="0" distR="0" wp14:anchorId="6DB05A18" wp14:editId="65F8FDA1">
            <wp:extent cx="5760720" cy="2304415"/>
            <wp:effectExtent l="19050" t="19050" r="11430" b="15240"/>
            <wp:docPr id="197" name="Obraz 197" descr="wykres liniowy wskazujący dochody  budżetu partnerstwa z tytułu podatku od nieruchomości (kolor fioletowy), dochody budżetu partnerstwa z tytułu udziału w CIT (kolor zielony) w latach 2009-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Obraz 197" descr="wykres liniowy wskazujący dochody  budżetu partnerstwa z tytułu podatku od nieruchomości (kolor fioletowy), dochody budżetu partnerstwa z tytułu udziału w CIT (kolor zielony) w latach 2009-2019"/>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760720" cy="2304415"/>
                    </a:xfrm>
                    <a:prstGeom prst="rect">
                      <a:avLst/>
                    </a:prstGeom>
                    <a:noFill/>
                    <a:ln>
                      <a:solidFill>
                        <a:schemeClr val="tx2"/>
                      </a:solidFill>
                    </a:ln>
                  </pic:spPr>
                </pic:pic>
              </a:graphicData>
            </a:graphic>
          </wp:inline>
        </w:drawing>
      </w:r>
    </w:p>
    <w:p w14:paraId="26709396" w14:textId="41A7C47C" w:rsidR="00577383" w:rsidRPr="00703D43" w:rsidRDefault="00577383" w:rsidP="00703D43">
      <w:pPr>
        <w:pStyle w:val="podpiselementu"/>
        <w:spacing w:after="240"/>
        <w:rPr>
          <w:lang w:val="pl-PL"/>
        </w:rPr>
      </w:pPr>
      <w:r w:rsidRPr="00733091">
        <w:rPr>
          <w:lang w:val="pl-PL"/>
        </w:rPr>
        <w:t>Źródło: opracowanie ZMP na podstawie https://analizy.monitorrozwoju.pl</w:t>
      </w:r>
    </w:p>
    <w:p w14:paraId="47DAAE12" w14:textId="0B8A45D4" w:rsidR="00577383" w:rsidRPr="00733091" w:rsidRDefault="00577383" w:rsidP="00733091">
      <w:pPr>
        <w:contextualSpacing/>
        <w:rPr>
          <w:lang w:val="pl-PL"/>
        </w:rPr>
      </w:pPr>
      <w:r w:rsidRPr="00733091">
        <w:rPr>
          <w:rFonts w:cstheme="minorHAnsi"/>
          <w:color w:val="000000" w:themeColor="text1"/>
          <w:lang w:val="pl-PL"/>
        </w:rPr>
        <w:t xml:space="preserve">O nieznacznie </w:t>
      </w:r>
      <w:r w:rsidRPr="00733091">
        <w:rPr>
          <w:rFonts w:cstheme="minorHAnsi"/>
          <w:b/>
          <w:bCs/>
          <w:color w:val="000000" w:themeColor="text1"/>
          <w:lang w:val="pl-PL"/>
        </w:rPr>
        <w:t>rosnącym potencjale ekonomicznym społeczności</w:t>
      </w:r>
      <w:r w:rsidRPr="00733091">
        <w:rPr>
          <w:rFonts w:cstheme="minorHAnsi"/>
          <w:color w:val="000000" w:themeColor="text1"/>
          <w:lang w:val="pl-PL"/>
        </w:rPr>
        <w:t xml:space="preserve"> Południowych Mazur świadczy również zmniejszająca się liczba osób korzystających ze środowiskowej pomocy społecznej</w:t>
      </w:r>
      <w:r>
        <w:rPr>
          <w:rStyle w:val="Odwoanieprzypisudolnego"/>
          <w:rFonts w:cstheme="minorHAnsi"/>
          <w:color w:val="000000" w:themeColor="text1"/>
        </w:rPr>
        <w:footnoteReference w:id="85"/>
      </w:r>
      <w:r w:rsidRPr="00733091">
        <w:rPr>
          <w:rFonts w:cstheme="minorHAnsi"/>
          <w:color w:val="000000" w:themeColor="text1"/>
          <w:lang w:val="pl-PL"/>
        </w:rPr>
        <w:t xml:space="preserve"> oraz spadająca liczba przyznanych dodatków mieszkaniowych na 1 tys. mieszkańców (w okresie 2009-2019 odnotowano spadek rzędu 57,89%). W analizowanym okresie zmniejszył się również </w:t>
      </w:r>
      <w:r w:rsidRPr="00733091">
        <w:rPr>
          <w:lang w:val="pl-PL"/>
        </w:rPr>
        <w:t>odsetek zadłużonych lokali komunalnych będących w dyspozycji gminy (o 22,83%).</w:t>
      </w:r>
    </w:p>
    <w:p w14:paraId="2B54B471" w14:textId="79AEF3D6" w:rsidR="00577383" w:rsidRPr="00733091" w:rsidRDefault="00E50187" w:rsidP="002E24A9">
      <w:pPr>
        <w:pStyle w:val="Legenda"/>
        <w:rPr>
          <w:lang w:val="pl-PL"/>
        </w:rPr>
      </w:pPr>
      <w:bookmarkStart w:id="124" w:name="_Toc69723204"/>
      <w:r w:rsidRPr="00733091">
        <w:rPr>
          <w:lang w:val="pl-PL"/>
        </w:rPr>
        <w:t xml:space="preserve">Wykres </w:t>
      </w:r>
      <w:r w:rsidR="00733091">
        <w:fldChar w:fldCharType="begin"/>
      </w:r>
      <w:r w:rsidR="00733091" w:rsidRPr="00733091">
        <w:rPr>
          <w:lang w:val="pl-PL"/>
        </w:rPr>
        <w:instrText xml:space="preserve"> SEQ Wykres \* ARABIC </w:instrText>
      </w:r>
      <w:r w:rsidR="00733091">
        <w:fldChar w:fldCharType="separate"/>
      </w:r>
      <w:r w:rsidR="00B14787">
        <w:rPr>
          <w:noProof/>
          <w:lang w:val="pl-PL"/>
        </w:rPr>
        <w:t>46</w:t>
      </w:r>
      <w:r w:rsidR="00733091">
        <w:rPr>
          <w:noProof/>
        </w:rPr>
        <w:fldChar w:fldCharType="end"/>
      </w:r>
      <w:r w:rsidRPr="00733091">
        <w:rPr>
          <w:lang w:val="pl-PL"/>
        </w:rPr>
        <w:t xml:space="preserve">: </w:t>
      </w:r>
      <w:r w:rsidR="00577383" w:rsidRPr="00733091">
        <w:rPr>
          <w:lang w:val="pl-PL"/>
        </w:rPr>
        <w:t>Potencjał ekonomiczny mieszkańców Południowych Mazur w latach2009-2019 – wskaźniki</w:t>
      </w:r>
      <w:bookmarkEnd w:id="124"/>
    </w:p>
    <w:p w14:paraId="6B9B2CF6" w14:textId="77777777" w:rsidR="00577383" w:rsidRDefault="00577383" w:rsidP="00733091">
      <w:pPr>
        <w:pStyle w:val="podpiselementu"/>
        <w:spacing w:after="240"/>
      </w:pPr>
      <w:r>
        <w:rPr>
          <w:noProof/>
        </w:rPr>
        <w:drawing>
          <wp:inline distT="0" distB="0" distL="0" distR="0" wp14:anchorId="5CF56565" wp14:editId="66838FC8">
            <wp:extent cx="5760720" cy="2304415"/>
            <wp:effectExtent l="19050" t="19050" r="11430" b="19685"/>
            <wp:docPr id="127" name="Obraz 127" descr="wykres liniowy wskazujący liczbę osób prowadzących działalność gospodarczą na 1000 osób w wieku produkcyjnym (kolor fioletowy), liczbę przyznanych dodatków mieszkaniowych na 1000 mieszkańców (kolor szary), liczbę osób korzystających ze środowiskowej pomocy społecznej ogółem na 1000 mieszkańców (kolor zielony) w latach 2009-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Obraz 127" descr="wykres liniowy wskazujący liczbę osób prowadzących działalność gospodarczą na 1000 osób w wieku produkcyjnym (kolor fioletowy), liczbę przyznanych dodatków mieszkaniowych na 1000 mieszkańców (kolor szary), liczbę osób korzystających ze środowiskowej pomocy społecznej ogółem na 1000 mieszkańców (kolor zielony) w latach 2009-2019"/>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760720" cy="2304415"/>
                    </a:xfrm>
                    <a:prstGeom prst="rect">
                      <a:avLst/>
                    </a:prstGeom>
                    <a:noFill/>
                    <a:ln>
                      <a:solidFill>
                        <a:schemeClr val="tx2"/>
                      </a:solidFill>
                    </a:ln>
                  </pic:spPr>
                </pic:pic>
              </a:graphicData>
            </a:graphic>
          </wp:inline>
        </w:drawing>
      </w:r>
    </w:p>
    <w:p w14:paraId="4C7AF219" w14:textId="630F4863" w:rsidR="00577383" w:rsidRPr="00733091" w:rsidRDefault="00577383" w:rsidP="00703D43">
      <w:pPr>
        <w:pStyle w:val="podpiselementu"/>
        <w:spacing w:after="240"/>
        <w:rPr>
          <w:lang w:val="pl-PL"/>
        </w:rPr>
      </w:pPr>
      <w:r w:rsidRPr="00733091">
        <w:rPr>
          <w:lang w:val="pl-PL"/>
        </w:rPr>
        <w:t xml:space="preserve">Źródło: opracowanie ZMP na podstawie </w:t>
      </w:r>
      <w:hyperlink r:id="rId128" w:history="1">
        <w:r w:rsidRPr="00733091">
          <w:rPr>
            <w:rStyle w:val="Hipercze"/>
            <w:color w:val="auto"/>
            <w:u w:val="none"/>
            <w:lang w:val="pl-PL"/>
          </w:rPr>
          <w:t>https://analizy.monitorrozwoju.pl</w:t>
        </w:r>
      </w:hyperlink>
    </w:p>
    <w:p w14:paraId="469D4209" w14:textId="6263AE80" w:rsidR="00577383" w:rsidRDefault="00577383" w:rsidP="00703D43">
      <w:pPr>
        <w:rPr>
          <w:lang w:val="pl-PL"/>
        </w:rPr>
      </w:pPr>
      <w:r w:rsidRPr="00733091">
        <w:rPr>
          <w:lang w:val="pl-PL"/>
        </w:rPr>
        <w:t xml:space="preserve">Ponadto od 2009 r. nieznacznie </w:t>
      </w:r>
      <w:r w:rsidRPr="00733091">
        <w:rPr>
          <w:b/>
          <w:bCs/>
          <w:lang w:val="pl-PL"/>
        </w:rPr>
        <w:t>wzrósł potencjał nabywczy</w:t>
      </w:r>
      <w:r w:rsidRPr="00733091">
        <w:rPr>
          <w:lang w:val="pl-PL"/>
        </w:rPr>
        <w:t xml:space="preserve"> osób zainteresowanych kupnem mieszkania po cenie rynkowej (powierzchnia mieszkania jaką można kupić </w:t>
      </w:r>
      <w:r w:rsidRPr="00733091">
        <w:rPr>
          <w:lang w:val="pl-PL"/>
        </w:rPr>
        <w:lastRenderedPageBreak/>
        <w:t>za przeciętne wynagrodzenie brutto wzrosła z 1,35m</w:t>
      </w:r>
      <w:r w:rsidRPr="00733091">
        <w:rPr>
          <w:vertAlign w:val="superscript"/>
          <w:lang w:val="pl-PL"/>
        </w:rPr>
        <w:t>2</w:t>
      </w:r>
      <w:r w:rsidRPr="00733091">
        <w:rPr>
          <w:lang w:val="pl-PL"/>
        </w:rPr>
        <w:t xml:space="preserve"> w 2009 r. do 1,5m</w:t>
      </w:r>
      <w:r w:rsidRPr="00733091">
        <w:rPr>
          <w:vertAlign w:val="superscript"/>
          <w:lang w:val="pl-PL"/>
        </w:rPr>
        <w:t>2</w:t>
      </w:r>
      <w:r w:rsidRPr="00733091">
        <w:rPr>
          <w:lang w:val="pl-PL"/>
        </w:rPr>
        <w:t xml:space="preserve"> w 2019 r.).  Wzrosła również liczba lokali mieszkalnych sprzedanych w ramach transakcji rynkowych w przeliczeniu na 1</w:t>
      </w:r>
      <w:r w:rsidR="001075E8">
        <w:rPr>
          <w:lang w:val="pl-PL"/>
        </w:rPr>
        <w:t xml:space="preserve"> tys.</w:t>
      </w:r>
      <w:r w:rsidRPr="00733091">
        <w:rPr>
          <w:lang w:val="pl-PL"/>
        </w:rPr>
        <w:t xml:space="preserve"> mieszkańców (o 83,04% z 1,71 w 2015 r. na 3,13 w 2019 r.).</w:t>
      </w:r>
    </w:p>
    <w:p w14:paraId="17ECF6F4" w14:textId="63F09B62" w:rsidR="00834A24" w:rsidRDefault="00C37C4D" w:rsidP="00FB2C29">
      <w:pPr>
        <w:rPr>
          <w:lang w:val="pl-PL"/>
        </w:rPr>
      </w:pPr>
      <w:r>
        <w:rPr>
          <w:lang w:val="pl-PL"/>
        </w:rPr>
        <w:t>Jednakże p</w:t>
      </w:r>
      <w:r w:rsidR="00FB2C29">
        <w:rPr>
          <w:lang w:val="pl-PL"/>
        </w:rPr>
        <w:t>orównanie</w:t>
      </w:r>
      <w:r>
        <w:rPr>
          <w:lang w:val="pl-PL"/>
        </w:rPr>
        <w:t xml:space="preserve"> nieznacznie wzrastającego</w:t>
      </w:r>
      <w:r w:rsidR="00FB2C29">
        <w:rPr>
          <w:lang w:val="pl-PL"/>
        </w:rPr>
        <w:t xml:space="preserve"> potencjału ekonomicznego mieszkańców Południowych Mazur (</w:t>
      </w:r>
      <w:r>
        <w:rPr>
          <w:lang w:val="pl-PL"/>
        </w:rPr>
        <w:t xml:space="preserve">mierzonego wpływami JST z tytułu udziału we wpływach budżetu państwa z PIT przypadającymi na 1 mieszkańca, </w:t>
      </w:r>
      <w:r w:rsidR="00FB2C29">
        <w:rPr>
          <w:lang w:val="pl-PL"/>
        </w:rPr>
        <w:t>wysokoś</w:t>
      </w:r>
      <w:r>
        <w:rPr>
          <w:lang w:val="pl-PL"/>
        </w:rPr>
        <w:t>cią</w:t>
      </w:r>
      <w:r w:rsidR="00FB2C29">
        <w:rPr>
          <w:lang w:val="pl-PL"/>
        </w:rPr>
        <w:t xml:space="preserve"> przeciętnego wynagrodzenia</w:t>
      </w:r>
      <w:r>
        <w:rPr>
          <w:lang w:val="pl-PL"/>
        </w:rPr>
        <w:t xml:space="preserve"> brutto, liczb</w:t>
      </w:r>
      <w:r w:rsidR="001075E8">
        <w:rPr>
          <w:lang w:val="pl-PL"/>
        </w:rPr>
        <w:t>ą</w:t>
      </w:r>
      <w:r>
        <w:rPr>
          <w:lang w:val="pl-PL"/>
        </w:rPr>
        <w:t xml:space="preserve"> osób korzystających </w:t>
      </w:r>
      <w:r w:rsidR="001075E8">
        <w:rPr>
          <w:lang w:val="pl-PL"/>
        </w:rPr>
        <w:t>z</w:t>
      </w:r>
      <w:r>
        <w:rPr>
          <w:lang w:val="pl-PL"/>
        </w:rPr>
        <w:t xml:space="preserve"> pomocy społecznej, czy liczb</w:t>
      </w:r>
      <w:r w:rsidR="001075E8">
        <w:rPr>
          <w:lang w:val="pl-PL"/>
        </w:rPr>
        <w:t>ą</w:t>
      </w:r>
      <w:r>
        <w:rPr>
          <w:lang w:val="pl-PL"/>
        </w:rPr>
        <w:t xml:space="preserve"> udzielonych wydatków mieszkaniowych) </w:t>
      </w:r>
      <w:r w:rsidR="00FB2C29">
        <w:rPr>
          <w:lang w:val="pl-PL"/>
        </w:rPr>
        <w:t xml:space="preserve">z potencjałem ekonomicznym mieszkańców gmin z grup porównawczych prowadzi do wniosku, iż </w:t>
      </w:r>
      <w:r w:rsidR="001075E8">
        <w:rPr>
          <w:lang w:val="pl-PL"/>
        </w:rPr>
        <w:t xml:space="preserve">potencjał ten </w:t>
      </w:r>
      <w:r>
        <w:rPr>
          <w:lang w:val="pl-PL"/>
        </w:rPr>
        <w:t>poprawia się wolniej</w:t>
      </w:r>
      <w:r w:rsidR="001075E8">
        <w:rPr>
          <w:lang w:val="pl-PL"/>
        </w:rPr>
        <w:t xml:space="preserve"> </w:t>
      </w:r>
      <w:r w:rsidR="00FB2C29">
        <w:rPr>
          <w:lang w:val="pl-PL"/>
        </w:rPr>
        <w:t xml:space="preserve">niż w grupie porównawczej. </w:t>
      </w:r>
      <w:r w:rsidR="001075E8">
        <w:rPr>
          <w:lang w:val="pl-PL"/>
        </w:rPr>
        <w:t xml:space="preserve">Sytuację tę odzwierciedlają opinie mieszkańców Południowych Mazur w kwestii ich statusu majątkowego i możliwości zaspokajania potrzeb (poniżej). </w:t>
      </w:r>
    </w:p>
    <w:p w14:paraId="533805C4" w14:textId="33379E7E" w:rsidR="00577383" w:rsidRPr="00733091" w:rsidRDefault="00703D43" w:rsidP="00FB2C29">
      <w:pPr>
        <w:ind w:left="0"/>
        <w:contextualSpacing/>
        <w:rPr>
          <w:lang w:val="pl-PL"/>
        </w:rPr>
      </w:pPr>
      <w:r>
        <w:rPr>
          <w:noProof/>
        </w:rPr>
        <mc:AlternateContent>
          <mc:Choice Requires="wps">
            <w:drawing>
              <wp:anchor distT="0" distB="0" distL="114300" distR="114300" simplePos="0" relativeHeight="251658261" behindDoc="0" locked="0" layoutInCell="1" allowOverlap="1" wp14:anchorId="230A3CE0" wp14:editId="11A124F9">
                <wp:simplePos x="0" y="0"/>
                <wp:positionH relativeFrom="margin">
                  <wp:align>right</wp:align>
                </wp:positionH>
                <wp:positionV relativeFrom="paragraph">
                  <wp:posOffset>11430</wp:posOffset>
                </wp:positionV>
                <wp:extent cx="5280660" cy="1005840"/>
                <wp:effectExtent l="0" t="0" r="15240" b="22860"/>
                <wp:wrapNone/>
                <wp:docPr id="125" name="Pole tekstowe 125"/>
                <wp:cNvGraphicFramePr/>
                <a:graphic xmlns:a="http://schemas.openxmlformats.org/drawingml/2006/main">
                  <a:graphicData uri="http://schemas.microsoft.com/office/word/2010/wordprocessingShape">
                    <wps:wsp>
                      <wps:cNvSpPr txBox="1"/>
                      <wps:spPr>
                        <a:xfrm>
                          <a:off x="0" y="0"/>
                          <a:ext cx="5280660" cy="1005840"/>
                        </a:xfrm>
                        <a:prstGeom prst="rect">
                          <a:avLst/>
                        </a:prstGeom>
                        <a:solidFill>
                          <a:schemeClr val="accent1">
                            <a:lumMod val="20000"/>
                            <a:lumOff val="80000"/>
                          </a:schemeClr>
                        </a:solidFill>
                        <a:ln w="6350">
                          <a:solidFill>
                            <a:schemeClr val="accent1"/>
                          </a:solidFill>
                        </a:ln>
                      </wps:spPr>
                      <wps:txbx>
                        <w:txbxContent>
                          <w:p w14:paraId="2DC4A9BF" w14:textId="26E4252E" w:rsidR="00B14787" w:rsidRPr="00703D43" w:rsidRDefault="00B14787" w:rsidP="00703D43">
                            <w:pPr>
                              <w:ind w:left="142"/>
                              <w:jc w:val="both"/>
                              <w:rPr>
                                <w:szCs w:val="24"/>
                                <w:lang w:val="pl-PL"/>
                              </w:rPr>
                            </w:pPr>
                            <w:r w:rsidRPr="00703D43">
                              <w:rPr>
                                <w:b/>
                                <w:bCs/>
                                <w:szCs w:val="24"/>
                                <w:lang w:val="pl-PL"/>
                              </w:rPr>
                              <w:t>49,02%</w:t>
                            </w:r>
                            <w:r w:rsidRPr="00703D43">
                              <w:rPr>
                                <w:szCs w:val="24"/>
                                <w:lang w:val="pl-PL"/>
                              </w:rPr>
                              <w:t xml:space="preserve"> mieszkańców twierdzi, że musi oszczędzać na poważniejsze zakupy, </w:t>
                            </w:r>
                            <w:r>
                              <w:rPr>
                                <w:szCs w:val="24"/>
                                <w:lang w:val="pl-PL"/>
                              </w:rPr>
                              <w:br/>
                            </w:r>
                            <w:r w:rsidRPr="00703D43">
                              <w:rPr>
                                <w:szCs w:val="24"/>
                                <w:lang w:val="pl-PL"/>
                              </w:rPr>
                              <w:t xml:space="preserve">a </w:t>
                            </w:r>
                            <w:r w:rsidRPr="00703D43">
                              <w:rPr>
                                <w:b/>
                                <w:bCs/>
                                <w:szCs w:val="24"/>
                                <w:lang w:val="pl-PL"/>
                              </w:rPr>
                              <w:t>15,25%</w:t>
                            </w:r>
                            <w:r w:rsidRPr="00703D43">
                              <w:rPr>
                                <w:szCs w:val="24"/>
                                <w:lang w:val="pl-PL"/>
                              </w:rPr>
                              <w:t xml:space="preserve"> - oszczędnie gospodarować na co dzień. Tylko </w:t>
                            </w:r>
                            <w:r w:rsidRPr="00703D43">
                              <w:rPr>
                                <w:b/>
                                <w:bCs/>
                                <w:szCs w:val="24"/>
                                <w:lang w:val="pl-PL"/>
                              </w:rPr>
                              <w:t>6,26%</w:t>
                            </w:r>
                            <w:r w:rsidRPr="00703D43">
                              <w:rPr>
                                <w:szCs w:val="24"/>
                                <w:lang w:val="pl-PL"/>
                              </w:rPr>
                              <w:t xml:space="preserve"> może sobie pozwolić na względny luksus, a </w:t>
                            </w:r>
                            <w:r w:rsidRPr="00703D43">
                              <w:rPr>
                                <w:b/>
                                <w:bCs/>
                                <w:szCs w:val="24"/>
                                <w:lang w:val="pl-PL"/>
                              </w:rPr>
                              <w:t>26,08%</w:t>
                            </w:r>
                            <w:r w:rsidRPr="00703D43">
                              <w:rPr>
                                <w:szCs w:val="24"/>
                                <w:lang w:val="pl-PL"/>
                              </w:rPr>
                              <w:t xml:space="preserve"> mieszkańców starcza na różne formy aktywności bez nadmiernego oszczędzania.</w:t>
                            </w:r>
                          </w:p>
                          <w:p w14:paraId="6CB0E2F2" w14:textId="77777777" w:rsidR="00B14787" w:rsidRPr="00733091" w:rsidRDefault="00B14787" w:rsidP="00577383">
                            <w:pPr>
                              <w:jc w:val="both"/>
                              <w:rPr>
                                <w:sz w:val="20"/>
                                <w:szCs w:val="20"/>
                                <w:lang w:val="pl-P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0A3CE0" id="Pole tekstowe 125" o:spid="_x0000_s1047" type="#_x0000_t202" style="position:absolute;margin-left:364.6pt;margin-top:.9pt;width:415.8pt;height:79.2pt;z-index:251658261;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" fillcolor="#d9e2f3 [660]" strokecolor="#4472c4 [3204]" strokeweight=".5pt">
                <v:textbox>
                  <w:txbxContent>
                    <w:p w14:paraId="2DC4A9BF" w14:textId="26E4252E" w:rsidR="00B14787" w:rsidRPr="00703D43" w:rsidRDefault="00B14787" w:rsidP="00703D43">
                      <w:pPr>
                        <w:ind w:left="142"/>
                        <w:jc w:val="both"/>
                        <w:rPr>
                          <w:szCs w:val="24"/>
                          <w:lang w:val="pl-PL"/>
                        </w:rPr>
                      </w:pPr>
                      <w:r w:rsidRPr="00703D43">
                        <w:rPr>
                          <w:b/>
                          <w:bCs/>
                          <w:szCs w:val="24"/>
                          <w:lang w:val="pl-PL"/>
                        </w:rPr>
                        <w:t>49,02%</w:t>
                      </w:r>
                      <w:r w:rsidRPr="00703D43">
                        <w:rPr>
                          <w:szCs w:val="24"/>
                          <w:lang w:val="pl-PL"/>
                        </w:rPr>
                        <w:t xml:space="preserve"> mieszkańców twierdzi, że musi oszczędzać na poważniejsze zakupy, </w:t>
                      </w:r>
                      <w:r>
                        <w:rPr>
                          <w:szCs w:val="24"/>
                          <w:lang w:val="pl-PL"/>
                        </w:rPr>
                        <w:br/>
                      </w:r>
                      <w:r w:rsidRPr="00703D43">
                        <w:rPr>
                          <w:szCs w:val="24"/>
                          <w:lang w:val="pl-PL"/>
                        </w:rPr>
                        <w:t xml:space="preserve">a </w:t>
                      </w:r>
                      <w:r w:rsidRPr="00703D43">
                        <w:rPr>
                          <w:b/>
                          <w:bCs/>
                          <w:szCs w:val="24"/>
                          <w:lang w:val="pl-PL"/>
                        </w:rPr>
                        <w:t>15,25%</w:t>
                      </w:r>
                      <w:r w:rsidRPr="00703D43">
                        <w:rPr>
                          <w:szCs w:val="24"/>
                          <w:lang w:val="pl-PL"/>
                        </w:rPr>
                        <w:t xml:space="preserve"> - oszczędnie gospodarować na co dzień. Tylko </w:t>
                      </w:r>
                      <w:r w:rsidRPr="00703D43">
                        <w:rPr>
                          <w:b/>
                          <w:bCs/>
                          <w:szCs w:val="24"/>
                          <w:lang w:val="pl-PL"/>
                        </w:rPr>
                        <w:t>6,26%</w:t>
                      </w:r>
                      <w:r w:rsidRPr="00703D43">
                        <w:rPr>
                          <w:szCs w:val="24"/>
                          <w:lang w:val="pl-PL"/>
                        </w:rPr>
                        <w:t xml:space="preserve"> może sobie pozwolić na względny luksus, a </w:t>
                      </w:r>
                      <w:r w:rsidRPr="00703D43">
                        <w:rPr>
                          <w:b/>
                          <w:bCs/>
                          <w:szCs w:val="24"/>
                          <w:lang w:val="pl-PL"/>
                        </w:rPr>
                        <w:t>26,08%</w:t>
                      </w:r>
                      <w:r w:rsidRPr="00703D43">
                        <w:rPr>
                          <w:szCs w:val="24"/>
                          <w:lang w:val="pl-PL"/>
                        </w:rPr>
                        <w:t xml:space="preserve"> mieszkańców starcza na różne formy aktywności bez nadmiernego oszczędzania.</w:t>
                      </w:r>
                    </w:p>
                    <w:p w14:paraId="6CB0E2F2" w14:textId="77777777" w:rsidR="00B14787" w:rsidRPr="00733091" w:rsidRDefault="00B14787" w:rsidP="00577383">
                      <w:pPr>
                        <w:jc w:val="both"/>
                        <w:rPr>
                          <w:sz w:val="20"/>
                          <w:szCs w:val="20"/>
                          <w:lang w:val="pl-PL"/>
                        </w:rPr>
                      </w:pPr>
                    </w:p>
                  </w:txbxContent>
                </v:textbox>
                <w10:wrap anchorx="margin"/>
              </v:shape>
            </w:pict>
          </mc:Fallback>
        </mc:AlternateContent>
      </w:r>
    </w:p>
    <w:p w14:paraId="27421967" w14:textId="4AA4E6D0" w:rsidR="00577383" w:rsidRPr="00733091" w:rsidRDefault="00577383" w:rsidP="00733091">
      <w:pPr>
        <w:contextualSpacing/>
        <w:rPr>
          <w:lang w:val="pl-PL"/>
        </w:rPr>
      </w:pPr>
    </w:p>
    <w:p w14:paraId="6FF151A4" w14:textId="77777777" w:rsidR="00577383" w:rsidRPr="00733091" w:rsidRDefault="00577383" w:rsidP="00733091">
      <w:pPr>
        <w:rPr>
          <w:lang w:val="pl-PL"/>
        </w:rPr>
      </w:pPr>
    </w:p>
    <w:p w14:paraId="2DD55F28" w14:textId="7119BC33" w:rsidR="00577383" w:rsidRPr="00703D43" w:rsidRDefault="00577383" w:rsidP="001075E8">
      <w:pPr>
        <w:ind w:left="0"/>
        <w:rPr>
          <w:highlight w:val="green"/>
          <w:lang w:val="pl-PL"/>
        </w:rPr>
      </w:pPr>
    </w:p>
    <w:p w14:paraId="1BD75DD4" w14:textId="08527EFF" w:rsidR="001E162D" w:rsidRPr="00733091" w:rsidRDefault="00326C4E" w:rsidP="00733091">
      <w:pPr>
        <w:pStyle w:val="Nagwek3"/>
        <w:spacing w:after="240"/>
        <w:rPr>
          <w:lang w:val="pl-PL"/>
        </w:rPr>
      </w:pPr>
      <w:bookmarkStart w:id="125" w:name="_Toc69725446"/>
      <w:r w:rsidRPr="00733091">
        <w:rPr>
          <w:lang w:val="pl-PL"/>
        </w:rPr>
        <w:t>Zdolność finansowania rozwoju przez członków Partnerstwa</w:t>
      </w:r>
      <w:bookmarkEnd w:id="125"/>
    </w:p>
    <w:p w14:paraId="3E1F6326" w14:textId="5578740D" w:rsidR="003C7BFF" w:rsidRPr="00690E7F" w:rsidRDefault="003C7BFF" w:rsidP="00733091">
      <w:pPr>
        <w:pStyle w:val="Nagwek4"/>
        <w:spacing w:before="120" w:after="240"/>
      </w:pPr>
      <w:r w:rsidRPr="003C7BFF">
        <w:t>Zdolność finansowania rozwoju</w:t>
      </w:r>
    </w:p>
    <w:p w14:paraId="0109CEBE" w14:textId="64E91494" w:rsidR="003C7BFF" w:rsidRPr="001F2F4D" w:rsidRDefault="003C7BFF" w:rsidP="001F2F4D">
      <w:pPr>
        <w:rPr>
          <w:sz w:val="22"/>
          <w:lang w:val="pl-PL"/>
        </w:rPr>
      </w:pPr>
      <w:r w:rsidRPr="00733091">
        <w:rPr>
          <w:lang w:val="pl-PL"/>
        </w:rPr>
        <w:t>Kluczowymi czynnikami wpływającymi na stan finansów lokalnych są przede wszystkim zrównoważenie elementów budżetu (na które wpływa między innymi:</w:t>
      </w:r>
      <w:r w:rsidRPr="00733091">
        <w:rPr>
          <w:rFonts w:eastAsiaTheme="minorEastAsia"/>
          <w:lang w:val="pl-PL"/>
        </w:rPr>
        <w:t xml:space="preserve"> </w:t>
      </w:r>
      <w:r w:rsidRPr="00733091">
        <w:rPr>
          <w:lang w:val="pl-PL"/>
        </w:rPr>
        <w:t>wysokość dochodów, w tym dochodów własnych i wysokość wydatków, w tym poziom wydatków majątkowych)), a także wysokość zadłużenia.</w:t>
      </w:r>
    </w:p>
    <w:p w14:paraId="4056C8EF" w14:textId="24F6DCF4" w:rsidR="005B63BD" w:rsidRPr="001075E8" w:rsidRDefault="003C7BFF" w:rsidP="001075E8">
      <w:pPr>
        <w:rPr>
          <w:b/>
          <w:bCs/>
          <w:lang w:val="pl-PL"/>
        </w:rPr>
      </w:pPr>
      <w:r w:rsidRPr="00733091">
        <w:rPr>
          <w:lang w:val="pl-PL"/>
        </w:rPr>
        <w:t>W okresie 2015-2019 Partnerstwo corocznie odnotowywało ujemny wynik finansowy</w:t>
      </w:r>
      <w:r>
        <w:rPr>
          <w:rStyle w:val="Odwoanieprzypisudolnego"/>
          <w:rFonts w:ascii="Calibri" w:eastAsia="Calibri" w:hAnsi="Calibri" w:cs="Calibri"/>
        </w:rPr>
        <w:footnoteReference w:id="86"/>
      </w:r>
      <w:r w:rsidRPr="00733091">
        <w:rPr>
          <w:lang w:val="pl-PL"/>
        </w:rPr>
        <w:t xml:space="preserve">, co oznacza, że różnica między skumulowanymi dochodami jednostek wchodzących w skład Partnerstwa, a ich wydatkami była ujemna (deficyt budżetowy). Jednocześnie odnotowano dodatnią dynamikę zmian deficytu budżetowego – w okresie 2015-2019 deficyt budżetowy Partnerstwa wzrósł o 46,41%. Oznacza to </w:t>
      </w:r>
      <w:r w:rsidRPr="00733091">
        <w:rPr>
          <w:b/>
          <w:bCs/>
          <w:lang w:val="pl-PL"/>
        </w:rPr>
        <w:t>trudną sytuację finansową Partnerstwa</w:t>
      </w:r>
      <w:r w:rsidRPr="00733091">
        <w:rPr>
          <w:lang w:val="pl-PL"/>
        </w:rPr>
        <w:t xml:space="preserve"> oraz wymusza na samorządach wchodzących w skład Partnerstwa działania zmierzające do pokrycia deficytu budżetowego.</w:t>
      </w:r>
      <w:r w:rsidR="001075E8">
        <w:rPr>
          <w:b/>
          <w:bCs/>
          <w:lang w:val="pl-PL"/>
        </w:rPr>
        <w:t xml:space="preserve"> </w:t>
      </w:r>
      <w:r w:rsidRPr="00733091">
        <w:rPr>
          <w:lang w:val="pl-PL"/>
        </w:rPr>
        <w:t>Podstawowe dane finansowe Partnerstwa za lata 2015-2019 przedstawia tabela</w:t>
      </w:r>
      <w:r w:rsidR="00CC55AA">
        <w:rPr>
          <w:lang w:val="pl-PL"/>
        </w:rPr>
        <w:t xml:space="preserve"> nr 20</w:t>
      </w:r>
      <w:r w:rsidRPr="00733091">
        <w:rPr>
          <w:lang w:val="pl-PL"/>
        </w:rPr>
        <w:t xml:space="preserve">. </w:t>
      </w:r>
    </w:p>
    <w:p w14:paraId="3D2752BF" w14:textId="77777777" w:rsidR="005B63BD" w:rsidRDefault="005B63BD" w:rsidP="002E24A9">
      <w:pPr>
        <w:pStyle w:val="Legenda"/>
        <w:rPr>
          <w:lang w:val="pl-PL"/>
        </w:rPr>
        <w:sectPr w:rsidR="005B63BD" w:rsidSect="00E736E3">
          <w:pgSz w:w="11906" w:h="16838"/>
          <w:pgMar w:top="1418" w:right="1418" w:bottom="1701" w:left="1418" w:header="709" w:footer="709" w:gutter="0"/>
          <w:cols w:space="708"/>
          <w:docGrid w:linePitch="360"/>
        </w:sectPr>
      </w:pPr>
    </w:p>
    <w:p w14:paraId="4FABB7AA" w14:textId="07B37C25" w:rsidR="00A2132A" w:rsidRDefault="003C7BFF" w:rsidP="002E24A9">
      <w:pPr>
        <w:pStyle w:val="Legenda"/>
        <w:rPr>
          <w:lang w:val="pl-PL"/>
        </w:rPr>
      </w:pPr>
      <w:bookmarkStart w:id="126" w:name="_Toc69723269"/>
      <w:r w:rsidRPr="00733091">
        <w:rPr>
          <w:lang w:val="pl-PL"/>
        </w:rPr>
        <w:lastRenderedPageBreak/>
        <w:t xml:space="preserve">Tabela </w:t>
      </w:r>
      <w:r w:rsidR="00733091">
        <w:fldChar w:fldCharType="begin"/>
      </w:r>
      <w:r w:rsidR="00733091" w:rsidRPr="00733091">
        <w:rPr>
          <w:lang w:val="pl-PL"/>
        </w:rPr>
        <w:instrText xml:space="preserve"> SEQ Tabela \* ARABIC </w:instrText>
      </w:r>
      <w:r w:rsidR="00733091">
        <w:fldChar w:fldCharType="separate"/>
      </w:r>
      <w:r w:rsidR="00B14787">
        <w:rPr>
          <w:noProof/>
          <w:lang w:val="pl-PL"/>
        </w:rPr>
        <w:t>20</w:t>
      </w:r>
      <w:r w:rsidR="00733091">
        <w:rPr>
          <w:noProof/>
        </w:rPr>
        <w:fldChar w:fldCharType="end"/>
      </w:r>
      <w:r w:rsidRPr="00733091">
        <w:rPr>
          <w:lang w:val="pl-PL"/>
        </w:rPr>
        <w:t>: Podstawowe dane finansowe Partnerstwa za lata 2015-2019</w:t>
      </w:r>
      <w:bookmarkEnd w:id="126"/>
    </w:p>
    <w:tbl>
      <w:tblPr>
        <w:tblStyle w:val="CWD"/>
        <w:tblW w:w="14028" w:type="dxa"/>
        <w:tblLook w:val="04A0" w:firstRow="1" w:lastRow="0" w:firstColumn="1" w:lastColumn="0" w:noHBand="0" w:noVBand="1"/>
      </w:tblPr>
      <w:tblGrid>
        <w:gridCol w:w="2830"/>
        <w:gridCol w:w="1958"/>
        <w:gridCol w:w="1958"/>
        <w:gridCol w:w="1958"/>
        <w:gridCol w:w="1959"/>
        <w:gridCol w:w="1959"/>
        <w:gridCol w:w="1406"/>
      </w:tblGrid>
      <w:tr w:rsidR="00416076" w14:paraId="4085B6A2" w14:textId="77777777" w:rsidTr="00FB2C29">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830" w:type="dxa"/>
          </w:tcPr>
          <w:p w14:paraId="4D53DF80" w14:textId="7DCC7BB3" w:rsidR="00416076" w:rsidRDefault="00416076" w:rsidP="00FB2C29">
            <w:pPr>
              <w:spacing w:line="360" w:lineRule="auto"/>
              <w:ind w:left="0"/>
              <w:contextualSpacing/>
              <w:rPr>
                <w:lang w:val="pl-PL"/>
              </w:rPr>
            </w:pPr>
            <w:r>
              <w:rPr>
                <w:lang w:eastAsia="pl-PL"/>
              </w:rPr>
              <w:t xml:space="preserve">Kategorie </w:t>
            </w:r>
          </w:p>
        </w:tc>
        <w:tc>
          <w:tcPr>
            <w:tcW w:w="1958" w:type="dxa"/>
          </w:tcPr>
          <w:p w14:paraId="25B21E13" w14:textId="28B2732C" w:rsidR="00416076" w:rsidRDefault="00416076" w:rsidP="00FB2C29">
            <w:pPr>
              <w:spacing w:line="360" w:lineRule="auto"/>
              <w:ind w:left="0"/>
              <w:contextualSpacing/>
              <w:cnfStyle w:val="100000000000" w:firstRow="1" w:lastRow="0" w:firstColumn="0" w:lastColumn="0" w:oddVBand="0" w:evenVBand="0" w:oddHBand="0" w:evenHBand="0" w:firstRowFirstColumn="0" w:firstRowLastColumn="0" w:lastRowFirstColumn="0" w:lastRowLastColumn="0"/>
              <w:rPr>
                <w:lang w:val="pl-PL"/>
              </w:rPr>
            </w:pPr>
            <w:r w:rsidRPr="005B63BD">
              <w:rPr>
                <w:lang w:eastAsia="pl-PL"/>
              </w:rPr>
              <w:t>2015</w:t>
            </w:r>
          </w:p>
        </w:tc>
        <w:tc>
          <w:tcPr>
            <w:tcW w:w="1958" w:type="dxa"/>
          </w:tcPr>
          <w:p w14:paraId="3D3890F3" w14:textId="60F91D40" w:rsidR="00416076" w:rsidRDefault="00416076" w:rsidP="00FB2C29">
            <w:pPr>
              <w:spacing w:line="360" w:lineRule="auto"/>
              <w:ind w:left="0"/>
              <w:contextualSpacing/>
              <w:cnfStyle w:val="100000000000" w:firstRow="1" w:lastRow="0" w:firstColumn="0" w:lastColumn="0" w:oddVBand="0" w:evenVBand="0" w:oddHBand="0" w:evenHBand="0" w:firstRowFirstColumn="0" w:firstRowLastColumn="0" w:lastRowFirstColumn="0" w:lastRowLastColumn="0"/>
              <w:rPr>
                <w:lang w:val="pl-PL"/>
              </w:rPr>
            </w:pPr>
            <w:r w:rsidRPr="005B63BD">
              <w:rPr>
                <w:lang w:eastAsia="pl-PL"/>
              </w:rPr>
              <w:t>2016</w:t>
            </w:r>
          </w:p>
        </w:tc>
        <w:tc>
          <w:tcPr>
            <w:tcW w:w="1958" w:type="dxa"/>
          </w:tcPr>
          <w:p w14:paraId="3E1D9025" w14:textId="4FE3F7EA" w:rsidR="00416076" w:rsidRDefault="00416076" w:rsidP="00FB2C29">
            <w:pPr>
              <w:spacing w:line="360" w:lineRule="auto"/>
              <w:ind w:left="0"/>
              <w:contextualSpacing/>
              <w:cnfStyle w:val="100000000000" w:firstRow="1" w:lastRow="0" w:firstColumn="0" w:lastColumn="0" w:oddVBand="0" w:evenVBand="0" w:oddHBand="0" w:evenHBand="0" w:firstRowFirstColumn="0" w:firstRowLastColumn="0" w:lastRowFirstColumn="0" w:lastRowLastColumn="0"/>
              <w:rPr>
                <w:lang w:val="pl-PL"/>
              </w:rPr>
            </w:pPr>
            <w:r w:rsidRPr="005B63BD">
              <w:rPr>
                <w:lang w:eastAsia="pl-PL"/>
              </w:rPr>
              <w:t>2017</w:t>
            </w:r>
          </w:p>
        </w:tc>
        <w:tc>
          <w:tcPr>
            <w:tcW w:w="1959" w:type="dxa"/>
          </w:tcPr>
          <w:p w14:paraId="0F2FBB6E" w14:textId="77AAB9C6" w:rsidR="00416076" w:rsidRDefault="00416076" w:rsidP="00FB2C29">
            <w:pPr>
              <w:spacing w:line="360" w:lineRule="auto"/>
              <w:ind w:left="0"/>
              <w:contextualSpacing/>
              <w:cnfStyle w:val="100000000000" w:firstRow="1" w:lastRow="0" w:firstColumn="0" w:lastColumn="0" w:oddVBand="0" w:evenVBand="0" w:oddHBand="0" w:evenHBand="0" w:firstRowFirstColumn="0" w:firstRowLastColumn="0" w:lastRowFirstColumn="0" w:lastRowLastColumn="0"/>
              <w:rPr>
                <w:lang w:val="pl-PL"/>
              </w:rPr>
            </w:pPr>
            <w:r w:rsidRPr="005B63BD">
              <w:rPr>
                <w:lang w:eastAsia="pl-PL"/>
              </w:rPr>
              <w:t>2018</w:t>
            </w:r>
          </w:p>
        </w:tc>
        <w:tc>
          <w:tcPr>
            <w:tcW w:w="1959" w:type="dxa"/>
          </w:tcPr>
          <w:p w14:paraId="35361239" w14:textId="6BA5E51A" w:rsidR="00416076" w:rsidRDefault="00416076" w:rsidP="00FB2C29">
            <w:pPr>
              <w:spacing w:line="360" w:lineRule="auto"/>
              <w:ind w:left="0"/>
              <w:contextualSpacing/>
              <w:cnfStyle w:val="100000000000" w:firstRow="1" w:lastRow="0" w:firstColumn="0" w:lastColumn="0" w:oddVBand="0" w:evenVBand="0" w:oddHBand="0" w:evenHBand="0" w:firstRowFirstColumn="0" w:firstRowLastColumn="0" w:lastRowFirstColumn="0" w:lastRowLastColumn="0"/>
              <w:rPr>
                <w:lang w:val="pl-PL"/>
              </w:rPr>
            </w:pPr>
            <w:r w:rsidRPr="005B63BD">
              <w:rPr>
                <w:lang w:eastAsia="pl-PL"/>
              </w:rPr>
              <w:t>2019</w:t>
            </w:r>
          </w:p>
        </w:tc>
        <w:tc>
          <w:tcPr>
            <w:tcW w:w="1406" w:type="dxa"/>
          </w:tcPr>
          <w:p w14:paraId="76A2EB32" w14:textId="77777777" w:rsidR="00416076" w:rsidRDefault="00416076" w:rsidP="00FB2C29">
            <w:pPr>
              <w:spacing w:line="360" w:lineRule="auto"/>
              <w:ind w:left="0"/>
              <w:contextualSpacing/>
              <w:cnfStyle w:val="100000000000" w:firstRow="1" w:lastRow="0" w:firstColumn="0" w:lastColumn="0" w:oddVBand="0" w:evenVBand="0" w:oddHBand="0" w:evenHBand="0" w:firstRowFirstColumn="0" w:firstRowLastColumn="0" w:lastRowFirstColumn="0" w:lastRowLastColumn="0"/>
              <w:rPr>
                <w:b w:val="0"/>
                <w:lang w:eastAsia="pl-PL"/>
              </w:rPr>
            </w:pPr>
            <w:r w:rsidRPr="005B63BD">
              <w:rPr>
                <w:lang w:eastAsia="pl-PL"/>
              </w:rPr>
              <w:t xml:space="preserve">Dynamika wzrostu </w:t>
            </w:r>
          </w:p>
          <w:p w14:paraId="7665F570" w14:textId="7AA3BD52" w:rsidR="00FB2C29" w:rsidRDefault="00FB2C29" w:rsidP="00FB2C29">
            <w:pPr>
              <w:spacing w:line="360" w:lineRule="auto"/>
              <w:ind w:left="0"/>
              <w:contextualSpacing/>
              <w:cnfStyle w:val="100000000000" w:firstRow="1" w:lastRow="0" w:firstColumn="0" w:lastColumn="0" w:oddVBand="0" w:evenVBand="0" w:oddHBand="0" w:evenHBand="0" w:firstRowFirstColumn="0" w:firstRowLastColumn="0" w:lastRowFirstColumn="0" w:lastRowLastColumn="0"/>
              <w:rPr>
                <w:lang w:val="pl-PL"/>
              </w:rPr>
            </w:pPr>
          </w:p>
        </w:tc>
      </w:tr>
      <w:tr w:rsidR="00416076" w14:paraId="51A7C49E" w14:textId="77777777" w:rsidTr="00FB2C29">
        <w:tc>
          <w:tcPr>
            <w:cnfStyle w:val="001000000000" w:firstRow="0" w:lastRow="0" w:firstColumn="1" w:lastColumn="0" w:oddVBand="0" w:evenVBand="0" w:oddHBand="0" w:evenHBand="0" w:firstRowFirstColumn="0" w:firstRowLastColumn="0" w:lastRowFirstColumn="0" w:lastRowLastColumn="0"/>
            <w:tcW w:w="2830" w:type="dxa"/>
          </w:tcPr>
          <w:p w14:paraId="64BC42E2" w14:textId="493A56D9" w:rsidR="00416076" w:rsidRDefault="00416076" w:rsidP="00FB2C29">
            <w:pPr>
              <w:spacing w:line="240" w:lineRule="auto"/>
              <w:ind w:left="0"/>
              <w:contextualSpacing/>
              <w:rPr>
                <w:lang w:val="pl-PL"/>
              </w:rPr>
            </w:pPr>
            <w:r>
              <w:rPr>
                <w:lang w:eastAsia="pl-PL"/>
              </w:rPr>
              <w:t>Dochody ogółem (w zł)</w:t>
            </w:r>
          </w:p>
        </w:tc>
        <w:tc>
          <w:tcPr>
            <w:tcW w:w="1958" w:type="dxa"/>
          </w:tcPr>
          <w:p w14:paraId="255ED6BB" w14:textId="5E22ABE1" w:rsidR="00416076" w:rsidRDefault="00416076" w:rsidP="00FB2C29">
            <w:pPr>
              <w:spacing w:line="360"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962 418 789,47</w:t>
            </w:r>
          </w:p>
        </w:tc>
        <w:tc>
          <w:tcPr>
            <w:tcW w:w="1958" w:type="dxa"/>
          </w:tcPr>
          <w:p w14:paraId="42609CB9" w14:textId="7328C9E6" w:rsidR="00416076" w:rsidRDefault="00416076" w:rsidP="00FB2C29">
            <w:pPr>
              <w:spacing w:line="360"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1 119 101 483,99</w:t>
            </w:r>
          </w:p>
        </w:tc>
        <w:tc>
          <w:tcPr>
            <w:tcW w:w="1958" w:type="dxa"/>
          </w:tcPr>
          <w:p w14:paraId="0F69486A" w14:textId="7ED683B9" w:rsidR="00416076" w:rsidRDefault="00416076" w:rsidP="00FB2C29">
            <w:pPr>
              <w:spacing w:line="360"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1 182 944 742,07</w:t>
            </w:r>
          </w:p>
        </w:tc>
        <w:tc>
          <w:tcPr>
            <w:tcW w:w="1959" w:type="dxa"/>
          </w:tcPr>
          <w:p w14:paraId="550BD0DD" w14:textId="06884420" w:rsidR="00416076" w:rsidRDefault="00416076" w:rsidP="00FB2C29">
            <w:pPr>
              <w:spacing w:line="360"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1 251 781 049,95</w:t>
            </w:r>
          </w:p>
        </w:tc>
        <w:tc>
          <w:tcPr>
            <w:tcW w:w="1959" w:type="dxa"/>
          </w:tcPr>
          <w:p w14:paraId="41589DA1" w14:textId="34AA331A" w:rsidR="00416076" w:rsidRDefault="00416076" w:rsidP="00FB2C29">
            <w:pPr>
              <w:spacing w:line="360"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1 373 350 460,85</w:t>
            </w:r>
          </w:p>
        </w:tc>
        <w:tc>
          <w:tcPr>
            <w:tcW w:w="1406" w:type="dxa"/>
          </w:tcPr>
          <w:p w14:paraId="7FA4002D" w14:textId="00773E1F" w:rsidR="00416076" w:rsidRDefault="00416076" w:rsidP="00FB2C29">
            <w:pPr>
              <w:spacing w:line="360"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29,92%</w:t>
            </w:r>
          </w:p>
        </w:tc>
      </w:tr>
      <w:tr w:rsidR="00416076" w14:paraId="58BA48B9" w14:textId="77777777" w:rsidTr="00FB2C29">
        <w:tc>
          <w:tcPr>
            <w:cnfStyle w:val="001000000000" w:firstRow="0" w:lastRow="0" w:firstColumn="1" w:lastColumn="0" w:oddVBand="0" w:evenVBand="0" w:oddHBand="0" w:evenHBand="0" w:firstRowFirstColumn="0" w:firstRowLastColumn="0" w:lastRowFirstColumn="0" w:lastRowLastColumn="0"/>
            <w:tcW w:w="2830" w:type="dxa"/>
          </w:tcPr>
          <w:p w14:paraId="2C2ECE6C" w14:textId="7996DE49" w:rsidR="00416076" w:rsidRDefault="00416076" w:rsidP="00FB2C29">
            <w:pPr>
              <w:spacing w:line="240" w:lineRule="auto"/>
              <w:ind w:left="0"/>
              <w:contextualSpacing/>
              <w:rPr>
                <w:lang w:val="pl-PL"/>
              </w:rPr>
            </w:pPr>
            <w:r w:rsidRPr="005B63BD">
              <w:rPr>
                <w:b w:val="0"/>
                <w:bCs/>
                <w:i/>
                <w:iCs/>
                <w:lang w:eastAsia="pl-PL"/>
              </w:rPr>
              <w:t>Dochody bieżące (w zł)</w:t>
            </w:r>
          </w:p>
        </w:tc>
        <w:tc>
          <w:tcPr>
            <w:tcW w:w="1958" w:type="dxa"/>
          </w:tcPr>
          <w:p w14:paraId="1AB1C3BA" w14:textId="2BDA8B1C" w:rsidR="00416076" w:rsidRDefault="00416076" w:rsidP="00FB2C29">
            <w:pPr>
              <w:spacing w:line="360"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sidRPr="00703D43">
              <w:rPr>
                <w:lang w:eastAsia="pl-PL"/>
              </w:rPr>
              <w:t>930 118 476,95</w:t>
            </w:r>
          </w:p>
        </w:tc>
        <w:tc>
          <w:tcPr>
            <w:tcW w:w="1958" w:type="dxa"/>
          </w:tcPr>
          <w:p w14:paraId="30AE7CC8" w14:textId="7A178876" w:rsidR="00416076" w:rsidRDefault="00416076" w:rsidP="00FB2C29">
            <w:pPr>
              <w:spacing w:line="360"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sidRPr="00703D43">
              <w:rPr>
                <w:lang w:eastAsia="pl-PL"/>
              </w:rPr>
              <w:t>1 105 978 935,18</w:t>
            </w:r>
          </w:p>
        </w:tc>
        <w:tc>
          <w:tcPr>
            <w:tcW w:w="1958" w:type="dxa"/>
          </w:tcPr>
          <w:p w14:paraId="30F5BFB3" w14:textId="73DB0828" w:rsidR="00416076" w:rsidRDefault="00416076" w:rsidP="00FB2C29">
            <w:pPr>
              <w:spacing w:line="360"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sidRPr="00703D43">
              <w:rPr>
                <w:lang w:eastAsia="pl-PL"/>
              </w:rPr>
              <w:t>1 163 587 640,01</w:t>
            </w:r>
          </w:p>
        </w:tc>
        <w:tc>
          <w:tcPr>
            <w:tcW w:w="1959" w:type="dxa"/>
          </w:tcPr>
          <w:p w14:paraId="5EC814F6" w14:textId="34D4D8F3" w:rsidR="00416076" w:rsidRDefault="00416076" w:rsidP="00FB2C29">
            <w:pPr>
              <w:spacing w:line="360"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sidRPr="00703D43">
              <w:rPr>
                <w:lang w:eastAsia="pl-PL"/>
              </w:rPr>
              <w:t>1 197 242 870,03</w:t>
            </w:r>
          </w:p>
        </w:tc>
        <w:tc>
          <w:tcPr>
            <w:tcW w:w="1959" w:type="dxa"/>
          </w:tcPr>
          <w:p w14:paraId="3CD90087" w14:textId="6493A3D6" w:rsidR="00416076" w:rsidRDefault="00416076" w:rsidP="00FB2C29">
            <w:pPr>
              <w:spacing w:line="360"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sidRPr="00703D43">
              <w:rPr>
                <w:lang w:eastAsia="pl-PL"/>
              </w:rPr>
              <w:t>1 313 594 353,78</w:t>
            </w:r>
          </w:p>
        </w:tc>
        <w:tc>
          <w:tcPr>
            <w:tcW w:w="1406" w:type="dxa"/>
          </w:tcPr>
          <w:p w14:paraId="6BF608BE" w14:textId="0F01467A" w:rsidR="00416076" w:rsidRDefault="00416076" w:rsidP="00FB2C29">
            <w:pPr>
              <w:spacing w:line="360"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sidRPr="00703D43">
              <w:rPr>
                <w:lang w:eastAsia="pl-PL"/>
              </w:rPr>
              <w:t>29,19%</w:t>
            </w:r>
          </w:p>
        </w:tc>
      </w:tr>
      <w:tr w:rsidR="00416076" w14:paraId="4297D7D3" w14:textId="77777777" w:rsidTr="00FB2C29">
        <w:tc>
          <w:tcPr>
            <w:cnfStyle w:val="001000000000" w:firstRow="0" w:lastRow="0" w:firstColumn="1" w:lastColumn="0" w:oddVBand="0" w:evenVBand="0" w:oddHBand="0" w:evenHBand="0" w:firstRowFirstColumn="0" w:firstRowLastColumn="0" w:lastRowFirstColumn="0" w:lastRowLastColumn="0"/>
            <w:tcW w:w="2830" w:type="dxa"/>
          </w:tcPr>
          <w:p w14:paraId="7D84CA07" w14:textId="3EF961DB" w:rsidR="00416076" w:rsidRDefault="00416076" w:rsidP="00FB2C29">
            <w:pPr>
              <w:spacing w:line="240" w:lineRule="auto"/>
              <w:ind w:left="0"/>
              <w:contextualSpacing/>
              <w:rPr>
                <w:lang w:val="pl-PL"/>
              </w:rPr>
            </w:pPr>
            <w:r w:rsidRPr="005B63BD">
              <w:rPr>
                <w:b w:val="0"/>
                <w:bCs/>
                <w:i/>
                <w:iCs/>
                <w:lang w:eastAsia="pl-PL"/>
              </w:rPr>
              <w:t>Dochody majątkowe (w zł)</w:t>
            </w:r>
          </w:p>
        </w:tc>
        <w:tc>
          <w:tcPr>
            <w:tcW w:w="1958" w:type="dxa"/>
          </w:tcPr>
          <w:p w14:paraId="6A47732A" w14:textId="002BD67E" w:rsidR="00416076" w:rsidRDefault="00416076" w:rsidP="00FB2C29">
            <w:pPr>
              <w:spacing w:line="360"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sidRPr="00703D43">
              <w:rPr>
                <w:lang w:eastAsia="pl-PL"/>
              </w:rPr>
              <w:t>32 300 312,52</w:t>
            </w:r>
          </w:p>
        </w:tc>
        <w:tc>
          <w:tcPr>
            <w:tcW w:w="1958" w:type="dxa"/>
          </w:tcPr>
          <w:p w14:paraId="5219FF94" w14:textId="2CD061A3" w:rsidR="00416076" w:rsidRDefault="00416076" w:rsidP="00FB2C29">
            <w:pPr>
              <w:spacing w:line="360"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sidRPr="00703D43">
              <w:rPr>
                <w:lang w:eastAsia="pl-PL"/>
              </w:rPr>
              <w:t>13 122 548,81</w:t>
            </w:r>
          </w:p>
        </w:tc>
        <w:tc>
          <w:tcPr>
            <w:tcW w:w="1958" w:type="dxa"/>
          </w:tcPr>
          <w:p w14:paraId="4A6EAB21" w14:textId="513E7718" w:rsidR="00416076" w:rsidRDefault="00416076" w:rsidP="00FB2C29">
            <w:pPr>
              <w:spacing w:line="360"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sidRPr="00703D43">
              <w:rPr>
                <w:lang w:eastAsia="pl-PL"/>
              </w:rPr>
              <w:t>19 357 102,06</w:t>
            </w:r>
          </w:p>
        </w:tc>
        <w:tc>
          <w:tcPr>
            <w:tcW w:w="1959" w:type="dxa"/>
          </w:tcPr>
          <w:p w14:paraId="12A7ED14" w14:textId="646BA384" w:rsidR="00416076" w:rsidRDefault="00416076" w:rsidP="00FB2C29">
            <w:pPr>
              <w:spacing w:line="360"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sidRPr="00703D43">
              <w:rPr>
                <w:lang w:eastAsia="pl-PL"/>
              </w:rPr>
              <w:t>54 538 179,92</w:t>
            </w:r>
          </w:p>
        </w:tc>
        <w:tc>
          <w:tcPr>
            <w:tcW w:w="1959" w:type="dxa"/>
          </w:tcPr>
          <w:p w14:paraId="4F3ED4CF" w14:textId="106CE9F4" w:rsidR="00416076" w:rsidRDefault="00416076" w:rsidP="00FB2C29">
            <w:pPr>
              <w:spacing w:line="360"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sidRPr="00703D43">
              <w:rPr>
                <w:lang w:eastAsia="pl-PL"/>
              </w:rPr>
              <w:t>59 756 107,07</w:t>
            </w:r>
          </w:p>
        </w:tc>
        <w:tc>
          <w:tcPr>
            <w:tcW w:w="1406" w:type="dxa"/>
          </w:tcPr>
          <w:p w14:paraId="3876DA0C" w14:textId="3D57F7CE" w:rsidR="00416076" w:rsidRDefault="00416076" w:rsidP="00FB2C29">
            <w:pPr>
              <w:spacing w:line="360"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sidRPr="00703D43">
              <w:rPr>
                <w:lang w:eastAsia="pl-PL"/>
              </w:rPr>
              <w:t>45,95%</w:t>
            </w:r>
          </w:p>
        </w:tc>
      </w:tr>
      <w:tr w:rsidR="00416076" w14:paraId="4ADF5E83" w14:textId="77777777" w:rsidTr="00FB2C29">
        <w:tc>
          <w:tcPr>
            <w:cnfStyle w:val="001000000000" w:firstRow="0" w:lastRow="0" w:firstColumn="1" w:lastColumn="0" w:oddVBand="0" w:evenVBand="0" w:oddHBand="0" w:evenHBand="0" w:firstRowFirstColumn="0" w:firstRowLastColumn="0" w:lastRowFirstColumn="0" w:lastRowLastColumn="0"/>
            <w:tcW w:w="2830" w:type="dxa"/>
          </w:tcPr>
          <w:p w14:paraId="563F8ED8" w14:textId="72CA5C38" w:rsidR="00416076" w:rsidRDefault="00416076" w:rsidP="00FB2C29">
            <w:pPr>
              <w:spacing w:line="240" w:lineRule="auto"/>
              <w:ind w:left="0"/>
              <w:contextualSpacing/>
              <w:rPr>
                <w:lang w:val="pl-PL"/>
              </w:rPr>
            </w:pPr>
            <w:r>
              <w:rPr>
                <w:lang w:eastAsia="pl-PL"/>
              </w:rPr>
              <w:t>Wydatki ogółem (w zł)</w:t>
            </w:r>
          </w:p>
        </w:tc>
        <w:tc>
          <w:tcPr>
            <w:tcW w:w="1958" w:type="dxa"/>
          </w:tcPr>
          <w:p w14:paraId="5F57E276" w14:textId="5840CDFF" w:rsidR="00416076" w:rsidRDefault="00416076" w:rsidP="00FB2C29">
            <w:pPr>
              <w:spacing w:line="360"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1 097 730 131,46</w:t>
            </w:r>
          </w:p>
        </w:tc>
        <w:tc>
          <w:tcPr>
            <w:tcW w:w="1958" w:type="dxa"/>
          </w:tcPr>
          <w:p w14:paraId="4997BB95" w14:textId="492BA101" w:rsidR="00416076" w:rsidRDefault="00416076" w:rsidP="00FB2C29">
            <w:pPr>
              <w:spacing w:line="360"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1 255 274 821,30</w:t>
            </w:r>
          </w:p>
        </w:tc>
        <w:tc>
          <w:tcPr>
            <w:tcW w:w="1958" w:type="dxa"/>
          </w:tcPr>
          <w:p w14:paraId="5D04207D" w14:textId="29CC7663" w:rsidR="00416076" w:rsidRDefault="00416076" w:rsidP="00FB2C29">
            <w:pPr>
              <w:spacing w:line="360"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1 458 567 157,51</w:t>
            </w:r>
          </w:p>
        </w:tc>
        <w:tc>
          <w:tcPr>
            <w:tcW w:w="1959" w:type="dxa"/>
          </w:tcPr>
          <w:p w14:paraId="025F41B1" w14:textId="23E67155" w:rsidR="00416076" w:rsidRDefault="00416076" w:rsidP="00FB2C29">
            <w:pPr>
              <w:spacing w:line="360"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1 658 035 055,13</w:t>
            </w:r>
          </w:p>
        </w:tc>
        <w:tc>
          <w:tcPr>
            <w:tcW w:w="1959" w:type="dxa"/>
          </w:tcPr>
          <w:p w14:paraId="1B67D475" w14:textId="5A969AA6" w:rsidR="00416076" w:rsidRDefault="00416076" w:rsidP="00FB2C29">
            <w:pPr>
              <w:spacing w:line="360"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1 625 843 817,19</w:t>
            </w:r>
          </w:p>
        </w:tc>
        <w:tc>
          <w:tcPr>
            <w:tcW w:w="1406" w:type="dxa"/>
          </w:tcPr>
          <w:p w14:paraId="794E45F9" w14:textId="5EB7CB2A" w:rsidR="00416076" w:rsidRDefault="00416076" w:rsidP="00FB2C29">
            <w:pPr>
              <w:spacing w:line="360"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32,48%</w:t>
            </w:r>
          </w:p>
        </w:tc>
      </w:tr>
      <w:tr w:rsidR="00416076" w14:paraId="23C72B04" w14:textId="77777777" w:rsidTr="00FB2C29">
        <w:tc>
          <w:tcPr>
            <w:cnfStyle w:val="001000000000" w:firstRow="0" w:lastRow="0" w:firstColumn="1" w:lastColumn="0" w:oddVBand="0" w:evenVBand="0" w:oddHBand="0" w:evenHBand="0" w:firstRowFirstColumn="0" w:firstRowLastColumn="0" w:lastRowFirstColumn="0" w:lastRowLastColumn="0"/>
            <w:tcW w:w="2830" w:type="dxa"/>
          </w:tcPr>
          <w:p w14:paraId="7639A792" w14:textId="4BF9E392" w:rsidR="00416076" w:rsidRDefault="00416076" w:rsidP="00FB2C29">
            <w:pPr>
              <w:spacing w:line="240" w:lineRule="auto"/>
              <w:ind w:left="0"/>
              <w:contextualSpacing/>
              <w:rPr>
                <w:lang w:val="pl-PL"/>
              </w:rPr>
            </w:pPr>
            <w:r w:rsidRPr="005B63BD">
              <w:rPr>
                <w:b w:val="0"/>
                <w:bCs/>
                <w:i/>
                <w:iCs/>
                <w:lang w:eastAsia="pl-PL"/>
              </w:rPr>
              <w:t>Wydatki majątkowe (w zł)</w:t>
            </w:r>
          </w:p>
        </w:tc>
        <w:tc>
          <w:tcPr>
            <w:tcW w:w="1958" w:type="dxa"/>
          </w:tcPr>
          <w:p w14:paraId="1CDE8008" w14:textId="4C9C45A9" w:rsidR="00416076" w:rsidRDefault="00416076" w:rsidP="00FB2C29">
            <w:pPr>
              <w:spacing w:line="360"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sidRPr="00703D43">
              <w:rPr>
                <w:lang w:eastAsia="pl-PL"/>
              </w:rPr>
              <w:t>113 421 457,80</w:t>
            </w:r>
          </w:p>
        </w:tc>
        <w:tc>
          <w:tcPr>
            <w:tcW w:w="1958" w:type="dxa"/>
          </w:tcPr>
          <w:p w14:paraId="1EE26D47" w14:textId="22293445" w:rsidR="00416076" w:rsidRDefault="00416076" w:rsidP="00FB2C29">
            <w:pPr>
              <w:spacing w:line="360"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sidRPr="00703D43">
              <w:rPr>
                <w:lang w:eastAsia="pl-PL"/>
              </w:rPr>
              <w:t>115 232 957,44</w:t>
            </w:r>
          </w:p>
        </w:tc>
        <w:tc>
          <w:tcPr>
            <w:tcW w:w="1958" w:type="dxa"/>
          </w:tcPr>
          <w:p w14:paraId="6F87035F" w14:textId="21C706AC" w:rsidR="00416076" w:rsidRDefault="00416076" w:rsidP="00FB2C29">
            <w:pPr>
              <w:spacing w:line="360"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sidRPr="00703D43">
              <w:rPr>
                <w:lang w:eastAsia="pl-PL"/>
              </w:rPr>
              <w:t>176 161 265,73</w:t>
            </w:r>
          </w:p>
        </w:tc>
        <w:tc>
          <w:tcPr>
            <w:tcW w:w="1959" w:type="dxa"/>
          </w:tcPr>
          <w:p w14:paraId="299957C3" w14:textId="6B57B286" w:rsidR="00416076" w:rsidRDefault="00416076" w:rsidP="00FB2C29">
            <w:pPr>
              <w:spacing w:line="360"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sidRPr="00703D43">
              <w:rPr>
                <w:lang w:eastAsia="pl-PL"/>
              </w:rPr>
              <w:t>250 515 231,34</w:t>
            </w:r>
          </w:p>
        </w:tc>
        <w:tc>
          <w:tcPr>
            <w:tcW w:w="1959" w:type="dxa"/>
          </w:tcPr>
          <w:p w14:paraId="7AC89E3E" w14:textId="1E68A7CE" w:rsidR="00416076" w:rsidRDefault="00416076" w:rsidP="00FB2C29">
            <w:pPr>
              <w:spacing w:line="360"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sidRPr="00703D43">
              <w:rPr>
                <w:lang w:eastAsia="pl-PL"/>
              </w:rPr>
              <w:t>192 042 108,06</w:t>
            </w:r>
          </w:p>
        </w:tc>
        <w:tc>
          <w:tcPr>
            <w:tcW w:w="1406" w:type="dxa"/>
          </w:tcPr>
          <w:p w14:paraId="7D6B9885" w14:textId="2FFA5DAF" w:rsidR="00416076" w:rsidRDefault="00416076" w:rsidP="00FB2C29">
            <w:pPr>
              <w:spacing w:line="360"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sidRPr="00703D43">
              <w:rPr>
                <w:lang w:eastAsia="pl-PL"/>
              </w:rPr>
              <w:t>40,94%</w:t>
            </w:r>
          </w:p>
        </w:tc>
      </w:tr>
      <w:tr w:rsidR="00416076" w14:paraId="76DCBEDC" w14:textId="77777777" w:rsidTr="00FB2C29">
        <w:tc>
          <w:tcPr>
            <w:cnfStyle w:val="001000000000" w:firstRow="0" w:lastRow="0" w:firstColumn="1" w:lastColumn="0" w:oddVBand="0" w:evenVBand="0" w:oddHBand="0" w:evenHBand="0" w:firstRowFirstColumn="0" w:firstRowLastColumn="0" w:lastRowFirstColumn="0" w:lastRowLastColumn="0"/>
            <w:tcW w:w="2830" w:type="dxa"/>
          </w:tcPr>
          <w:p w14:paraId="2ACA064E" w14:textId="32E8BFDE" w:rsidR="00416076" w:rsidRDefault="00416076" w:rsidP="00FB2C29">
            <w:pPr>
              <w:spacing w:line="240" w:lineRule="auto"/>
              <w:ind w:left="0"/>
              <w:contextualSpacing/>
              <w:rPr>
                <w:lang w:val="pl-PL"/>
              </w:rPr>
            </w:pPr>
            <w:r w:rsidRPr="005B63BD">
              <w:rPr>
                <w:b w:val="0"/>
                <w:bCs/>
                <w:i/>
                <w:iCs/>
                <w:lang w:eastAsia="pl-PL"/>
              </w:rPr>
              <w:t>Wydatki bieżące (w zł)</w:t>
            </w:r>
          </w:p>
        </w:tc>
        <w:tc>
          <w:tcPr>
            <w:tcW w:w="1958" w:type="dxa"/>
          </w:tcPr>
          <w:p w14:paraId="2360AD9D" w14:textId="26157174" w:rsidR="00416076" w:rsidRDefault="00416076" w:rsidP="00FB2C29">
            <w:pPr>
              <w:spacing w:line="360"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sidRPr="00703D43">
              <w:rPr>
                <w:lang w:eastAsia="pl-PL"/>
              </w:rPr>
              <w:t>841 253 705,99</w:t>
            </w:r>
          </w:p>
        </w:tc>
        <w:tc>
          <w:tcPr>
            <w:tcW w:w="1958" w:type="dxa"/>
          </w:tcPr>
          <w:p w14:paraId="4EF11A41" w14:textId="1FAE45C3" w:rsidR="00416076" w:rsidRDefault="00416076" w:rsidP="00FB2C29">
            <w:pPr>
              <w:spacing w:line="360"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sidRPr="00703D43">
              <w:rPr>
                <w:lang w:eastAsia="pl-PL"/>
              </w:rPr>
              <w:t>996 400 690,93</w:t>
            </w:r>
          </w:p>
        </w:tc>
        <w:tc>
          <w:tcPr>
            <w:tcW w:w="1958" w:type="dxa"/>
          </w:tcPr>
          <w:p w14:paraId="12890EA0" w14:textId="7BB6FC6A" w:rsidR="00416076" w:rsidRDefault="00416076" w:rsidP="00FB2C29">
            <w:pPr>
              <w:spacing w:line="360"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sidRPr="00703D43">
              <w:rPr>
                <w:lang w:eastAsia="pl-PL"/>
              </w:rPr>
              <w:t>1 062 094 520,40</w:t>
            </w:r>
          </w:p>
        </w:tc>
        <w:tc>
          <w:tcPr>
            <w:tcW w:w="1959" w:type="dxa"/>
          </w:tcPr>
          <w:p w14:paraId="2F02CFE4" w14:textId="35FE5FA7" w:rsidR="00416076" w:rsidRDefault="00416076" w:rsidP="00FB2C29">
            <w:pPr>
              <w:spacing w:line="360"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sidRPr="00703D43">
              <w:rPr>
                <w:lang w:eastAsia="pl-PL"/>
              </w:rPr>
              <w:t>1 099 697 273,30</w:t>
            </w:r>
          </w:p>
        </w:tc>
        <w:tc>
          <w:tcPr>
            <w:tcW w:w="1959" w:type="dxa"/>
          </w:tcPr>
          <w:p w14:paraId="19EE2769" w14:textId="7AA847EE" w:rsidR="00416076" w:rsidRDefault="00416076" w:rsidP="00FB2C29">
            <w:pPr>
              <w:spacing w:line="360"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sidRPr="00703D43">
              <w:rPr>
                <w:lang w:eastAsia="pl-PL"/>
              </w:rPr>
              <w:t>1 190 331 963,42</w:t>
            </w:r>
          </w:p>
        </w:tc>
        <w:tc>
          <w:tcPr>
            <w:tcW w:w="1406" w:type="dxa"/>
          </w:tcPr>
          <w:p w14:paraId="606AA8DB" w14:textId="24DC737E" w:rsidR="00416076" w:rsidRDefault="00416076" w:rsidP="00FB2C29">
            <w:pPr>
              <w:spacing w:line="360"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sidRPr="00703D43">
              <w:rPr>
                <w:lang w:eastAsia="pl-PL"/>
              </w:rPr>
              <w:t>29,33%</w:t>
            </w:r>
          </w:p>
        </w:tc>
      </w:tr>
      <w:tr w:rsidR="00416076" w14:paraId="2945BECC" w14:textId="77777777" w:rsidTr="00FB2C29">
        <w:tc>
          <w:tcPr>
            <w:cnfStyle w:val="001000000000" w:firstRow="0" w:lastRow="0" w:firstColumn="1" w:lastColumn="0" w:oddVBand="0" w:evenVBand="0" w:oddHBand="0" w:evenHBand="0" w:firstRowFirstColumn="0" w:firstRowLastColumn="0" w:lastRowFirstColumn="0" w:lastRowLastColumn="0"/>
            <w:tcW w:w="2830" w:type="dxa"/>
          </w:tcPr>
          <w:p w14:paraId="0D92EDF1" w14:textId="38477055" w:rsidR="00416076" w:rsidRDefault="00416076" w:rsidP="00FB2C29">
            <w:pPr>
              <w:spacing w:line="240" w:lineRule="auto"/>
              <w:ind w:left="0"/>
              <w:contextualSpacing/>
              <w:rPr>
                <w:lang w:val="pl-PL"/>
              </w:rPr>
            </w:pPr>
            <w:r>
              <w:rPr>
                <w:lang w:eastAsia="pl-PL"/>
              </w:rPr>
              <w:t>Wynik budżetu (w zł)</w:t>
            </w:r>
          </w:p>
        </w:tc>
        <w:tc>
          <w:tcPr>
            <w:tcW w:w="1958" w:type="dxa"/>
          </w:tcPr>
          <w:p w14:paraId="58BEFF4E" w14:textId="27AD3244" w:rsidR="00416076" w:rsidRDefault="00416076" w:rsidP="00FB2C29">
            <w:pPr>
              <w:spacing w:line="360"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sidRPr="00703D43">
              <w:rPr>
                <w:lang w:eastAsia="pl-PL"/>
              </w:rPr>
              <w:t>-135 311 341,99</w:t>
            </w:r>
          </w:p>
        </w:tc>
        <w:tc>
          <w:tcPr>
            <w:tcW w:w="1958" w:type="dxa"/>
          </w:tcPr>
          <w:p w14:paraId="32553B7D" w14:textId="3A6E15D2" w:rsidR="00416076" w:rsidRDefault="00416076" w:rsidP="00FB2C29">
            <w:pPr>
              <w:spacing w:line="360"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sidRPr="00703D43">
              <w:rPr>
                <w:lang w:eastAsia="pl-PL"/>
              </w:rPr>
              <w:t>-136 173 337,31</w:t>
            </w:r>
          </w:p>
        </w:tc>
        <w:tc>
          <w:tcPr>
            <w:tcW w:w="1958" w:type="dxa"/>
          </w:tcPr>
          <w:p w14:paraId="0AD7F052" w14:textId="2C47FF31" w:rsidR="00416076" w:rsidRDefault="00416076" w:rsidP="00FB2C29">
            <w:pPr>
              <w:spacing w:line="360"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sidRPr="00703D43">
              <w:rPr>
                <w:lang w:eastAsia="pl-PL"/>
              </w:rPr>
              <w:t>-275 622 415,44</w:t>
            </w:r>
          </w:p>
        </w:tc>
        <w:tc>
          <w:tcPr>
            <w:tcW w:w="1959" w:type="dxa"/>
          </w:tcPr>
          <w:p w14:paraId="192B3F53" w14:textId="6115D5D6" w:rsidR="00416076" w:rsidRDefault="00416076" w:rsidP="00FB2C29">
            <w:pPr>
              <w:spacing w:line="360"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sidRPr="00703D43">
              <w:rPr>
                <w:lang w:eastAsia="pl-PL"/>
              </w:rPr>
              <w:t>-406 254 005,18</w:t>
            </w:r>
          </w:p>
        </w:tc>
        <w:tc>
          <w:tcPr>
            <w:tcW w:w="1959" w:type="dxa"/>
          </w:tcPr>
          <w:p w14:paraId="2B291C36" w14:textId="1DB9672F" w:rsidR="00416076" w:rsidRDefault="00416076" w:rsidP="00FB2C29">
            <w:pPr>
              <w:spacing w:line="360"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sidRPr="00703D43">
              <w:rPr>
                <w:lang w:eastAsia="pl-PL"/>
              </w:rPr>
              <w:t>-252 493 356,34</w:t>
            </w:r>
          </w:p>
        </w:tc>
        <w:tc>
          <w:tcPr>
            <w:tcW w:w="1406" w:type="dxa"/>
          </w:tcPr>
          <w:p w14:paraId="632BFAEA" w14:textId="6CB833E3" w:rsidR="00416076" w:rsidRDefault="00416076" w:rsidP="00FB2C29">
            <w:pPr>
              <w:spacing w:line="360"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sidRPr="00703D43">
              <w:rPr>
                <w:lang w:eastAsia="pl-PL"/>
              </w:rPr>
              <w:t>46,41%</w:t>
            </w:r>
          </w:p>
        </w:tc>
      </w:tr>
      <w:tr w:rsidR="00416076" w14:paraId="58CAA470" w14:textId="77777777" w:rsidTr="00FB2C29">
        <w:tc>
          <w:tcPr>
            <w:cnfStyle w:val="001000000000" w:firstRow="0" w:lastRow="0" w:firstColumn="1" w:lastColumn="0" w:oddVBand="0" w:evenVBand="0" w:oddHBand="0" w:evenHBand="0" w:firstRowFirstColumn="0" w:firstRowLastColumn="0" w:lastRowFirstColumn="0" w:lastRowLastColumn="0"/>
            <w:tcW w:w="2830" w:type="dxa"/>
          </w:tcPr>
          <w:p w14:paraId="73B55F23" w14:textId="71AB860B" w:rsidR="00416076" w:rsidRDefault="00416076" w:rsidP="00FB2C29">
            <w:pPr>
              <w:spacing w:line="240" w:lineRule="auto"/>
              <w:ind w:left="0"/>
              <w:contextualSpacing/>
              <w:rPr>
                <w:lang w:val="pl-PL"/>
              </w:rPr>
            </w:pPr>
            <w:r w:rsidRPr="00416076">
              <w:rPr>
                <w:lang w:val="pl-PL" w:eastAsia="pl-PL"/>
              </w:rPr>
              <w:t>Nadwyżka operacyjna netto (w zł)</w:t>
            </w:r>
          </w:p>
        </w:tc>
        <w:tc>
          <w:tcPr>
            <w:tcW w:w="1958" w:type="dxa"/>
          </w:tcPr>
          <w:p w14:paraId="100FC96A" w14:textId="5C425A7E" w:rsidR="00416076" w:rsidRDefault="00416076" w:rsidP="00FB2C29">
            <w:pPr>
              <w:spacing w:line="360"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sidRPr="00703D43">
              <w:rPr>
                <w:lang w:eastAsia="pl-PL"/>
              </w:rPr>
              <w:t>107 028 856,42</w:t>
            </w:r>
          </w:p>
        </w:tc>
        <w:tc>
          <w:tcPr>
            <w:tcW w:w="1958" w:type="dxa"/>
          </w:tcPr>
          <w:p w14:paraId="48AE992F" w14:textId="78966F68" w:rsidR="00416076" w:rsidRDefault="00416076" w:rsidP="00FB2C29">
            <w:pPr>
              <w:spacing w:line="360"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sidRPr="00703D43">
              <w:rPr>
                <w:lang w:eastAsia="pl-PL"/>
              </w:rPr>
              <w:t>122 546 701,77</w:t>
            </w:r>
          </w:p>
        </w:tc>
        <w:tc>
          <w:tcPr>
            <w:tcW w:w="1958" w:type="dxa"/>
          </w:tcPr>
          <w:p w14:paraId="6D378A52" w14:textId="3E3CEE9B" w:rsidR="00416076" w:rsidRDefault="00416076" w:rsidP="00FB2C29">
            <w:pPr>
              <w:spacing w:line="360"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sidRPr="00703D43">
              <w:rPr>
                <w:lang w:eastAsia="pl-PL"/>
              </w:rPr>
              <w:t>130 945 300,20</w:t>
            </w:r>
          </w:p>
        </w:tc>
        <w:tc>
          <w:tcPr>
            <w:tcW w:w="1959" w:type="dxa"/>
          </w:tcPr>
          <w:p w14:paraId="06C25B5C" w14:textId="429A73AB" w:rsidR="00416076" w:rsidRDefault="00416076" w:rsidP="00FB2C29">
            <w:pPr>
              <w:spacing w:line="360"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sidRPr="00703D43">
              <w:rPr>
                <w:lang w:eastAsia="pl-PL"/>
              </w:rPr>
              <w:t>141 148 327,82</w:t>
            </w:r>
          </w:p>
        </w:tc>
        <w:tc>
          <w:tcPr>
            <w:tcW w:w="1959" w:type="dxa"/>
          </w:tcPr>
          <w:p w14:paraId="69379DBA" w14:textId="3A544C46" w:rsidR="00416076" w:rsidRDefault="00416076" w:rsidP="00FB2C29">
            <w:pPr>
              <w:spacing w:line="360"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sidRPr="00703D43">
              <w:rPr>
                <w:lang w:eastAsia="pl-PL"/>
              </w:rPr>
              <w:t>158 943 143,49</w:t>
            </w:r>
          </w:p>
        </w:tc>
        <w:tc>
          <w:tcPr>
            <w:tcW w:w="1406" w:type="dxa"/>
          </w:tcPr>
          <w:p w14:paraId="15AAE973" w14:textId="4EFEFB83" w:rsidR="00416076" w:rsidRDefault="00416076" w:rsidP="00FB2C29">
            <w:pPr>
              <w:spacing w:line="360"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sidRPr="00703D43">
              <w:rPr>
                <w:lang w:eastAsia="pl-PL"/>
              </w:rPr>
              <w:t>32,66%</w:t>
            </w:r>
          </w:p>
        </w:tc>
      </w:tr>
      <w:tr w:rsidR="00416076" w14:paraId="61306A6E" w14:textId="77777777" w:rsidTr="00FB2C29">
        <w:tc>
          <w:tcPr>
            <w:cnfStyle w:val="001000000000" w:firstRow="0" w:lastRow="0" w:firstColumn="1" w:lastColumn="0" w:oddVBand="0" w:evenVBand="0" w:oddHBand="0" w:evenHBand="0" w:firstRowFirstColumn="0" w:firstRowLastColumn="0" w:lastRowFirstColumn="0" w:lastRowLastColumn="0"/>
            <w:tcW w:w="2830" w:type="dxa"/>
          </w:tcPr>
          <w:p w14:paraId="71133759" w14:textId="2703A184" w:rsidR="00416076" w:rsidRDefault="00416076" w:rsidP="00FB2C29">
            <w:pPr>
              <w:spacing w:line="240" w:lineRule="auto"/>
              <w:ind w:left="0"/>
              <w:contextualSpacing/>
              <w:rPr>
                <w:lang w:val="pl-PL"/>
              </w:rPr>
            </w:pPr>
            <w:r w:rsidRPr="00416076">
              <w:rPr>
                <w:lang w:val="pl-PL" w:eastAsia="pl-PL"/>
              </w:rPr>
              <w:t>Spłata kredytów, pożyczek i wykup papierów wartościowych (w zł)</w:t>
            </w:r>
          </w:p>
        </w:tc>
        <w:tc>
          <w:tcPr>
            <w:tcW w:w="1958" w:type="dxa"/>
          </w:tcPr>
          <w:p w14:paraId="093F494C" w14:textId="5157FF06" w:rsidR="00416076" w:rsidRDefault="00416076" w:rsidP="00FB2C29">
            <w:pPr>
              <w:spacing w:line="360"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45 083 201,70</w:t>
            </w:r>
          </w:p>
        </w:tc>
        <w:tc>
          <w:tcPr>
            <w:tcW w:w="1958" w:type="dxa"/>
          </w:tcPr>
          <w:p w14:paraId="5BEB94BE" w14:textId="37DF5A41" w:rsidR="00416076" w:rsidRDefault="00416076" w:rsidP="00FB2C29">
            <w:pPr>
              <w:spacing w:line="360"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41 478 672,96</w:t>
            </w:r>
          </w:p>
        </w:tc>
        <w:tc>
          <w:tcPr>
            <w:tcW w:w="1958" w:type="dxa"/>
          </w:tcPr>
          <w:p w14:paraId="77B61656" w14:textId="0E96379F" w:rsidR="00416076" w:rsidRDefault="00416076" w:rsidP="00FB2C29">
            <w:pPr>
              <w:spacing w:line="360"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38 521 952,84</w:t>
            </w:r>
          </w:p>
        </w:tc>
        <w:tc>
          <w:tcPr>
            <w:tcW w:w="1959" w:type="dxa"/>
          </w:tcPr>
          <w:p w14:paraId="1F83CEDD" w14:textId="33E09798" w:rsidR="00416076" w:rsidRDefault="00416076" w:rsidP="00FB2C29">
            <w:pPr>
              <w:spacing w:line="360"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43 836 102,04</w:t>
            </w:r>
          </w:p>
        </w:tc>
        <w:tc>
          <w:tcPr>
            <w:tcW w:w="1959" w:type="dxa"/>
          </w:tcPr>
          <w:p w14:paraId="1EA3C43C" w14:textId="4A246AF9" w:rsidR="00416076" w:rsidRDefault="00416076" w:rsidP="00FB2C29">
            <w:pPr>
              <w:spacing w:line="360"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58 037 069,53</w:t>
            </w:r>
          </w:p>
        </w:tc>
        <w:tc>
          <w:tcPr>
            <w:tcW w:w="1406" w:type="dxa"/>
          </w:tcPr>
          <w:p w14:paraId="0BAC045F" w14:textId="7228BA9B" w:rsidR="00416076" w:rsidRDefault="00416076" w:rsidP="00FB2C29">
            <w:pPr>
              <w:spacing w:line="360"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22,32%</w:t>
            </w:r>
          </w:p>
        </w:tc>
      </w:tr>
      <w:tr w:rsidR="00416076" w14:paraId="078F5018" w14:textId="77777777" w:rsidTr="00FB2C29">
        <w:tc>
          <w:tcPr>
            <w:cnfStyle w:val="001000000000" w:firstRow="0" w:lastRow="0" w:firstColumn="1" w:lastColumn="0" w:oddVBand="0" w:evenVBand="0" w:oddHBand="0" w:evenHBand="0" w:firstRowFirstColumn="0" w:firstRowLastColumn="0" w:lastRowFirstColumn="0" w:lastRowLastColumn="0"/>
            <w:tcW w:w="2830" w:type="dxa"/>
          </w:tcPr>
          <w:p w14:paraId="196FE776" w14:textId="1F8BB895" w:rsidR="00416076" w:rsidRDefault="00416076" w:rsidP="00FB2C29">
            <w:pPr>
              <w:spacing w:line="240" w:lineRule="auto"/>
              <w:ind w:left="0"/>
              <w:contextualSpacing/>
              <w:rPr>
                <w:lang w:val="pl-PL"/>
              </w:rPr>
            </w:pPr>
            <w:r w:rsidRPr="00416076">
              <w:rPr>
                <w:lang w:val="pl-PL" w:eastAsia="pl-PL"/>
              </w:rPr>
              <w:t xml:space="preserve">Nadwyżka operacyjna netto pomniejszona o spłaty zobowiązań (w zł) </w:t>
            </w:r>
          </w:p>
        </w:tc>
        <w:tc>
          <w:tcPr>
            <w:tcW w:w="1958" w:type="dxa"/>
          </w:tcPr>
          <w:p w14:paraId="750F6A1D" w14:textId="4E34F1BD" w:rsidR="00416076" w:rsidRDefault="00416076" w:rsidP="00FB2C29">
            <w:pPr>
              <w:spacing w:line="360"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61 945 654,72</w:t>
            </w:r>
          </w:p>
        </w:tc>
        <w:tc>
          <w:tcPr>
            <w:tcW w:w="1958" w:type="dxa"/>
          </w:tcPr>
          <w:p w14:paraId="6B66C8FA" w14:textId="602AAFAF" w:rsidR="00416076" w:rsidRDefault="00416076" w:rsidP="00FB2C29">
            <w:pPr>
              <w:spacing w:line="360"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81 068 028,81</w:t>
            </w:r>
          </w:p>
        </w:tc>
        <w:tc>
          <w:tcPr>
            <w:tcW w:w="1958" w:type="dxa"/>
          </w:tcPr>
          <w:p w14:paraId="61391521" w14:textId="60A2A61D" w:rsidR="00416076" w:rsidRDefault="00416076" w:rsidP="00FB2C29">
            <w:pPr>
              <w:spacing w:line="360"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92 423 347,36</w:t>
            </w:r>
          </w:p>
        </w:tc>
        <w:tc>
          <w:tcPr>
            <w:tcW w:w="1959" w:type="dxa"/>
          </w:tcPr>
          <w:p w14:paraId="65EC8BFF" w14:textId="5ACB82B2" w:rsidR="00416076" w:rsidRDefault="00416076" w:rsidP="00FB2C29">
            <w:pPr>
              <w:spacing w:line="360"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97 312 225,78</w:t>
            </w:r>
          </w:p>
        </w:tc>
        <w:tc>
          <w:tcPr>
            <w:tcW w:w="1959" w:type="dxa"/>
          </w:tcPr>
          <w:p w14:paraId="3EC39CE3" w14:textId="4C61D08A" w:rsidR="00416076" w:rsidRDefault="00416076" w:rsidP="00FB2C29">
            <w:pPr>
              <w:spacing w:line="360"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100 906 073,96</w:t>
            </w:r>
          </w:p>
        </w:tc>
        <w:tc>
          <w:tcPr>
            <w:tcW w:w="1406" w:type="dxa"/>
          </w:tcPr>
          <w:p w14:paraId="716695D7" w14:textId="5F8A0ADC" w:rsidR="00416076" w:rsidRDefault="00416076" w:rsidP="00FB2C29">
            <w:pPr>
              <w:spacing w:line="360"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38,61%</w:t>
            </w:r>
          </w:p>
        </w:tc>
      </w:tr>
      <w:tr w:rsidR="00416076" w14:paraId="0B612DFA" w14:textId="77777777" w:rsidTr="00FB2C29">
        <w:tc>
          <w:tcPr>
            <w:cnfStyle w:val="001000000000" w:firstRow="0" w:lastRow="0" w:firstColumn="1" w:lastColumn="0" w:oddVBand="0" w:evenVBand="0" w:oddHBand="0" w:evenHBand="0" w:firstRowFirstColumn="0" w:firstRowLastColumn="0" w:lastRowFirstColumn="0" w:lastRowLastColumn="0"/>
            <w:tcW w:w="2830" w:type="dxa"/>
          </w:tcPr>
          <w:p w14:paraId="20006D48" w14:textId="4DCF73C3" w:rsidR="00416076" w:rsidRDefault="00416076" w:rsidP="00FB2C29">
            <w:pPr>
              <w:spacing w:line="240" w:lineRule="auto"/>
              <w:ind w:left="0"/>
              <w:contextualSpacing/>
              <w:rPr>
                <w:lang w:val="pl-PL"/>
              </w:rPr>
            </w:pPr>
            <w:r w:rsidRPr="005B63BD">
              <w:rPr>
                <w:lang w:eastAsia="pl-PL"/>
              </w:rPr>
              <w:t>Dług</w:t>
            </w:r>
            <w:r>
              <w:rPr>
                <w:lang w:eastAsia="pl-PL"/>
              </w:rPr>
              <w:t xml:space="preserve"> </w:t>
            </w:r>
          </w:p>
        </w:tc>
        <w:tc>
          <w:tcPr>
            <w:tcW w:w="1958" w:type="dxa"/>
            <w:vAlign w:val="bottom"/>
          </w:tcPr>
          <w:p w14:paraId="4B6D1E59" w14:textId="2A98D183" w:rsidR="00416076" w:rsidRDefault="00416076" w:rsidP="00FB2C29">
            <w:pPr>
              <w:spacing w:line="360"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sidRPr="005B63BD">
              <w:rPr>
                <w:rFonts w:ascii="Calibri" w:hAnsi="Calibri" w:cs="Calibri"/>
                <w:szCs w:val="24"/>
              </w:rPr>
              <w:t>231</w:t>
            </w:r>
            <w:r>
              <w:rPr>
                <w:rFonts w:ascii="Calibri" w:hAnsi="Calibri" w:cs="Calibri"/>
                <w:szCs w:val="24"/>
              </w:rPr>
              <w:t xml:space="preserve"> </w:t>
            </w:r>
            <w:r w:rsidRPr="005B63BD">
              <w:rPr>
                <w:rFonts w:ascii="Calibri" w:hAnsi="Calibri" w:cs="Calibri"/>
                <w:szCs w:val="24"/>
              </w:rPr>
              <w:t>697 067,26</w:t>
            </w:r>
          </w:p>
        </w:tc>
        <w:tc>
          <w:tcPr>
            <w:tcW w:w="1958" w:type="dxa"/>
            <w:vAlign w:val="bottom"/>
          </w:tcPr>
          <w:p w14:paraId="34322934" w14:textId="43AA67FB" w:rsidR="00416076" w:rsidRDefault="00416076" w:rsidP="00FB2C29">
            <w:pPr>
              <w:spacing w:line="360"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sidRPr="005B63BD">
              <w:rPr>
                <w:rFonts w:ascii="Calibri" w:hAnsi="Calibri" w:cs="Calibri"/>
                <w:szCs w:val="24"/>
              </w:rPr>
              <w:t>204</w:t>
            </w:r>
            <w:r>
              <w:rPr>
                <w:rFonts w:ascii="Calibri" w:hAnsi="Calibri" w:cs="Calibri"/>
                <w:szCs w:val="24"/>
              </w:rPr>
              <w:t xml:space="preserve"> </w:t>
            </w:r>
            <w:r w:rsidRPr="005B63BD">
              <w:rPr>
                <w:rFonts w:ascii="Calibri" w:hAnsi="Calibri" w:cs="Calibri"/>
                <w:szCs w:val="24"/>
              </w:rPr>
              <w:t>219 746,68</w:t>
            </w:r>
          </w:p>
        </w:tc>
        <w:tc>
          <w:tcPr>
            <w:tcW w:w="1958" w:type="dxa"/>
            <w:vAlign w:val="bottom"/>
          </w:tcPr>
          <w:p w14:paraId="036386D0" w14:textId="7B63D668" w:rsidR="00416076" w:rsidRDefault="00416076" w:rsidP="00FB2C29">
            <w:pPr>
              <w:spacing w:line="360"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sidRPr="005B63BD">
              <w:rPr>
                <w:rFonts w:ascii="Calibri" w:hAnsi="Calibri" w:cs="Calibri"/>
                <w:szCs w:val="24"/>
              </w:rPr>
              <w:t>204 218 650,20</w:t>
            </w:r>
          </w:p>
        </w:tc>
        <w:tc>
          <w:tcPr>
            <w:tcW w:w="1959" w:type="dxa"/>
            <w:vAlign w:val="bottom"/>
          </w:tcPr>
          <w:p w14:paraId="1C3781A7" w14:textId="402545E6" w:rsidR="00416076" w:rsidRDefault="00416076" w:rsidP="00FB2C29">
            <w:pPr>
              <w:spacing w:line="360"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sidRPr="005B63BD">
              <w:rPr>
                <w:rFonts w:ascii="Calibri" w:hAnsi="Calibri" w:cs="Calibri"/>
                <w:szCs w:val="24"/>
              </w:rPr>
              <w:t>249 008 826,92</w:t>
            </w:r>
          </w:p>
        </w:tc>
        <w:tc>
          <w:tcPr>
            <w:tcW w:w="1959" w:type="dxa"/>
            <w:vAlign w:val="bottom"/>
          </w:tcPr>
          <w:p w14:paraId="18759DF7" w14:textId="70F7549B" w:rsidR="00416076" w:rsidRDefault="00416076" w:rsidP="00FB2C29">
            <w:pPr>
              <w:spacing w:line="360"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sidRPr="005B63BD">
              <w:rPr>
                <w:rFonts w:ascii="Calibri" w:hAnsi="Calibri" w:cs="Calibri"/>
                <w:szCs w:val="24"/>
              </w:rPr>
              <w:t>230 276 684,17</w:t>
            </w:r>
          </w:p>
        </w:tc>
        <w:tc>
          <w:tcPr>
            <w:tcW w:w="1406" w:type="dxa"/>
            <w:vAlign w:val="bottom"/>
          </w:tcPr>
          <w:p w14:paraId="7339CC57" w14:textId="5B75A628" w:rsidR="00416076" w:rsidRDefault="00416076" w:rsidP="00FB2C29">
            <w:pPr>
              <w:spacing w:line="360"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sidRPr="005B63BD">
              <w:rPr>
                <w:rFonts w:ascii="Calibri" w:eastAsia="Times New Roman" w:hAnsi="Calibri" w:cs="Times New Roman"/>
                <w:szCs w:val="24"/>
                <w:lang w:eastAsia="pl-PL"/>
              </w:rPr>
              <w:t>-0,61%,</w:t>
            </w:r>
          </w:p>
        </w:tc>
      </w:tr>
    </w:tbl>
    <w:p w14:paraId="66574DCE" w14:textId="11956CD9" w:rsidR="005B63BD" w:rsidRDefault="003C7BFF" w:rsidP="00FB2C29">
      <w:pPr>
        <w:pStyle w:val="podpiselementu"/>
        <w:spacing w:after="240"/>
        <w:rPr>
          <w:lang w:val="pl-PL"/>
        </w:rPr>
        <w:sectPr w:rsidR="005B63BD" w:rsidSect="00E736E3">
          <w:pgSz w:w="16838" w:h="11906" w:orient="landscape"/>
          <w:pgMar w:top="1418" w:right="1418" w:bottom="1418" w:left="1701" w:header="709" w:footer="709" w:gutter="0"/>
          <w:cols w:space="708"/>
          <w:docGrid w:linePitch="360"/>
        </w:sectPr>
      </w:pPr>
      <w:r w:rsidRPr="00733091">
        <w:rPr>
          <w:lang w:val="pl-PL"/>
        </w:rPr>
        <w:t xml:space="preserve">Źródło: opracowanie ZMP na podstawie </w:t>
      </w:r>
      <w:hyperlink r:id="rId129" w:history="1">
        <w:r w:rsidRPr="00733091">
          <w:rPr>
            <w:rStyle w:val="Hipercze"/>
            <w:color w:val="auto"/>
            <w:u w:val="none"/>
            <w:lang w:val="pl-PL"/>
          </w:rPr>
          <w:t>https://analizy.monitorrozwoju.pl</w:t>
        </w:r>
      </w:hyperlink>
    </w:p>
    <w:p w14:paraId="07594327" w14:textId="77777777" w:rsidR="001075E8" w:rsidRPr="001F2F4D" w:rsidRDefault="001075E8" w:rsidP="001075E8">
      <w:pPr>
        <w:rPr>
          <w:lang w:val="pl-PL"/>
        </w:rPr>
      </w:pPr>
      <w:r w:rsidRPr="00733091">
        <w:rPr>
          <w:lang w:val="pl-PL"/>
        </w:rPr>
        <w:lastRenderedPageBreak/>
        <w:t xml:space="preserve">Istotnym wyznacznikiem sytuacji finansowej Partnerstwa jest poziom zadłużenia. </w:t>
      </w:r>
      <w:r>
        <w:rPr>
          <w:lang w:val="pl-PL"/>
        </w:rPr>
        <w:br/>
      </w:r>
      <w:r w:rsidRPr="00733091">
        <w:rPr>
          <w:lang w:val="pl-PL"/>
        </w:rPr>
        <w:t xml:space="preserve">W latach 2015-2019 </w:t>
      </w:r>
      <w:r w:rsidRPr="00733091">
        <w:rPr>
          <w:b/>
          <w:bCs/>
          <w:lang w:val="pl-PL"/>
        </w:rPr>
        <w:t>zmniejszył się poziom zadłużenia Partnerstwa</w:t>
      </w:r>
      <w:r w:rsidRPr="00733091">
        <w:rPr>
          <w:lang w:val="pl-PL"/>
        </w:rPr>
        <w:t>. Najbardziej zadłużonymi gminami pozostawały: Pasym, Jedwabno, Biała Piska, Nidzica; a z powiatów: powiat nidzicki; najmniej: gminy miejskie: Działdowo i Szczytno oraz powiat działdowski.</w:t>
      </w:r>
      <w:r>
        <w:rPr>
          <w:lang w:val="pl-PL"/>
        </w:rPr>
        <w:t xml:space="preserve"> </w:t>
      </w:r>
      <w:r w:rsidRPr="00733091">
        <w:rPr>
          <w:lang w:val="pl-PL"/>
        </w:rPr>
        <w:t>W okresie 2015-2019 zmniejszała się również relacja kwoty zadłużenia do dochodów ogółem (w %),</w:t>
      </w:r>
      <w:r w:rsidRPr="00733091">
        <w:rPr>
          <w:rStyle w:val="Uwydatnienie"/>
          <w:lang w:val="pl-PL"/>
        </w:rPr>
        <w:t xml:space="preserve"> </w:t>
      </w:r>
      <w:r w:rsidRPr="00733091">
        <w:rPr>
          <w:rStyle w:val="Uwydatnienie"/>
          <w:i w:val="0"/>
          <w:iCs w:val="0"/>
          <w:lang w:val="pl-PL"/>
        </w:rPr>
        <w:t xml:space="preserve">co wskazuje </w:t>
      </w:r>
      <w:r w:rsidRPr="00733091">
        <w:rPr>
          <w:rStyle w:val="Uwydatnienie"/>
          <w:b/>
          <w:bCs/>
          <w:i w:val="0"/>
          <w:iCs w:val="0"/>
          <w:lang w:val="pl-PL"/>
        </w:rPr>
        <w:t>na zwiększanie się poziomu zabezpieczenia długu uzyskiwanymi dochodami budżetu</w:t>
      </w:r>
      <w:r w:rsidRPr="00733091">
        <w:rPr>
          <w:i/>
          <w:iCs/>
          <w:lang w:val="pl-PL"/>
        </w:rPr>
        <w:t>.</w:t>
      </w:r>
      <w:r w:rsidRPr="00733091">
        <w:rPr>
          <w:lang w:val="pl-PL"/>
        </w:rPr>
        <w:t xml:space="preserve"> </w:t>
      </w:r>
    </w:p>
    <w:p w14:paraId="71C756C9" w14:textId="57A3C18C" w:rsidR="001075E8" w:rsidRDefault="001075E8" w:rsidP="001075E8">
      <w:pPr>
        <w:rPr>
          <w:lang w:val="pl-PL"/>
        </w:rPr>
      </w:pPr>
      <w:r w:rsidRPr="00733091">
        <w:rPr>
          <w:lang w:val="pl-PL"/>
        </w:rPr>
        <w:t>Mimo to poziom zadłużenia jednostek samorządowych wchodzących w skład Partnerstwa jest nadal wysoki i wynosił średnio w 2019 r. 18,37% dochodów ogółem.</w:t>
      </w:r>
      <w:r>
        <w:rPr>
          <w:lang w:val="pl-PL"/>
        </w:rPr>
        <w:t xml:space="preserve"> </w:t>
      </w:r>
      <w:r w:rsidRPr="00733091">
        <w:rPr>
          <w:lang w:val="pl-PL"/>
        </w:rPr>
        <w:t>Poziom zadłużenia Partnerów prezentuje poniższa tabela</w:t>
      </w:r>
      <w:r>
        <w:rPr>
          <w:lang w:val="pl-PL"/>
        </w:rPr>
        <w:t xml:space="preserve"> nr 21</w:t>
      </w:r>
      <w:r w:rsidRPr="00733091">
        <w:rPr>
          <w:lang w:val="pl-PL"/>
        </w:rPr>
        <w:t xml:space="preserve"> i </w:t>
      </w:r>
      <w:r>
        <w:rPr>
          <w:lang w:val="pl-PL"/>
        </w:rPr>
        <w:br/>
      </w:r>
      <w:r w:rsidRPr="00733091">
        <w:rPr>
          <w:lang w:val="pl-PL"/>
        </w:rPr>
        <w:t>wykres</w:t>
      </w:r>
      <w:r>
        <w:rPr>
          <w:lang w:val="pl-PL"/>
        </w:rPr>
        <w:t xml:space="preserve"> nr 45</w:t>
      </w:r>
      <w:r w:rsidRPr="00733091">
        <w:rPr>
          <w:lang w:val="pl-PL"/>
        </w:rPr>
        <w:t xml:space="preserve">. </w:t>
      </w:r>
    </w:p>
    <w:p w14:paraId="120F8FDA" w14:textId="15B842F3" w:rsidR="003C7BFF" w:rsidRDefault="003C7BFF" w:rsidP="002E24A9">
      <w:pPr>
        <w:pStyle w:val="Legenda"/>
        <w:rPr>
          <w:lang w:val="pl-PL"/>
        </w:rPr>
      </w:pPr>
      <w:bookmarkStart w:id="127" w:name="_Toc69723270"/>
      <w:r w:rsidRPr="00733091">
        <w:rPr>
          <w:lang w:val="pl-PL"/>
        </w:rPr>
        <w:t xml:space="preserve">Tabela </w:t>
      </w:r>
      <w:r w:rsidR="00733091">
        <w:fldChar w:fldCharType="begin"/>
      </w:r>
      <w:r w:rsidR="00733091" w:rsidRPr="00733091">
        <w:rPr>
          <w:lang w:val="pl-PL"/>
        </w:rPr>
        <w:instrText xml:space="preserve"> SEQ Tabela \* ARABIC </w:instrText>
      </w:r>
      <w:r w:rsidR="00733091">
        <w:fldChar w:fldCharType="separate"/>
      </w:r>
      <w:r w:rsidR="00B14787">
        <w:rPr>
          <w:noProof/>
          <w:lang w:val="pl-PL"/>
        </w:rPr>
        <w:t>21</w:t>
      </w:r>
      <w:r w:rsidR="00733091">
        <w:rPr>
          <w:noProof/>
        </w:rPr>
        <w:fldChar w:fldCharType="end"/>
      </w:r>
      <w:r w:rsidRPr="00733091">
        <w:rPr>
          <w:lang w:val="pl-PL"/>
        </w:rPr>
        <w:t>: Relacja kwoty zadłużenia do dochodów ogółem w latach 2015-2019 (w%)</w:t>
      </w:r>
      <w:bookmarkEnd w:id="127"/>
      <w:r w:rsidRPr="00733091">
        <w:rPr>
          <w:lang w:val="pl-PL"/>
        </w:rPr>
        <w:t xml:space="preserve"> </w:t>
      </w:r>
    </w:p>
    <w:tbl>
      <w:tblPr>
        <w:tblStyle w:val="CWD"/>
        <w:tblW w:w="8693" w:type="dxa"/>
        <w:tblLook w:val="04A0" w:firstRow="1" w:lastRow="0" w:firstColumn="1" w:lastColumn="0" w:noHBand="0" w:noVBand="1"/>
      </w:tblPr>
      <w:tblGrid>
        <w:gridCol w:w="1980"/>
        <w:gridCol w:w="1134"/>
        <w:gridCol w:w="1116"/>
        <w:gridCol w:w="1097"/>
        <w:gridCol w:w="1079"/>
        <w:gridCol w:w="992"/>
        <w:gridCol w:w="1295"/>
      </w:tblGrid>
      <w:tr w:rsidR="00FC5673" w14:paraId="7CE73E75" w14:textId="77777777" w:rsidTr="00FC5673">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980" w:type="dxa"/>
          </w:tcPr>
          <w:p w14:paraId="41107D8E" w14:textId="1F6CF958" w:rsidR="00FC5673" w:rsidRDefault="00FC5673" w:rsidP="00FB2C29">
            <w:pPr>
              <w:spacing w:line="259" w:lineRule="auto"/>
              <w:ind w:left="0"/>
              <w:contextualSpacing/>
              <w:rPr>
                <w:lang w:val="pl-PL"/>
              </w:rPr>
            </w:pPr>
            <w:r>
              <w:rPr>
                <w:lang w:eastAsia="pl-PL"/>
              </w:rPr>
              <w:t>Nazwa JST</w:t>
            </w:r>
          </w:p>
        </w:tc>
        <w:tc>
          <w:tcPr>
            <w:tcW w:w="1134" w:type="dxa"/>
          </w:tcPr>
          <w:p w14:paraId="30AD7BAA" w14:textId="32A65BF8" w:rsidR="00FC5673" w:rsidRDefault="00FC5673" w:rsidP="00FB2C29">
            <w:pPr>
              <w:spacing w:line="259" w:lineRule="auto"/>
              <w:ind w:left="0"/>
              <w:contextualSpacing/>
              <w:cnfStyle w:val="100000000000" w:firstRow="1" w:lastRow="0" w:firstColumn="0" w:lastColumn="0" w:oddVBand="0" w:evenVBand="0" w:oddHBand="0" w:evenHBand="0" w:firstRowFirstColumn="0" w:firstRowLastColumn="0" w:lastRowFirstColumn="0" w:lastRowLastColumn="0"/>
              <w:rPr>
                <w:lang w:val="pl-PL"/>
              </w:rPr>
            </w:pPr>
            <w:r>
              <w:rPr>
                <w:lang w:eastAsia="pl-PL"/>
              </w:rPr>
              <w:t>2015</w:t>
            </w:r>
          </w:p>
        </w:tc>
        <w:tc>
          <w:tcPr>
            <w:tcW w:w="1116" w:type="dxa"/>
          </w:tcPr>
          <w:p w14:paraId="0A6E02C0" w14:textId="3322F902" w:rsidR="00FC5673" w:rsidRDefault="00FC5673" w:rsidP="00FB2C29">
            <w:pPr>
              <w:spacing w:line="259" w:lineRule="auto"/>
              <w:ind w:left="0"/>
              <w:contextualSpacing/>
              <w:cnfStyle w:val="100000000000" w:firstRow="1" w:lastRow="0" w:firstColumn="0" w:lastColumn="0" w:oddVBand="0" w:evenVBand="0" w:oddHBand="0" w:evenHBand="0" w:firstRowFirstColumn="0" w:firstRowLastColumn="0" w:lastRowFirstColumn="0" w:lastRowLastColumn="0"/>
              <w:rPr>
                <w:lang w:val="pl-PL"/>
              </w:rPr>
            </w:pPr>
            <w:r>
              <w:rPr>
                <w:lang w:eastAsia="pl-PL"/>
              </w:rPr>
              <w:t>2016</w:t>
            </w:r>
          </w:p>
        </w:tc>
        <w:tc>
          <w:tcPr>
            <w:tcW w:w="1097" w:type="dxa"/>
          </w:tcPr>
          <w:p w14:paraId="396C38FF" w14:textId="5FB7993E" w:rsidR="00FC5673" w:rsidRDefault="00FC5673" w:rsidP="00FB2C29">
            <w:pPr>
              <w:spacing w:line="259" w:lineRule="auto"/>
              <w:ind w:left="0"/>
              <w:contextualSpacing/>
              <w:cnfStyle w:val="100000000000" w:firstRow="1" w:lastRow="0" w:firstColumn="0" w:lastColumn="0" w:oddVBand="0" w:evenVBand="0" w:oddHBand="0" w:evenHBand="0" w:firstRowFirstColumn="0" w:firstRowLastColumn="0" w:lastRowFirstColumn="0" w:lastRowLastColumn="0"/>
              <w:rPr>
                <w:lang w:val="pl-PL"/>
              </w:rPr>
            </w:pPr>
            <w:r>
              <w:rPr>
                <w:lang w:eastAsia="pl-PL"/>
              </w:rPr>
              <w:t>2017</w:t>
            </w:r>
          </w:p>
        </w:tc>
        <w:tc>
          <w:tcPr>
            <w:tcW w:w="1079" w:type="dxa"/>
          </w:tcPr>
          <w:p w14:paraId="07D35FCA" w14:textId="217EBF5C" w:rsidR="00FC5673" w:rsidRDefault="00FC5673" w:rsidP="00FB2C29">
            <w:pPr>
              <w:spacing w:line="259" w:lineRule="auto"/>
              <w:ind w:left="0"/>
              <w:contextualSpacing/>
              <w:cnfStyle w:val="100000000000" w:firstRow="1" w:lastRow="0" w:firstColumn="0" w:lastColumn="0" w:oddVBand="0" w:evenVBand="0" w:oddHBand="0" w:evenHBand="0" w:firstRowFirstColumn="0" w:firstRowLastColumn="0" w:lastRowFirstColumn="0" w:lastRowLastColumn="0"/>
              <w:rPr>
                <w:lang w:val="pl-PL"/>
              </w:rPr>
            </w:pPr>
            <w:r>
              <w:rPr>
                <w:lang w:eastAsia="pl-PL"/>
              </w:rPr>
              <w:t>2018</w:t>
            </w:r>
          </w:p>
        </w:tc>
        <w:tc>
          <w:tcPr>
            <w:tcW w:w="992" w:type="dxa"/>
          </w:tcPr>
          <w:p w14:paraId="530E70FE" w14:textId="167FEC1D" w:rsidR="00FC5673" w:rsidRDefault="00FC5673" w:rsidP="00FB2C29">
            <w:pPr>
              <w:spacing w:line="259" w:lineRule="auto"/>
              <w:ind w:left="0"/>
              <w:contextualSpacing/>
              <w:cnfStyle w:val="100000000000" w:firstRow="1" w:lastRow="0" w:firstColumn="0" w:lastColumn="0" w:oddVBand="0" w:evenVBand="0" w:oddHBand="0" w:evenHBand="0" w:firstRowFirstColumn="0" w:firstRowLastColumn="0" w:lastRowFirstColumn="0" w:lastRowLastColumn="0"/>
              <w:rPr>
                <w:lang w:val="pl-PL"/>
              </w:rPr>
            </w:pPr>
            <w:r>
              <w:rPr>
                <w:lang w:eastAsia="pl-PL"/>
              </w:rPr>
              <w:t>2019</w:t>
            </w:r>
          </w:p>
        </w:tc>
        <w:tc>
          <w:tcPr>
            <w:tcW w:w="1295" w:type="dxa"/>
          </w:tcPr>
          <w:p w14:paraId="6C11AB58" w14:textId="4491D725" w:rsidR="00FC5673" w:rsidRDefault="00FC5673" w:rsidP="00FB2C29">
            <w:pPr>
              <w:spacing w:line="259" w:lineRule="auto"/>
              <w:ind w:left="0"/>
              <w:contextualSpacing/>
              <w:cnfStyle w:val="100000000000" w:firstRow="1" w:lastRow="0" w:firstColumn="0" w:lastColumn="0" w:oddVBand="0" w:evenVBand="0" w:oddHBand="0" w:evenHBand="0" w:firstRowFirstColumn="0" w:firstRowLastColumn="0" w:lastRowFirstColumn="0" w:lastRowLastColumn="0"/>
              <w:rPr>
                <w:lang w:val="pl-PL"/>
              </w:rPr>
            </w:pPr>
            <w:r>
              <w:rPr>
                <w:lang w:eastAsia="pl-PL"/>
              </w:rPr>
              <w:t>Średnia</w:t>
            </w:r>
          </w:p>
        </w:tc>
      </w:tr>
      <w:tr w:rsidR="00FC5673" w14:paraId="3457FC6E" w14:textId="77777777" w:rsidTr="00FC5673">
        <w:tc>
          <w:tcPr>
            <w:cnfStyle w:val="001000000000" w:firstRow="0" w:lastRow="0" w:firstColumn="1" w:lastColumn="0" w:oddVBand="0" w:evenVBand="0" w:oddHBand="0" w:evenHBand="0" w:firstRowFirstColumn="0" w:firstRowLastColumn="0" w:lastRowFirstColumn="0" w:lastRowLastColumn="0"/>
            <w:tcW w:w="1980" w:type="dxa"/>
          </w:tcPr>
          <w:p w14:paraId="4E54197F" w14:textId="71F9701D" w:rsidR="00FC5673" w:rsidRPr="0053183F" w:rsidRDefault="00FC5673" w:rsidP="00FB2C29">
            <w:pPr>
              <w:spacing w:line="259" w:lineRule="auto"/>
              <w:ind w:left="0"/>
              <w:contextualSpacing/>
              <w:rPr>
                <w:b w:val="0"/>
                <w:bCs/>
                <w:lang w:val="pl-PL"/>
              </w:rPr>
            </w:pPr>
            <w:r w:rsidRPr="0053183F">
              <w:rPr>
                <w:b w:val="0"/>
                <w:bCs/>
                <w:lang w:eastAsia="pl-PL"/>
              </w:rPr>
              <w:t>Biała Piska</w:t>
            </w:r>
          </w:p>
        </w:tc>
        <w:tc>
          <w:tcPr>
            <w:tcW w:w="1134" w:type="dxa"/>
          </w:tcPr>
          <w:p w14:paraId="0B62F4E2" w14:textId="094F04FF"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36,35</w:t>
            </w:r>
          </w:p>
        </w:tc>
        <w:tc>
          <w:tcPr>
            <w:tcW w:w="1116" w:type="dxa"/>
          </w:tcPr>
          <w:p w14:paraId="6E592A1C" w14:textId="377F52E0"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26,31</w:t>
            </w:r>
          </w:p>
        </w:tc>
        <w:tc>
          <w:tcPr>
            <w:tcW w:w="1097" w:type="dxa"/>
          </w:tcPr>
          <w:p w14:paraId="6DB17439" w14:textId="2A9B239C"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31,14</w:t>
            </w:r>
          </w:p>
        </w:tc>
        <w:tc>
          <w:tcPr>
            <w:tcW w:w="1079" w:type="dxa"/>
          </w:tcPr>
          <w:p w14:paraId="4BC498E1" w14:textId="1CB1CF0C"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34,51</w:t>
            </w:r>
          </w:p>
        </w:tc>
        <w:tc>
          <w:tcPr>
            <w:tcW w:w="992" w:type="dxa"/>
          </w:tcPr>
          <w:p w14:paraId="5029D86A" w14:textId="6C60BBC0"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28,23</w:t>
            </w:r>
          </w:p>
        </w:tc>
        <w:tc>
          <w:tcPr>
            <w:tcW w:w="1295" w:type="dxa"/>
          </w:tcPr>
          <w:p w14:paraId="70602AD4" w14:textId="560F9E06"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31,31</w:t>
            </w:r>
          </w:p>
        </w:tc>
      </w:tr>
      <w:tr w:rsidR="00FC5673" w14:paraId="00C4F8AF" w14:textId="77777777" w:rsidTr="00FC5673">
        <w:tc>
          <w:tcPr>
            <w:cnfStyle w:val="001000000000" w:firstRow="0" w:lastRow="0" w:firstColumn="1" w:lastColumn="0" w:oddVBand="0" w:evenVBand="0" w:oddHBand="0" w:evenHBand="0" w:firstRowFirstColumn="0" w:firstRowLastColumn="0" w:lastRowFirstColumn="0" w:lastRowLastColumn="0"/>
            <w:tcW w:w="1980" w:type="dxa"/>
          </w:tcPr>
          <w:p w14:paraId="2E7BD3B7" w14:textId="302E2DF6" w:rsidR="00FC5673" w:rsidRPr="0053183F" w:rsidRDefault="00FC5673" w:rsidP="00FB2C29">
            <w:pPr>
              <w:spacing w:line="259" w:lineRule="auto"/>
              <w:ind w:left="0"/>
              <w:contextualSpacing/>
              <w:rPr>
                <w:b w:val="0"/>
                <w:bCs/>
                <w:lang w:val="pl-PL"/>
              </w:rPr>
            </w:pPr>
            <w:r w:rsidRPr="0053183F">
              <w:rPr>
                <w:b w:val="0"/>
                <w:bCs/>
                <w:lang w:eastAsia="pl-PL"/>
              </w:rPr>
              <w:t>Działdowo – gmina miejska</w:t>
            </w:r>
          </w:p>
        </w:tc>
        <w:tc>
          <w:tcPr>
            <w:tcW w:w="1134" w:type="dxa"/>
          </w:tcPr>
          <w:p w14:paraId="5F75DF75" w14:textId="76A611C7"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7,04</w:t>
            </w:r>
          </w:p>
        </w:tc>
        <w:tc>
          <w:tcPr>
            <w:tcW w:w="1116" w:type="dxa"/>
          </w:tcPr>
          <w:p w14:paraId="480A6C63" w14:textId="5C04F035"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4,31</w:t>
            </w:r>
          </w:p>
        </w:tc>
        <w:tc>
          <w:tcPr>
            <w:tcW w:w="1097" w:type="dxa"/>
          </w:tcPr>
          <w:p w14:paraId="52ECE67C" w14:textId="44801744"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5,96</w:t>
            </w:r>
          </w:p>
        </w:tc>
        <w:tc>
          <w:tcPr>
            <w:tcW w:w="1079" w:type="dxa"/>
          </w:tcPr>
          <w:p w14:paraId="6552F8B0" w14:textId="010968C5"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12,76</w:t>
            </w:r>
          </w:p>
        </w:tc>
        <w:tc>
          <w:tcPr>
            <w:tcW w:w="992" w:type="dxa"/>
          </w:tcPr>
          <w:p w14:paraId="3B1B6961" w14:textId="6104F19B"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11,06</w:t>
            </w:r>
          </w:p>
        </w:tc>
        <w:tc>
          <w:tcPr>
            <w:tcW w:w="1295" w:type="dxa"/>
          </w:tcPr>
          <w:p w14:paraId="25A6883B" w14:textId="15B5AF50"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8,23</w:t>
            </w:r>
          </w:p>
        </w:tc>
      </w:tr>
      <w:tr w:rsidR="00FC5673" w14:paraId="016FC938" w14:textId="77777777" w:rsidTr="00FC5673">
        <w:tc>
          <w:tcPr>
            <w:cnfStyle w:val="001000000000" w:firstRow="0" w:lastRow="0" w:firstColumn="1" w:lastColumn="0" w:oddVBand="0" w:evenVBand="0" w:oddHBand="0" w:evenHBand="0" w:firstRowFirstColumn="0" w:firstRowLastColumn="0" w:lastRowFirstColumn="0" w:lastRowLastColumn="0"/>
            <w:tcW w:w="1980" w:type="dxa"/>
          </w:tcPr>
          <w:p w14:paraId="1F84FC5C" w14:textId="7613537F" w:rsidR="00FC5673" w:rsidRPr="0053183F" w:rsidRDefault="00FC5673" w:rsidP="00FB2C29">
            <w:pPr>
              <w:spacing w:line="259" w:lineRule="auto"/>
              <w:ind w:left="0"/>
              <w:contextualSpacing/>
              <w:rPr>
                <w:b w:val="0"/>
                <w:bCs/>
                <w:lang w:val="pl-PL"/>
              </w:rPr>
            </w:pPr>
            <w:r w:rsidRPr="0053183F">
              <w:rPr>
                <w:b w:val="0"/>
                <w:bCs/>
                <w:lang w:eastAsia="pl-PL"/>
              </w:rPr>
              <w:t>Działdowo – gmina wiejska</w:t>
            </w:r>
          </w:p>
        </w:tc>
        <w:tc>
          <w:tcPr>
            <w:tcW w:w="1134" w:type="dxa"/>
          </w:tcPr>
          <w:p w14:paraId="4BD22466" w14:textId="5E771B42"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12,51</w:t>
            </w:r>
          </w:p>
        </w:tc>
        <w:tc>
          <w:tcPr>
            <w:tcW w:w="1116" w:type="dxa"/>
          </w:tcPr>
          <w:p w14:paraId="57CB2D44" w14:textId="1A5D9104"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9,14</w:t>
            </w:r>
          </w:p>
        </w:tc>
        <w:tc>
          <w:tcPr>
            <w:tcW w:w="1097" w:type="dxa"/>
          </w:tcPr>
          <w:p w14:paraId="28946185" w14:textId="1290F85C"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11,58</w:t>
            </w:r>
          </w:p>
        </w:tc>
        <w:tc>
          <w:tcPr>
            <w:tcW w:w="1079" w:type="dxa"/>
          </w:tcPr>
          <w:p w14:paraId="5F6E00A8" w14:textId="5E9493D9"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17,18</w:t>
            </w:r>
          </w:p>
        </w:tc>
        <w:tc>
          <w:tcPr>
            <w:tcW w:w="992" w:type="dxa"/>
          </w:tcPr>
          <w:p w14:paraId="1A1C28F7" w14:textId="04F8CF0B"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12,88</w:t>
            </w:r>
          </w:p>
        </w:tc>
        <w:tc>
          <w:tcPr>
            <w:tcW w:w="1295" w:type="dxa"/>
          </w:tcPr>
          <w:p w14:paraId="455C4FD7" w14:textId="582B78FD"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12,66</w:t>
            </w:r>
          </w:p>
        </w:tc>
      </w:tr>
      <w:tr w:rsidR="00FC5673" w14:paraId="1B70F7C9" w14:textId="77777777" w:rsidTr="00FC5673">
        <w:tc>
          <w:tcPr>
            <w:cnfStyle w:val="001000000000" w:firstRow="0" w:lastRow="0" w:firstColumn="1" w:lastColumn="0" w:oddVBand="0" w:evenVBand="0" w:oddHBand="0" w:evenHBand="0" w:firstRowFirstColumn="0" w:firstRowLastColumn="0" w:lastRowFirstColumn="0" w:lastRowLastColumn="0"/>
            <w:tcW w:w="1980" w:type="dxa"/>
          </w:tcPr>
          <w:p w14:paraId="38872237" w14:textId="16CD7142" w:rsidR="00FC5673" w:rsidRPr="0053183F" w:rsidRDefault="00FC5673" w:rsidP="00FB2C29">
            <w:pPr>
              <w:spacing w:line="259" w:lineRule="auto"/>
              <w:ind w:left="0"/>
              <w:contextualSpacing/>
              <w:rPr>
                <w:b w:val="0"/>
                <w:bCs/>
                <w:lang w:val="pl-PL"/>
              </w:rPr>
            </w:pPr>
            <w:r w:rsidRPr="0053183F">
              <w:rPr>
                <w:b w:val="0"/>
                <w:bCs/>
                <w:lang w:eastAsia="pl-PL"/>
              </w:rPr>
              <w:t>Dźwierzuty</w:t>
            </w:r>
          </w:p>
        </w:tc>
        <w:tc>
          <w:tcPr>
            <w:tcW w:w="1134" w:type="dxa"/>
          </w:tcPr>
          <w:p w14:paraId="33386CA7" w14:textId="627EA14E"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32,98</w:t>
            </w:r>
          </w:p>
        </w:tc>
        <w:tc>
          <w:tcPr>
            <w:tcW w:w="1116" w:type="dxa"/>
          </w:tcPr>
          <w:p w14:paraId="16AD0B5A" w14:textId="2EFF0D3F"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22,37</w:t>
            </w:r>
          </w:p>
        </w:tc>
        <w:tc>
          <w:tcPr>
            <w:tcW w:w="1097" w:type="dxa"/>
          </w:tcPr>
          <w:p w14:paraId="07993685" w14:textId="09ABF08C"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21,84</w:t>
            </w:r>
          </w:p>
        </w:tc>
        <w:tc>
          <w:tcPr>
            <w:tcW w:w="1079" w:type="dxa"/>
          </w:tcPr>
          <w:p w14:paraId="1BCD2FFC" w14:textId="2437E95A"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22,53</w:t>
            </w:r>
          </w:p>
        </w:tc>
        <w:tc>
          <w:tcPr>
            <w:tcW w:w="992" w:type="dxa"/>
          </w:tcPr>
          <w:p w14:paraId="29B69BB5" w14:textId="0FFFE7E8"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15,95</w:t>
            </w:r>
          </w:p>
        </w:tc>
        <w:tc>
          <w:tcPr>
            <w:tcW w:w="1295" w:type="dxa"/>
          </w:tcPr>
          <w:p w14:paraId="5D803B54" w14:textId="67706A53"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23,13</w:t>
            </w:r>
          </w:p>
        </w:tc>
      </w:tr>
      <w:tr w:rsidR="00FC5673" w14:paraId="21DE1F0C" w14:textId="77777777" w:rsidTr="00FC5673">
        <w:tc>
          <w:tcPr>
            <w:cnfStyle w:val="001000000000" w:firstRow="0" w:lastRow="0" w:firstColumn="1" w:lastColumn="0" w:oddVBand="0" w:evenVBand="0" w:oddHBand="0" w:evenHBand="0" w:firstRowFirstColumn="0" w:firstRowLastColumn="0" w:lastRowFirstColumn="0" w:lastRowLastColumn="0"/>
            <w:tcW w:w="1980" w:type="dxa"/>
          </w:tcPr>
          <w:p w14:paraId="57DE8D92" w14:textId="5EABD116" w:rsidR="00FC5673" w:rsidRPr="0053183F" w:rsidRDefault="00FC5673" w:rsidP="00FB2C29">
            <w:pPr>
              <w:spacing w:line="259" w:lineRule="auto"/>
              <w:ind w:left="0"/>
              <w:contextualSpacing/>
              <w:rPr>
                <w:b w:val="0"/>
                <w:bCs/>
                <w:lang w:val="pl-PL"/>
              </w:rPr>
            </w:pPr>
            <w:r w:rsidRPr="0053183F">
              <w:rPr>
                <w:b w:val="0"/>
                <w:bCs/>
                <w:lang w:eastAsia="pl-PL"/>
              </w:rPr>
              <w:t>Iłowo-Osada</w:t>
            </w:r>
          </w:p>
        </w:tc>
        <w:tc>
          <w:tcPr>
            <w:tcW w:w="1134" w:type="dxa"/>
          </w:tcPr>
          <w:p w14:paraId="0FE9F2AF" w14:textId="00811828"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34,78</w:t>
            </w:r>
          </w:p>
        </w:tc>
        <w:tc>
          <w:tcPr>
            <w:tcW w:w="1116" w:type="dxa"/>
          </w:tcPr>
          <w:p w14:paraId="1D0FD27B" w14:textId="73885DDE"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23,80</w:t>
            </w:r>
          </w:p>
        </w:tc>
        <w:tc>
          <w:tcPr>
            <w:tcW w:w="1097" w:type="dxa"/>
          </w:tcPr>
          <w:p w14:paraId="030A874A" w14:textId="5185F55A"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22,70</w:t>
            </w:r>
          </w:p>
        </w:tc>
        <w:tc>
          <w:tcPr>
            <w:tcW w:w="1079" w:type="dxa"/>
          </w:tcPr>
          <w:p w14:paraId="45F4C3C0" w14:textId="1B224BB3"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23,99</w:t>
            </w:r>
          </w:p>
        </w:tc>
        <w:tc>
          <w:tcPr>
            <w:tcW w:w="992" w:type="dxa"/>
          </w:tcPr>
          <w:p w14:paraId="5A067A7D" w14:textId="0DBEC8E1"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19,86</w:t>
            </w:r>
          </w:p>
        </w:tc>
        <w:tc>
          <w:tcPr>
            <w:tcW w:w="1295" w:type="dxa"/>
          </w:tcPr>
          <w:p w14:paraId="4595E0CE" w14:textId="6B2D11B7"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25,03</w:t>
            </w:r>
          </w:p>
        </w:tc>
      </w:tr>
      <w:tr w:rsidR="00FC5673" w14:paraId="2BCDF815" w14:textId="77777777" w:rsidTr="00FC5673">
        <w:tc>
          <w:tcPr>
            <w:cnfStyle w:val="001000000000" w:firstRow="0" w:lastRow="0" w:firstColumn="1" w:lastColumn="0" w:oddVBand="0" w:evenVBand="0" w:oddHBand="0" w:evenHBand="0" w:firstRowFirstColumn="0" w:firstRowLastColumn="0" w:lastRowFirstColumn="0" w:lastRowLastColumn="0"/>
            <w:tcW w:w="1980" w:type="dxa"/>
          </w:tcPr>
          <w:p w14:paraId="6159CB86" w14:textId="3B0D793D" w:rsidR="00FC5673" w:rsidRPr="0053183F" w:rsidRDefault="00FC5673" w:rsidP="00FB2C29">
            <w:pPr>
              <w:spacing w:line="259" w:lineRule="auto"/>
              <w:ind w:left="0"/>
              <w:contextualSpacing/>
              <w:rPr>
                <w:b w:val="0"/>
                <w:bCs/>
                <w:lang w:val="pl-PL"/>
              </w:rPr>
            </w:pPr>
            <w:r w:rsidRPr="0053183F">
              <w:rPr>
                <w:b w:val="0"/>
                <w:bCs/>
                <w:lang w:eastAsia="pl-PL"/>
              </w:rPr>
              <w:t>Janowiec Kościelny</w:t>
            </w:r>
          </w:p>
        </w:tc>
        <w:tc>
          <w:tcPr>
            <w:tcW w:w="1134" w:type="dxa"/>
          </w:tcPr>
          <w:p w14:paraId="4CE1CE69" w14:textId="0EF0F866"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31,57</w:t>
            </w:r>
          </w:p>
        </w:tc>
        <w:tc>
          <w:tcPr>
            <w:tcW w:w="1116" w:type="dxa"/>
          </w:tcPr>
          <w:p w14:paraId="0DB88038" w14:textId="4D760F5C"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26,23</w:t>
            </w:r>
          </w:p>
        </w:tc>
        <w:tc>
          <w:tcPr>
            <w:tcW w:w="1097" w:type="dxa"/>
          </w:tcPr>
          <w:p w14:paraId="7A1B914C" w14:textId="45382000"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23,86</w:t>
            </w:r>
          </w:p>
        </w:tc>
        <w:tc>
          <w:tcPr>
            <w:tcW w:w="1079" w:type="dxa"/>
          </w:tcPr>
          <w:p w14:paraId="0EA21037" w14:textId="15308934"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16,99</w:t>
            </w:r>
          </w:p>
        </w:tc>
        <w:tc>
          <w:tcPr>
            <w:tcW w:w="992" w:type="dxa"/>
          </w:tcPr>
          <w:p w14:paraId="7A54CE57" w14:textId="020C4445"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16,25</w:t>
            </w:r>
          </w:p>
        </w:tc>
        <w:tc>
          <w:tcPr>
            <w:tcW w:w="1295" w:type="dxa"/>
          </w:tcPr>
          <w:p w14:paraId="227CE0EF" w14:textId="2BA3BD45"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22,98</w:t>
            </w:r>
          </w:p>
        </w:tc>
      </w:tr>
      <w:tr w:rsidR="00FC5673" w14:paraId="61472AC2" w14:textId="77777777" w:rsidTr="00FC5673">
        <w:tc>
          <w:tcPr>
            <w:cnfStyle w:val="001000000000" w:firstRow="0" w:lastRow="0" w:firstColumn="1" w:lastColumn="0" w:oddVBand="0" w:evenVBand="0" w:oddHBand="0" w:evenHBand="0" w:firstRowFirstColumn="0" w:firstRowLastColumn="0" w:lastRowFirstColumn="0" w:lastRowLastColumn="0"/>
            <w:tcW w:w="1980" w:type="dxa"/>
          </w:tcPr>
          <w:p w14:paraId="17B30D81" w14:textId="43A0CE5E" w:rsidR="00FC5673" w:rsidRPr="0053183F" w:rsidRDefault="00FC5673" w:rsidP="00FB2C29">
            <w:pPr>
              <w:spacing w:line="259" w:lineRule="auto"/>
              <w:ind w:left="0"/>
              <w:contextualSpacing/>
              <w:rPr>
                <w:b w:val="0"/>
                <w:bCs/>
                <w:lang w:val="pl-PL"/>
              </w:rPr>
            </w:pPr>
            <w:r w:rsidRPr="0053183F">
              <w:rPr>
                <w:b w:val="0"/>
                <w:bCs/>
                <w:lang w:eastAsia="pl-PL"/>
              </w:rPr>
              <w:t>Janowo</w:t>
            </w:r>
          </w:p>
        </w:tc>
        <w:tc>
          <w:tcPr>
            <w:tcW w:w="1134" w:type="dxa"/>
          </w:tcPr>
          <w:p w14:paraId="4B19D977" w14:textId="0B19D5E0"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7,83</w:t>
            </w:r>
          </w:p>
        </w:tc>
        <w:tc>
          <w:tcPr>
            <w:tcW w:w="1116" w:type="dxa"/>
          </w:tcPr>
          <w:p w14:paraId="39B88EA3" w14:textId="792EB129"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12,47</w:t>
            </w:r>
          </w:p>
        </w:tc>
        <w:tc>
          <w:tcPr>
            <w:tcW w:w="1097" w:type="dxa"/>
          </w:tcPr>
          <w:p w14:paraId="7844C5F9" w14:textId="0F4F7A58"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7,80</w:t>
            </w:r>
          </w:p>
        </w:tc>
        <w:tc>
          <w:tcPr>
            <w:tcW w:w="1079" w:type="dxa"/>
          </w:tcPr>
          <w:p w14:paraId="016BDB98" w14:textId="77152C9A"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13,59</w:t>
            </w:r>
          </w:p>
        </w:tc>
        <w:tc>
          <w:tcPr>
            <w:tcW w:w="992" w:type="dxa"/>
          </w:tcPr>
          <w:p w14:paraId="21D40CB2" w14:textId="025CF75A"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14,77</w:t>
            </w:r>
          </w:p>
        </w:tc>
        <w:tc>
          <w:tcPr>
            <w:tcW w:w="1295" w:type="dxa"/>
          </w:tcPr>
          <w:p w14:paraId="5EF7BE2A" w14:textId="4389DE49"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11,29</w:t>
            </w:r>
          </w:p>
        </w:tc>
      </w:tr>
      <w:tr w:rsidR="00FC5673" w14:paraId="1F903173" w14:textId="77777777" w:rsidTr="00FC5673">
        <w:tc>
          <w:tcPr>
            <w:cnfStyle w:val="001000000000" w:firstRow="0" w:lastRow="0" w:firstColumn="1" w:lastColumn="0" w:oddVBand="0" w:evenVBand="0" w:oddHBand="0" w:evenHBand="0" w:firstRowFirstColumn="0" w:firstRowLastColumn="0" w:lastRowFirstColumn="0" w:lastRowLastColumn="0"/>
            <w:tcW w:w="1980" w:type="dxa"/>
          </w:tcPr>
          <w:p w14:paraId="02404061" w14:textId="1B215EE8" w:rsidR="00FC5673" w:rsidRPr="0053183F" w:rsidRDefault="00FC5673" w:rsidP="00FB2C29">
            <w:pPr>
              <w:spacing w:line="259" w:lineRule="auto"/>
              <w:ind w:left="0"/>
              <w:contextualSpacing/>
              <w:rPr>
                <w:b w:val="0"/>
                <w:bCs/>
                <w:lang w:val="pl-PL"/>
              </w:rPr>
            </w:pPr>
            <w:r w:rsidRPr="0053183F">
              <w:rPr>
                <w:b w:val="0"/>
                <w:bCs/>
                <w:lang w:eastAsia="pl-PL"/>
              </w:rPr>
              <w:t>Jedwabno</w:t>
            </w:r>
          </w:p>
        </w:tc>
        <w:tc>
          <w:tcPr>
            <w:tcW w:w="1134" w:type="dxa"/>
          </w:tcPr>
          <w:p w14:paraId="75F26BED" w14:textId="6A42A03A"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33,53</w:t>
            </w:r>
          </w:p>
        </w:tc>
        <w:tc>
          <w:tcPr>
            <w:tcW w:w="1116" w:type="dxa"/>
          </w:tcPr>
          <w:p w14:paraId="7023671F" w14:textId="1909C8E2"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37,18</w:t>
            </w:r>
          </w:p>
        </w:tc>
        <w:tc>
          <w:tcPr>
            <w:tcW w:w="1097" w:type="dxa"/>
          </w:tcPr>
          <w:p w14:paraId="19380321" w14:textId="276C4A96"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40,78</w:t>
            </w:r>
          </w:p>
        </w:tc>
        <w:tc>
          <w:tcPr>
            <w:tcW w:w="1079" w:type="dxa"/>
          </w:tcPr>
          <w:p w14:paraId="14DCCE00" w14:textId="00763716"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39,22</w:t>
            </w:r>
          </w:p>
        </w:tc>
        <w:tc>
          <w:tcPr>
            <w:tcW w:w="992" w:type="dxa"/>
          </w:tcPr>
          <w:p w14:paraId="75D794A3" w14:textId="522BEB42"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32,84</w:t>
            </w:r>
          </w:p>
        </w:tc>
        <w:tc>
          <w:tcPr>
            <w:tcW w:w="1295" w:type="dxa"/>
          </w:tcPr>
          <w:p w14:paraId="6A6E2BB8" w14:textId="79ED1984"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36,71</w:t>
            </w:r>
          </w:p>
        </w:tc>
      </w:tr>
      <w:tr w:rsidR="00FC5673" w14:paraId="519F727F" w14:textId="77777777" w:rsidTr="00FC5673">
        <w:tc>
          <w:tcPr>
            <w:cnfStyle w:val="001000000000" w:firstRow="0" w:lastRow="0" w:firstColumn="1" w:lastColumn="0" w:oddVBand="0" w:evenVBand="0" w:oddHBand="0" w:evenHBand="0" w:firstRowFirstColumn="0" w:firstRowLastColumn="0" w:lastRowFirstColumn="0" w:lastRowLastColumn="0"/>
            <w:tcW w:w="1980" w:type="dxa"/>
          </w:tcPr>
          <w:p w14:paraId="79C5C910" w14:textId="17F8E0C1" w:rsidR="00FC5673" w:rsidRPr="0053183F" w:rsidRDefault="00FC5673" w:rsidP="00FB2C29">
            <w:pPr>
              <w:spacing w:line="259" w:lineRule="auto"/>
              <w:ind w:left="0"/>
              <w:contextualSpacing/>
              <w:rPr>
                <w:b w:val="0"/>
                <w:bCs/>
                <w:lang w:val="pl-PL"/>
              </w:rPr>
            </w:pPr>
            <w:r w:rsidRPr="0053183F">
              <w:rPr>
                <w:b w:val="0"/>
                <w:bCs/>
                <w:lang w:eastAsia="pl-PL"/>
              </w:rPr>
              <w:t>Kozłowo</w:t>
            </w:r>
          </w:p>
        </w:tc>
        <w:tc>
          <w:tcPr>
            <w:tcW w:w="1134" w:type="dxa"/>
          </w:tcPr>
          <w:p w14:paraId="33BF652C" w14:textId="41D31312"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36,32</w:t>
            </w:r>
          </w:p>
        </w:tc>
        <w:tc>
          <w:tcPr>
            <w:tcW w:w="1116" w:type="dxa"/>
          </w:tcPr>
          <w:p w14:paraId="50991449" w14:textId="598F73E7"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23,70</w:t>
            </w:r>
          </w:p>
        </w:tc>
        <w:tc>
          <w:tcPr>
            <w:tcW w:w="1097" w:type="dxa"/>
          </w:tcPr>
          <w:p w14:paraId="1BAC236A" w14:textId="6F5E4101"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20,01</w:t>
            </w:r>
          </w:p>
        </w:tc>
        <w:tc>
          <w:tcPr>
            <w:tcW w:w="1079" w:type="dxa"/>
          </w:tcPr>
          <w:p w14:paraId="35D76CC1" w14:textId="0DF0A646"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19,51</w:t>
            </w:r>
          </w:p>
        </w:tc>
        <w:tc>
          <w:tcPr>
            <w:tcW w:w="992" w:type="dxa"/>
          </w:tcPr>
          <w:p w14:paraId="2473FA63" w14:textId="642775EA"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16,58</w:t>
            </w:r>
          </w:p>
        </w:tc>
        <w:tc>
          <w:tcPr>
            <w:tcW w:w="1295" w:type="dxa"/>
          </w:tcPr>
          <w:p w14:paraId="10596C61" w14:textId="58E36B79"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23,22</w:t>
            </w:r>
          </w:p>
        </w:tc>
      </w:tr>
      <w:tr w:rsidR="00FC5673" w14:paraId="1C7D1C1C" w14:textId="77777777" w:rsidTr="00FC5673">
        <w:tc>
          <w:tcPr>
            <w:cnfStyle w:val="001000000000" w:firstRow="0" w:lastRow="0" w:firstColumn="1" w:lastColumn="0" w:oddVBand="0" w:evenVBand="0" w:oddHBand="0" w:evenHBand="0" w:firstRowFirstColumn="0" w:firstRowLastColumn="0" w:lastRowFirstColumn="0" w:lastRowLastColumn="0"/>
            <w:tcW w:w="1980" w:type="dxa"/>
          </w:tcPr>
          <w:p w14:paraId="6CF840E2" w14:textId="279ED627" w:rsidR="00FC5673" w:rsidRPr="0053183F" w:rsidRDefault="00FC5673" w:rsidP="00FB2C29">
            <w:pPr>
              <w:spacing w:line="259" w:lineRule="auto"/>
              <w:ind w:left="0"/>
              <w:contextualSpacing/>
              <w:rPr>
                <w:b w:val="0"/>
                <w:bCs/>
                <w:lang w:val="pl-PL"/>
              </w:rPr>
            </w:pPr>
            <w:r w:rsidRPr="0053183F">
              <w:rPr>
                <w:b w:val="0"/>
                <w:bCs/>
                <w:lang w:eastAsia="pl-PL"/>
              </w:rPr>
              <w:t>Lidzbark</w:t>
            </w:r>
          </w:p>
        </w:tc>
        <w:tc>
          <w:tcPr>
            <w:tcW w:w="1134" w:type="dxa"/>
          </w:tcPr>
          <w:p w14:paraId="0ADE1AA3" w14:textId="138A5DCD"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11,02</w:t>
            </w:r>
          </w:p>
        </w:tc>
        <w:tc>
          <w:tcPr>
            <w:tcW w:w="1116" w:type="dxa"/>
          </w:tcPr>
          <w:p w14:paraId="05B08E80" w14:textId="3E3D4DD3"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6,80</w:t>
            </w:r>
          </w:p>
        </w:tc>
        <w:tc>
          <w:tcPr>
            <w:tcW w:w="1097" w:type="dxa"/>
          </w:tcPr>
          <w:p w14:paraId="61576937" w14:textId="50DF7503"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5,88</w:t>
            </w:r>
          </w:p>
        </w:tc>
        <w:tc>
          <w:tcPr>
            <w:tcW w:w="1079" w:type="dxa"/>
          </w:tcPr>
          <w:p w14:paraId="716C3CF7" w14:textId="2798DA5E"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11,49</w:t>
            </w:r>
          </w:p>
        </w:tc>
        <w:tc>
          <w:tcPr>
            <w:tcW w:w="992" w:type="dxa"/>
          </w:tcPr>
          <w:p w14:paraId="606BD5B3" w14:textId="2DFE1FAB"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14,95</w:t>
            </w:r>
          </w:p>
        </w:tc>
        <w:tc>
          <w:tcPr>
            <w:tcW w:w="1295" w:type="dxa"/>
          </w:tcPr>
          <w:p w14:paraId="23F22B8A" w14:textId="09119C98"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10,03</w:t>
            </w:r>
          </w:p>
        </w:tc>
      </w:tr>
      <w:tr w:rsidR="00FC5673" w14:paraId="58953656" w14:textId="77777777" w:rsidTr="00FC5673">
        <w:tc>
          <w:tcPr>
            <w:cnfStyle w:val="001000000000" w:firstRow="0" w:lastRow="0" w:firstColumn="1" w:lastColumn="0" w:oddVBand="0" w:evenVBand="0" w:oddHBand="0" w:evenHBand="0" w:firstRowFirstColumn="0" w:firstRowLastColumn="0" w:lastRowFirstColumn="0" w:lastRowLastColumn="0"/>
            <w:tcW w:w="1980" w:type="dxa"/>
          </w:tcPr>
          <w:p w14:paraId="06AC22E3" w14:textId="03B132E9" w:rsidR="00FC5673" w:rsidRPr="0053183F" w:rsidRDefault="00FC5673" w:rsidP="00FB2C29">
            <w:pPr>
              <w:spacing w:line="259" w:lineRule="auto"/>
              <w:ind w:left="0"/>
              <w:contextualSpacing/>
              <w:rPr>
                <w:b w:val="0"/>
                <w:bCs/>
                <w:lang w:val="pl-PL"/>
              </w:rPr>
            </w:pPr>
            <w:r w:rsidRPr="0053183F">
              <w:rPr>
                <w:b w:val="0"/>
                <w:bCs/>
                <w:lang w:eastAsia="pl-PL"/>
              </w:rPr>
              <w:t>Nidzica</w:t>
            </w:r>
          </w:p>
        </w:tc>
        <w:tc>
          <w:tcPr>
            <w:tcW w:w="1134" w:type="dxa"/>
          </w:tcPr>
          <w:p w14:paraId="14C3013C" w14:textId="3FFAD742"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32,32</w:t>
            </w:r>
          </w:p>
        </w:tc>
        <w:tc>
          <w:tcPr>
            <w:tcW w:w="1116" w:type="dxa"/>
          </w:tcPr>
          <w:p w14:paraId="18131911" w14:textId="1520C4D0"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27,42</w:t>
            </w:r>
          </w:p>
        </w:tc>
        <w:tc>
          <w:tcPr>
            <w:tcW w:w="1097" w:type="dxa"/>
          </w:tcPr>
          <w:p w14:paraId="2FB5527B" w14:textId="252B1E21"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31,71</w:t>
            </w:r>
          </w:p>
        </w:tc>
        <w:tc>
          <w:tcPr>
            <w:tcW w:w="1079" w:type="dxa"/>
          </w:tcPr>
          <w:p w14:paraId="5A2A0017" w14:textId="022FA52B"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43,61</w:t>
            </w:r>
          </w:p>
        </w:tc>
        <w:tc>
          <w:tcPr>
            <w:tcW w:w="992" w:type="dxa"/>
          </w:tcPr>
          <w:p w14:paraId="1852502B" w14:textId="78E0198A"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42,52</w:t>
            </w:r>
          </w:p>
        </w:tc>
        <w:tc>
          <w:tcPr>
            <w:tcW w:w="1295" w:type="dxa"/>
          </w:tcPr>
          <w:p w14:paraId="28DA44FC" w14:textId="4840C8CF"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35,52</w:t>
            </w:r>
          </w:p>
        </w:tc>
      </w:tr>
      <w:tr w:rsidR="00FC5673" w14:paraId="0E096EAC" w14:textId="77777777" w:rsidTr="00FC5673">
        <w:tc>
          <w:tcPr>
            <w:cnfStyle w:val="001000000000" w:firstRow="0" w:lastRow="0" w:firstColumn="1" w:lastColumn="0" w:oddVBand="0" w:evenVBand="0" w:oddHBand="0" w:evenHBand="0" w:firstRowFirstColumn="0" w:firstRowLastColumn="0" w:lastRowFirstColumn="0" w:lastRowLastColumn="0"/>
            <w:tcW w:w="1980" w:type="dxa"/>
          </w:tcPr>
          <w:p w14:paraId="6F526352" w14:textId="7864798C" w:rsidR="00FC5673" w:rsidRPr="0053183F" w:rsidRDefault="00FC5673" w:rsidP="00FB2C29">
            <w:pPr>
              <w:spacing w:line="259" w:lineRule="auto"/>
              <w:ind w:left="0"/>
              <w:contextualSpacing/>
              <w:rPr>
                <w:b w:val="0"/>
                <w:bCs/>
                <w:lang w:val="pl-PL"/>
              </w:rPr>
            </w:pPr>
            <w:r w:rsidRPr="0053183F">
              <w:rPr>
                <w:b w:val="0"/>
                <w:bCs/>
                <w:lang w:eastAsia="pl-PL"/>
              </w:rPr>
              <w:t>Orzysz</w:t>
            </w:r>
          </w:p>
        </w:tc>
        <w:tc>
          <w:tcPr>
            <w:tcW w:w="1134" w:type="dxa"/>
          </w:tcPr>
          <w:p w14:paraId="46B93813" w14:textId="4197F395"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23,76</w:t>
            </w:r>
          </w:p>
        </w:tc>
        <w:tc>
          <w:tcPr>
            <w:tcW w:w="1116" w:type="dxa"/>
          </w:tcPr>
          <w:p w14:paraId="4AA91156" w14:textId="7D68818D"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19,21</w:t>
            </w:r>
          </w:p>
        </w:tc>
        <w:tc>
          <w:tcPr>
            <w:tcW w:w="1097" w:type="dxa"/>
          </w:tcPr>
          <w:p w14:paraId="530AE150" w14:textId="2D3F0A0A"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13,96</w:t>
            </w:r>
          </w:p>
        </w:tc>
        <w:tc>
          <w:tcPr>
            <w:tcW w:w="1079" w:type="dxa"/>
          </w:tcPr>
          <w:p w14:paraId="6372A86E" w14:textId="6670F95F"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19,76</w:t>
            </w:r>
          </w:p>
        </w:tc>
        <w:tc>
          <w:tcPr>
            <w:tcW w:w="992" w:type="dxa"/>
          </w:tcPr>
          <w:p w14:paraId="40B47328" w14:textId="171BA641"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16,25</w:t>
            </w:r>
          </w:p>
        </w:tc>
        <w:tc>
          <w:tcPr>
            <w:tcW w:w="1295" w:type="dxa"/>
          </w:tcPr>
          <w:p w14:paraId="65B28E49" w14:textId="1AC5BEF1"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18,59</w:t>
            </w:r>
          </w:p>
        </w:tc>
      </w:tr>
      <w:tr w:rsidR="00FC5673" w14:paraId="7C8971AA" w14:textId="77777777" w:rsidTr="00FC5673">
        <w:tc>
          <w:tcPr>
            <w:cnfStyle w:val="001000000000" w:firstRow="0" w:lastRow="0" w:firstColumn="1" w:lastColumn="0" w:oddVBand="0" w:evenVBand="0" w:oddHBand="0" w:evenHBand="0" w:firstRowFirstColumn="0" w:firstRowLastColumn="0" w:lastRowFirstColumn="0" w:lastRowLastColumn="0"/>
            <w:tcW w:w="1980" w:type="dxa"/>
          </w:tcPr>
          <w:p w14:paraId="1AE78265" w14:textId="2F3AE74A" w:rsidR="00FC5673" w:rsidRPr="0053183F" w:rsidRDefault="00FC5673" w:rsidP="00FB2C29">
            <w:pPr>
              <w:spacing w:line="259" w:lineRule="auto"/>
              <w:ind w:left="0"/>
              <w:contextualSpacing/>
              <w:rPr>
                <w:b w:val="0"/>
                <w:bCs/>
                <w:lang w:val="pl-PL"/>
              </w:rPr>
            </w:pPr>
            <w:r w:rsidRPr="0053183F">
              <w:rPr>
                <w:b w:val="0"/>
                <w:bCs/>
                <w:lang w:eastAsia="pl-PL"/>
              </w:rPr>
              <w:t>Pasym</w:t>
            </w:r>
          </w:p>
        </w:tc>
        <w:tc>
          <w:tcPr>
            <w:tcW w:w="1134" w:type="dxa"/>
          </w:tcPr>
          <w:p w14:paraId="3E82223A" w14:textId="01C7BD28"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46,38</w:t>
            </w:r>
          </w:p>
        </w:tc>
        <w:tc>
          <w:tcPr>
            <w:tcW w:w="1116" w:type="dxa"/>
          </w:tcPr>
          <w:p w14:paraId="2167D421" w14:textId="66B04EA4"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35,28</w:t>
            </w:r>
          </w:p>
        </w:tc>
        <w:tc>
          <w:tcPr>
            <w:tcW w:w="1097" w:type="dxa"/>
          </w:tcPr>
          <w:p w14:paraId="2741AD4A" w14:textId="14C5E2BE"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28,44</w:t>
            </w:r>
          </w:p>
        </w:tc>
        <w:tc>
          <w:tcPr>
            <w:tcW w:w="1079" w:type="dxa"/>
          </w:tcPr>
          <w:p w14:paraId="1DA1A54F" w14:textId="0698527E"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65,32</w:t>
            </w:r>
          </w:p>
        </w:tc>
        <w:tc>
          <w:tcPr>
            <w:tcW w:w="992" w:type="dxa"/>
          </w:tcPr>
          <w:p w14:paraId="5D4F8EBB" w14:textId="1CA1597B"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21,21</w:t>
            </w:r>
          </w:p>
        </w:tc>
        <w:tc>
          <w:tcPr>
            <w:tcW w:w="1295" w:type="dxa"/>
          </w:tcPr>
          <w:p w14:paraId="50237D44" w14:textId="74F295E1"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39,33</w:t>
            </w:r>
          </w:p>
        </w:tc>
      </w:tr>
      <w:tr w:rsidR="00FC5673" w14:paraId="544F060D" w14:textId="77777777" w:rsidTr="00FC5673">
        <w:tc>
          <w:tcPr>
            <w:cnfStyle w:val="001000000000" w:firstRow="0" w:lastRow="0" w:firstColumn="1" w:lastColumn="0" w:oddVBand="0" w:evenVBand="0" w:oddHBand="0" w:evenHBand="0" w:firstRowFirstColumn="0" w:firstRowLastColumn="0" w:lastRowFirstColumn="0" w:lastRowLastColumn="0"/>
            <w:tcW w:w="1980" w:type="dxa"/>
          </w:tcPr>
          <w:p w14:paraId="3FDA9067" w14:textId="196CBC8C" w:rsidR="00FC5673" w:rsidRPr="0053183F" w:rsidRDefault="00FC5673" w:rsidP="00FB2C29">
            <w:pPr>
              <w:spacing w:line="259" w:lineRule="auto"/>
              <w:ind w:left="0"/>
              <w:contextualSpacing/>
              <w:rPr>
                <w:b w:val="0"/>
                <w:bCs/>
                <w:lang w:val="pl-PL"/>
              </w:rPr>
            </w:pPr>
            <w:r w:rsidRPr="0053183F">
              <w:rPr>
                <w:b w:val="0"/>
                <w:bCs/>
                <w:lang w:eastAsia="pl-PL"/>
              </w:rPr>
              <w:t>Pisz</w:t>
            </w:r>
          </w:p>
        </w:tc>
        <w:tc>
          <w:tcPr>
            <w:tcW w:w="1134" w:type="dxa"/>
          </w:tcPr>
          <w:p w14:paraId="3EE28CD2" w14:textId="7B89F83C"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63,20</w:t>
            </w:r>
          </w:p>
        </w:tc>
        <w:tc>
          <w:tcPr>
            <w:tcW w:w="1116" w:type="dxa"/>
          </w:tcPr>
          <w:p w14:paraId="1441201F" w14:textId="77050A88"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40,08</w:t>
            </w:r>
          </w:p>
        </w:tc>
        <w:tc>
          <w:tcPr>
            <w:tcW w:w="1097" w:type="dxa"/>
          </w:tcPr>
          <w:p w14:paraId="2179F1D9" w14:textId="1772039D"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29,88</w:t>
            </w:r>
          </w:p>
        </w:tc>
        <w:tc>
          <w:tcPr>
            <w:tcW w:w="1079" w:type="dxa"/>
          </w:tcPr>
          <w:p w14:paraId="5E3FC83A" w14:textId="0C01496C"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18,17</w:t>
            </w:r>
          </w:p>
        </w:tc>
        <w:tc>
          <w:tcPr>
            <w:tcW w:w="992" w:type="dxa"/>
          </w:tcPr>
          <w:p w14:paraId="4FF15454" w14:textId="286A6E3B"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8,58</w:t>
            </w:r>
          </w:p>
        </w:tc>
        <w:tc>
          <w:tcPr>
            <w:tcW w:w="1295" w:type="dxa"/>
          </w:tcPr>
          <w:p w14:paraId="783CECA2" w14:textId="1613978A"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31,98</w:t>
            </w:r>
          </w:p>
        </w:tc>
      </w:tr>
      <w:tr w:rsidR="00FC5673" w14:paraId="0A8D9AE2" w14:textId="77777777" w:rsidTr="00FC5673">
        <w:tc>
          <w:tcPr>
            <w:cnfStyle w:val="001000000000" w:firstRow="0" w:lastRow="0" w:firstColumn="1" w:lastColumn="0" w:oddVBand="0" w:evenVBand="0" w:oddHBand="0" w:evenHBand="0" w:firstRowFirstColumn="0" w:firstRowLastColumn="0" w:lastRowFirstColumn="0" w:lastRowLastColumn="0"/>
            <w:tcW w:w="1980" w:type="dxa"/>
          </w:tcPr>
          <w:p w14:paraId="76A7FCA8" w14:textId="08A95543" w:rsidR="00FC5673" w:rsidRPr="0053183F" w:rsidRDefault="00FC5673" w:rsidP="00FB2C29">
            <w:pPr>
              <w:spacing w:line="259" w:lineRule="auto"/>
              <w:ind w:left="0"/>
              <w:contextualSpacing/>
              <w:rPr>
                <w:b w:val="0"/>
                <w:bCs/>
                <w:lang w:val="pl-PL"/>
              </w:rPr>
            </w:pPr>
            <w:r w:rsidRPr="0053183F">
              <w:rPr>
                <w:b w:val="0"/>
                <w:bCs/>
                <w:lang w:eastAsia="pl-PL"/>
              </w:rPr>
              <w:t>Płośnica</w:t>
            </w:r>
          </w:p>
        </w:tc>
        <w:tc>
          <w:tcPr>
            <w:tcW w:w="1134" w:type="dxa"/>
          </w:tcPr>
          <w:p w14:paraId="2594B45D" w14:textId="6338B3CB"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14,09</w:t>
            </w:r>
          </w:p>
        </w:tc>
        <w:tc>
          <w:tcPr>
            <w:tcW w:w="1116" w:type="dxa"/>
          </w:tcPr>
          <w:p w14:paraId="54D82D06" w14:textId="11566564"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9,97</w:t>
            </w:r>
          </w:p>
        </w:tc>
        <w:tc>
          <w:tcPr>
            <w:tcW w:w="1097" w:type="dxa"/>
          </w:tcPr>
          <w:p w14:paraId="044425D6" w14:textId="3A7C5D5C"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7,82</w:t>
            </w:r>
          </w:p>
        </w:tc>
        <w:tc>
          <w:tcPr>
            <w:tcW w:w="1079" w:type="dxa"/>
          </w:tcPr>
          <w:p w14:paraId="456C3060" w14:textId="50165675"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17,12</w:t>
            </w:r>
          </w:p>
        </w:tc>
        <w:tc>
          <w:tcPr>
            <w:tcW w:w="992" w:type="dxa"/>
          </w:tcPr>
          <w:p w14:paraId="62889E1A" w14:textId="03FF9DA6"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8,20</w:t>
            </w:r>
          </w:p>
        </w:tc>
        <w:tc>
          <w:tcPr>
            <w:tcW w:w="1295" w:type="dxa"/>
          </w:tcPr>
          <w:p w14:paraId="2E26335F" w14:textId="004FA64D"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11,44</w:t>
            </w:r>
          </w:p>
        </w:tc>
      </w:tr>
      <w:tr w:rsidR="00FC5673" w14:paraId="042F0AB4" w14:textId="77777777" w:rsidTr="00FC5673">
        <w:tc>
          <w:tcPr>
            <w:cnfStyle w:val="001000000000" w:firstRow="0" w:lastRow="0" w:firstColumn="1" w:lastColumn="0" w:oddVBand="0" w:evenVBand="0" w:oddHBand="0" w:evenHBand="0" w:firstRowFirstColumn="0" w:firstRowLastColumn="0" w:lastRowFirstColumn="0" w:lastRowLastColumn="0"/>
            <w:tcW w:w="1980" w:type="dxa"/>
          </w:tcPr>
          <w:p w14:paraId="757B7BA2" w14:textId="0AAB85E8" w:rsidR="00FC5673" w:rsidRPr="0053183F" w:rsidRDefault="00FC5673" w:rsidP="00FB2C29">
            <w:pPr>
              <w:spacing w:line="259" w:lineRule="auto"/>
              <w:ind w:left="0"/>
              <w:contextualSpacing/>
              <w:rPr>
                <w:b w:val="0"/>
                <w:bCs/>
                <w:lang w:val="pl-PL"/>
              </w:rPr>
            </w:pPr>
            <w:r w:rsidRPr="0053183F">
              <w:rPr>
                <w:b w:val="0"/>
                <w:bCs/>
                <w:lang w:eastAsia="pl-PL"/>
              </w:rPr>
              <w:t>Rozogi</w:t>
            </w:r>
          </w:p>
        </w:tc>
        <w:tc>
          <w:tcPr>
            <w:tcW w:w="1134" w:type="dxa"/>
          </w:tcPr>
          <w:p w14:paraId="1D42E426" w14:textId="713CD605"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28,78</w:t>
            </w:r>
          </w:p>
        </w:tc>
        <w:tc>
          <w:tcPr>
            <w:tcW w:w="1116" w:type="dxa"/>
          </w:tcPr>
          <w:p w14:paraId="2A3747AB" w14:textId="45EB63A2"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20,43</w:t>
            </w:r>
          </w:p>
        </w:tc>
        <w:tc>
          <w:tcPr>
            <w:tcW w:w="1097" w:type="dxa"/>
          </w:tcPr>
          <w:p w14:paraId="25C53800" w14:textId="725A2912"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14,98</w:t>
            </w:r>
          </w:p>
        </w:tc>
        <w:tc>
          <w:tcPr>
            <w:tcW w:w="1079" w:type="dxa"/>
          </w:tcPr>
          <w:p w14:paraId="1A02196A" w14:textId="07E694F9"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16,49</w:t>
            </w:r>
          </w:p>
        </w:tc>
        <w:tc>
          <w:tcPr>
            <w:tcW w:w="992" w:type="dxa"/>
          </w:tcPr>
          <w:p w14:paraId="5D95C0F0" w14:textId="33EDCAA2"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16,42</w:t>
            </w:r>
          </w:p>
        </w:tc>
        <w:tc>
          <w:tcPr>
            <w:tcW w:w="1295" w:type="dxa"/>
          </w:tcPr>
          <w:p w14:paraId="55179153" w14:textId="448368D7"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19,42</w:t>
            </w:r>
          </w:p>
        </w:tc>
      </w:tr>
      <w:tr w:rsidR="00FC5673" w14:paraId="4C9A6929" w14:textId="77777777" w:rsidTr="00FC5673">
        <w:tc>
          <w:tcPr>
            <w:cnfStyle w:val="001000000000" w:firstRow="0" w:lastRow="0" w:firstColumn="1" w:lastColumn="0" w:oddVBand="0" w:evenVBand="0" w:oddHBand="0" w:evenHBand="0" w:firstRowFirstColumn="0" w:firstRowLastColumn="0" w:lastRowFirstColumn="0" w:lastRowLastColumn="0"/>
            <w:tcW w:w="1980" w:type="dxa"/>
          </w:tcPr>
          <w:p w14:paraId="1BBA3DEF" w14:textId="0059DE98" w:rsidR="00FC5673" w:rsidRPr="0053183F" w:rsidRDefault="00FC5673" w:rsidP="00FB2C29">
            <w:pPr>
              <w:spacing w:line="259" w:lineRule="auto"/>
              <w:ind w:left="0"/>
              <w:contextualSpacing/>
              <w:rPr>
                <w:b w:val="0"/>
                <w:bCs/>
                <w:lang w:val="pl-PL"/>
              </w:rPr>
            </w:pPr>
            <w:r w:rsidRPr="0053183F">
              <w:rPr>
                <w:b w:val="0"/>
                <w:bCs/>
                <w:lang w:eastAsia="pl-PL"/>
              </w:rPr>
              <w:t>Ruciane-Nida</w:t>
            </w:r>
          </w:p>
        </w:tc>
        <w:tc>
          <w:tcPr>
            <w:tcW w:w="1134" w:type="dxa"/>
          </w:tcPr>
          <w:p w14:paraId="52E6C98C" w14:textId="12BD2292"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42,89</w:t>
            </w:r>
          </w:p>
        </w:tc>
        <w:tc>
          <w:tcPr>
            <w:tcW w:w="1116" w:type="dxa"/>
          </w:tcPr>
          <w:p w14:paraId="7ACEE3E3" w14:textId="7CE3FB1A"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26,09</w:t>
            </w:r>
          </w:p>
        </w:tc>
        <w:tc>
          <w:tcPr>
            <w:tcW w:w="1097" w:type="dxa"/>
          </w:tcPr>
          <w:p w14:paraId="6E09681C" w14:textId="51250844"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24,80</w:t>
            </w:r>
          </w:p>
        </w:tc>
        <w:tc>
          <w:tcPr>
            <w:tcW w:w="1079" w:type="dxa"/>
          </w:tcPr>
          <w:p w14:paraId="79EBE2B2" w14:textId="14BAF372"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21,80</w:t>
            </w:r>
          </w:p>
        </w:tc>
        <w:tc>
          <w:tcPr>
            <w:tcW w:w="992" w:type="dxa"/>
          </w:tcPr>
          <w:p w14:paraId="6964AF7D" w14:textId="631A0E9D"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27,21</w:t>
            </w:r>
          </w:p>
        </w:tc>
        <w:tc>
          <w:tcPr>
            <w:tcW w:w="1295" w:type="dxa"/>
          </w:tcPr>
          <w:p w14:paraId="56AD2CBE" w14:textId="79AF91B2"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28,56</w:t>
            </w:r>
          </w:p>
        </w:tc>
      </w:tr>
      <w:tr w:rsidR="00FC5673" w14:paraId="62D4E873" w14:textId="77777777" w:rsidTr="00FC5673">
        <w:tc>
          <w:tcPr>
            <w:cnfStyle w:val="001000000000" w:firstRow="0" w:lastRow="0" w:firstColumn="1" w:lastColumn="0" w:oddVBand="0" w:evenVBand="0" w:oddHBand="0" w:evenHBand="0" w:firstRowFirstColumn="0" w:firstRowLastColumn="0" w:lastRowFirstColumn="0" w:lastRowLastColumn="0"/>
            <w:tcW w:w="1980" w:type="dxa"/>
          </w:tcPr>
          <w:p w14:paraId="5AC13890" w14:textId="5F7552BF" w:rsidR="00FC5673" w:rsidRPr="0053183F" w:rsidRDefault="00FC5673" w:rsidP="00FB2C29">
            <w:pPr>
              <w:spacing w:line="259" w:lineRule="auto"/>
              <w:ind w:left="0"/>
              <w:contextualSpacing/>
              <w:rPr>
                <w:b w:val="0"/>
                <w:bCs/>
                <w:lang w:val="pl-PL"/>
              </w:rPr>
            </w:pPr>
            <w:r w:rsidRPr="0053183F">
              <w:rPr>
                <w:b w:val="0"/>
                <w:bCs/>
                <w:lang w:eastAsia="pl-PL"/>
              </w:rPr>
              <w:t>Rybno</w:t>
            </w:r>
          </w:p>
        </w:tc>
        <w:tc>
          <w:tcPr>
            <w:tcW w:w="1134" w:type="dxa"/>
          </w:tcPr>
          <w:p w14:paraId="41A3D104" w14:textId="32F4579B"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11,43</w:t>
            </w:r>
          </w:p>
        </w:tc>
        <w:tc>
          <w:tcPr>
            <w:tcW w:w="1116" w:type="dxa"/>
          </w:tcPr>
          <w:p w14:paraId="44966516" w14:textId="62D1B690"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6,30</w:t>
            </w:r>
          </w:p>
        </w:tc>
        <w:tc>
          <w:tcPr>
            <w:tcW w:w="1097" w:type="dxa"/>
          </w:tcPr>
          <w:p w14:paraId="58B0E6A4" w14:textId="2255A9AD"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9,47</w:t>
            </w:r>
          </w:p>
        </w:tc>
        <w:tc>
          <w:tcPr>
            <w:tcW w:w="1079" w:type="dxa"/>
          </w:tcPr>
          <w:p w14:paraId="158CFFC4" w14:textId="4B5B12E3"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15,61</w:t>
            </w:r>
          </w:p>
        </w:tc>
        <w:tc>
          <w:tcPr>
            <w:tcW w:w="992" w:type="dxa"/>
          </w:tcPr>
          <w:p w14:paraId="5D3CC20A" w14:textId="7FF05B6A"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18,19</w:t>
            </w:r>
          </w:p>
        </w:tc>
        <w:tc>
          <w:tcPr>
            <w:tcW w:w="1295" w:type="dxa"/>
          </w:tcPr>
          <w:p w14:paraId="7EECF08A" w14:textId="42EFE041"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12,20</w:t>
            </w:r>
          </w:p>
        </w:tc>
      </w:tr>
      <w:tr w:rsidR="00FC5673" w14:paraId="583D7D46" w14:textId="77777777" w:rsidTr="00FC5673">
        <w:tc>
          <w:tcPr>
            <w:cnfStyle w:val="001000000000" w:firstRow="0" w:lastRow="0" w:firstColumn="1" w:lastColumn="0" w:oddVBand="0" w:evenVBand="0" w:oddHBand="0" w:evenHBand="0" w:firstRowFirstColumn="0" w:firstRowLastColumn="0" w:lastRowFirstColumn="0" w:lastRowLastColumn="0"/>
            <w:tcW w:w="1980" w:type="dxa"/>
          </w:tcPr>
          <w:p w14:paraId="1CE6699B" w14:textId="077AE313" w:rsidR="00FC5673" w:rsidRPr="0053183F" w:rsidRDefault="00FC5673" w:rsidP="00FB2C29">
            <w:pPr>
              <w:spacing w:line="259" w:lineRule="auto"/>
              <w:ind w:left="0"/>
              <w:contextualSpacing/>
              <w:rPr>
                <w:b w:val="0"/>
                <w:bCs/>
                <w:lang w:val="pl-PL"/>
              </w:rPr>
            </w:pPr>
            <w:r w:rsidRPr="0053183F">
              <w:rPr>
                <w:b w:val="0"/>
                <w:bCs/>
                <w:lang w:eastAsia="pl-PL"/>
              </w:rPr>
              <w:t>Szczytno – gmina miejska</w:t>
            </w:r>
          </w:p>
        </w:tc>
        <w:tc>
          <w:tcPr>
            <w:tcW w:w="1134" w:type="dxa"/>
          </w:tcPr>
          <w:p w14:paraId="4E6E3361" w14:textId="106611FE"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20,61</w:t>
            </w:r>
          </w:p>
        </w:tc>
        <w:tc>
          <w:tcPr>
            <w:tcW w:w="1116" w:type="dxa"/>
          </w:tcPr>
          <w:p w14:paraId="74B5E26F" w14:textId="36CCF8B1"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16,68</w:t>
            </w:r>
          </w:p>
        </w:tc>
        <w:tc>
          <w:tcPr>
            <w:tcW w:w="1097" w:type="dxa"/>
          </w:tcPr>
          <w:p w14:paraId="00BCA022" w14:textId="706D79B6"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15,19</w:t>
            </w:r>
          </w:p>
        </w:tc>
        <w:tc>
          <w:tcPr>
            <w:tcW w:w="1079" w:type="dxa"/>
          </w:tcPr>
          <w:p w14:paraId="5F57E9BA" w14:textId="32E32C09"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15,37</w:t>
            </w:r>
          </w:p>
        </w:tc>
        <w:tc>
          <w:tcPr>
            <w:tcW w:w="992" w:type="dxa"/>
          </w:tcPr>
          <w:p w14:paraId="4AAE794F" w14:textId="501D24EB"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15,52</w:t>
            </w:r>
          </w:p>
        </w:tc>
        <w:tc>
          <w:tcPr>
            <w:tcW w:w="1295" w:type="dxa"/>
          </w:tcPr>
          <w:p w14:paraId="2270B0DB" w14:textId="091E2870"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16,67</w:t>
            </w:r>
          </w:p>
        </w:tc>
      </w:tr>
      <w:tr w:rsidR="00FC5673" w14:paraId="067CB4D9" w14:textId="77777777" w:rsidTr="00FC5673">
        <w:tc>
          <w:tcPr>
            <w:cnfStyle w:val="001000000000" w:firstRow="0" w:lastRow="0" w:firstColumn="1" w:lastColumn="0" w:oddVBand="0" w:evenVBand="0" w:oddHBand="0" w:evenHBand="0" w:firstRowFirstColumn="0" w:firstRowLastColumn="0" w:lastRowFirstColumn="0" w:lastRowLastColumn="0"/>
            <w:tcW w:w="1980" w:type="dxa"/>
          </w:tcPr>
          <w:p w14:paraId="49FBDDB7" w14:textId="6501F4BA" w:rsidR="00FC5673" w:rsidRPr="0053183F" w:rsidRDefault="00FC5673" w:rsidP="00FB2C29">
            <w:pPr>
              <w:spacing w:line="259" w:lineRule="auto"/>
              <w:ind w:left="0"/>
              <w:contextualSpacing/>
              <w:rPr>
                <w:b w:val="0"/>
                <w:bCs/>
                <w:lang w:val="pl-PL"/>
              </w:rPr>
            </w:pPr>
            <w:r w:rsidRPr="0053183F">
              <w:rPr>
                <w:b w:val="0"/>
                <w:bCs/>
                <w:lang w:eastAsia="pl-PL"/>
              </w:rPr>
              <w:t>Szczytno -gmina wiejska</w:t>
            </w:r>
          </w:p>
        </w:tc>
        <w:tc>
          <w:tcPr>
            <w:tcW w:w="1134" w:type="dxa"/>
          </w:tcPr>
          <w:p w14:paraId="5E7595E9" w14:textId="17166B93"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10,71</w:t>
            </w:r>
          </w:p>
        </w:tc>
        <w:tc>
          <w:tcPr>
            <w:tcW w:w="1116" w:type="dxa"/>
          </w:tcPr>
          <w:p w14:paraId="60050314" w14:textId="52299E5F"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8,73</w:t>
            </w:r>
          </w:p>
        </w:tc>
        <w:tc>
          <w:tcPr>
            <w:tcW w:w="1097" w:type="dxa"/>
          </w:tcPr>
          <w:p w14:paraId="3B5404A3" w14:textId="21AD96A7"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7,56</w:t>
            </w:r>
          </w:p>
        </w:tc>
        <w:tc>
          <w:tcPr>
            <w:tcW w:w="1079" w:type="dxa"/>
          </w:tcPr>
          <w:p w14:paraId="2142AA0C" w14:textId="1B794CFA"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13,40</w:t>
            </w:r>
          </w:p>
        </w:tc>
        <w:tc>
          <w:tcPr>
            <w:tcW w:w="992" w:type="dxa"/>
          </w:tcPr>
          <w:p w14:paraId="1582571E" w14:textId="178AD12A"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8,58</w:t>
            </w:r>
          </w:p>
        </w:tc>
        <w:tc>
          <w:tcPr>
            <w:tcW w:w="1295" w:type="dxa"/>
          </w:tcPr>
          <w:p w14:paraId="4454DBAF" w14:textId="4386F087"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9,80</w:t>
            </w:r>
          </w:p>
        </w:tc>
      </w:tr>
      <w:tr w:rsidR="00FC5673" w14:paraId="29FB6E43" w14:textId="77777777" w:rsidTr="00FC5673">
        <w:tc>
          <w:tcPr>
            <w:cnfStyle w:val="001000000000" w:firstRow="0" w:lastRow="0" w:firstColumn="1" w:lastColumn="0" w:oddVBand="0" w:evenVBand="0" w:oddHBand="0" w:evenHBand="0" w:firstRowFirstColumn="0" w:firstRowLastColumn="0" w:lastRowFirstColumn="0" w:lastRowLastColumn="0"/>
            <w:tcW w:w="1980" w:type="dxa"/>
          </w:tcPr>
          <w:p w14:paraId="7932AE5D" w14:textId="2AC654B2" w:rsidR="00FC5673" w:rsidRPr="0053183F" w:rsidRDefault="00FC5673" w:rsidP="00FB2C29">
            <w:pPr>
              <w:spacing w:line="259" w:lineRule="auto"/>
              <w:ind w:left="0"/>
              <w:contextualSpacing/>
              <w:rPr>
                <w:b w:val="0"/>
                <w:bCs/>
                <w:lang w:val="pl-PL"/>
              </w:rPr>
            </w:pPr>
            <w:r w:rsidRPr="0053183F">
              <w:rPr>
                <w:b w:val="0"/>
                <w:bCs/>
                <w:lang w:eastAsia="pl-PL"/>
              </w:rPr>
              <w:t>Wielbark</w:t>
            </w:r>
          </w:p>
        </w:tc>
        <w:tc>
          <w:tcPr>
            <w:tcW w:w="1134" w:type="dxa"/>
          </w:tcPr>
          <w:p w14:paraId="28581535" w14:textId="15ABE87D"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29,30</w:t>
            </w:r>
          </w:p>
        </w:tc>
        <w:tc>
          <w:tcPr>
            <w:tcW w:w="1116" w:type="dxa"/>
          </w:tcPr>
          <w:p w14:paraId="563249A0" w14:textId="7F02C33F"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27,83</w:t>
            </w:r>
          </w:p>
        </w:tc>
        <w:tc>
          <w:tcPr>
            <w:tcW w:w="1097" w:type="dxa"/>
          </w:tcPr>
          <w:p w14:paraId="623F61E1" w14:textId="28093ECD"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27,21</w:t>
            </w:r>
          </w:p>
        </w:tc>
        <w:tc>
          <w:tcPr>
            <w:tcW w:w="1079" w:type="dxa"/>
          </w:tcPr>
          <w:p w14:paraId="349ADE03" w14:textId="05BAFC24"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24,15</w:t>
            </w:r>
          </w:p>
        </w:tc>
        <w:tc>
          <w:tcPr>
            <w:tcW w:w="992" w:type="dxa"/>
          </w:tcPr>
          <w:p w14:paraId="3443FACC" w14:textId="7167B75C"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20,57</w:t>
            </w:r>
          </w:p>
        </w:tc>
        <w:tc>
          <w:tcPr>
            <w:tcW w:w="1295" w:type="dxa"/>
          </w:tcPr>
          <w:p w14:paraId="2EF9388E" w14:textId="32F22CCC"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25,81</w:t>
            </w:r>
          </w:p>
        </w:tc>
      </w:tr>
      <w:tr w:rsidR="00FC5673" w14:paraId="461D1157" w14:textId="77777777" w:rsidTr="00FC5673">
        <w:tc>
          <w:tcPr>
            <w:cnfStyle w:val="001000000000" w:firstRow="0" w:lastRow="0" w:firstColumn="1" w:lastColumn="0" w:oddVBand="0" w:evenVBand="0" w:oddHBand="0" w:evenHBand="0" w:firstRowFirstColumn="0" w:firstRowLastColumn="0" w:lastRowFirstColumn="0" w:lastRowLastColumn="0"/>
            <w:tcW w:w="1980" w:type="dxa"/>
          </w:tcPr>
          <w:p w14:paraId="2DC1CF8A" w14:textId="0FAD6900" w:rsidR="00FC5673" w:rsidRPr="0053183F" w:rsidRDefault="00FC5673" w:rsidP="00FB2C29">
            <w:pPr>
              <w:spacing w:line="259" w:lineRule="auto"/>
              <w:ind w:left="0"/>
              <w:contextualSpacing/>
              <w:rPr>
                <w:b w:val="0"/>
                <w:bCs/>
                <w:lang w:val="pl-PL"/>
              </w:rPr>
            </w:pPr>
            <w:r w:rsidRPr="0053183F">
              <w:rPr>
                <w:b w:val="0"/>
                <w:bCs/>
                <w:lang w:eastAsia="pl-PL"/>
              </w:rPr>
              <w:lastRenderedPageBreak/>
              <w:t>Świętajno</w:t>
            </w:r>
          </w:p>
        </w:tc>
        <w:tc>
          <w:tcPr>
            <w:tcW w:w="1134" w:type="dxa"/>
          </w:tcPr>
          <w:p w14:paraId="7F43BABE" w14:textId="0AA1E524"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9,69</w:t>
            </w:r>
          </w:p>
        </w:tc>
        <w:tc>
          <w:tcPr>
            <w:tcW w:w="1116" w:type="dxa"/>
          </w:tcPr>
          <w:p w14:paraId="64601484" w14:textId="7FE05C22"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7,23</w:t>
            </w:r>
          </w:p>
        </w:tc>
        <w:tc>
          <w:tcPr>
            <w:tcW w:w="1097" w:type="dxa"/>
          </w:tcPr>
          <w:p w14:paraId="54FFF1C8" w14:textId="5D3B7E2F"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13,62</w:t>
            </w:r>
          </w:p>
        </w:tc>
        <w:tc>
          <w:tcPr>
            <w:tcW w:w="1079" w:type="dxa"/>
          </w:tcPr>
          <w:p w14:paraId="79EB59B9" w14:textId="4E64B866"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24,46</w:t>
            </w:r>
          </w:p>
        </w:tc>
        <w:tc>
          <w:tcPr>
            <w:tcW w:w="992" w:type="dxa"/>
          </w:tcPr>
          <w:p w14:paraId="54DE06C4" w14:textId="09030D68"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28,69</w:t>
            </w:r>
          </w:p>
        </w:tc>
        <w:tc>
          <w:tcPr>
            <w:tcW w:w="1295" w:type="dxa"/>
          </w:tcPr>
          <w:p w14:paraId="64B67115" w14:textId="5525F4EB"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16,74</w:t>
            </w:r>
          </w:p>
        </w:tc>
      </w:tr>
      <w:tr w:rsidR="00FC5673" w14:paraId="1CC6EBFE" w14:textId="77777777" w:rsidTr="00FC5673">
        <w:tc>
          <w:tcPr>
            <w:cnfStyle w:val="001000000000" w:firstRow="0" w:lastRow="0" w:firstColumn="1" w:lastColumn="0" w:oddVBand="0" w:evenVBand="0" w:oddHBand="0" w:evenHBand="0" w:firstRowFirstColumn="0" w:firstRowLastColumn="0" w:lastRowFirstColumn="0" w:lastRowLastColumn="0"/>
            <w:tcW w:w="1980" w:type="dxa"/>
          </w:tcPr>
          <w:p w14:paraId="642F00DC" w14:textId="2C31C6AC" w:rsidR="00FC5673" w:rsidRPr="0053183F" w:rsidRDefault="00FC5673" w:rsidP="00FB2C29">
            <w:pPr>
              <w:spacing w:line="259" w:lineRule="auto"/>
              <w:ind w:left="0"/>
              <w:contextualSpacing/>
              <w:rPr>
                <w:b w:val="0"/>
                <w:bCs/>
                <w:lang w:val="pl-PL"/>
              </w:rPr>
            </w:pPr>
            <w:r w:rsidRPr="0053183F">
              <w:rPr>
                <w:b w:val="0"/>
                <w:bCs/>
                <w:lang w:eastAsia="pl-PL"/>
              </w:rPr>
              <w:t>Powiat działdowski</w:t>
            </w:r>
          </w:p>
        </w:tc>
        <w:tc>
          <w:tcPr>
            <w:tcW w:w="1134" w:type="dxa"/>
          </w:tcPr>
          <w:p w14:paraId="7A40D1FC" w14:textId="0C9F6C29"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0,99</w:t>
            </w:r>
          </w:p>
        </w:tc>
        <w:tc>
          <w:tcPr>
            <w:tcW w:w="1116" w:type="dxa"/>
          </w:tcPr>
          <w:p w14:paraId="23C49720" w14:textId="5B0512CC"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0,65</w:t>
            </w:r>
          </w:p>
        </w:tc>
        <w:tc>
          <w:tcPr>
            <w:tcW w:w="1097" w:type="dxa"/>
          </w:tcPr>
          <w:p w14:paraId="47E673BA" w14:textId="6CAEF4E6"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0,30</w:t>
            </w:r>
          </w:p>
        </w:tc>
        <w:tc>
          <w:tcPr>
            <w:tcW w:w="1079" w:type="dxa"/>
          </w:tcPr>
          <w:p w14:paraId="6EF27CE3" w14:textId="0EF5FEC3"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w:t>
            </w:r>
          </w:p>
        </w:tc>
        <w:tc>
          <w:tcPr>
            <w:tcW w:w="992" w:type="dxa"/>
          </w:tcPr>
          <w:p w14:paraId="67ADF3E5" w14:textId="0E3B4533"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w:t>
            </w:r>
          </w:p>
        </w:tc>
        <w:tc>
          <w:tcPr>
            <w:tcW w:w="1295" w:type="dxa"/>
          </w:tcPr>
          <w:p w14:paraId="17727388" w14:textId="12DA7E83"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0,39</w:t>
            </w:r>
          </w:p>
        </w:tc>
      </w:tr>
      <w:tr w:rsidR="00FC5673" w14:paraId="1638BC18" w14:textId="77777777" w:rsidTr="00FC5673">
        <w:tc>
          <w:tcPr>
            <w:cnfStyle w:val="001000000000" w:firstRow="0" w:lastRow="0" w:firstColumn="1" w:lastColumn="0" w:oddVBand="0" w:evenVBand="0" w:oddHBand="0" w:evenHBand="0" w:firstRowFirstColumn="0" w:firstRowLastColumn="0" w:lastRowFirstColumn="0" w:lastRowLastColumn="0"/>
            <w:tcW w:w="1980" w:type="dxa"/>
          </w:tcPr>
          <w:p w14:paraId="165842F9" w14:textId="633417EB" w:rsidR="00FC5673" w:rsidRPr="0053183F" w:rsidRDefault="00FC5673" w:rsidP="00FB2C29">
            <w:pPr>
              <w:spacing w:line="259" w:lineRule="auto"/>
              <w:ind w:left="0"/>
              <w:contextualSpacing/>
              <w:rPr>
                <w:b w:val="0"/>
                <w:bCs/>
                <w:lang w:val="pl-PL"/>
              </w:rPr>
            </w:pPr>
            <w:r w:rsidRPr="0053183F">
              <w:rPr>
                <w:b w:val="0"/>
                <w:bCs/>
                <w:lang w:eastAsia="pl-PL"/>
              </w:rPr>
              <w:t>Powiat szczycieński</w:t>
            </w:r>
          </w:p>
        </w:tc>
        <w:tc>
          <w:tcPr>
            <w:tcW w:w="1134" w:type="dxa"/>
          </w:tcPr>
          <w:p w14:paraId="530DF9D0" w14:textId="60867247"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3,37</w:t>
            </w:r>
          </w:p>
        </w:tc>
        <w:tc>
          <w:tcPr>
            <w:tcW w:w="1116" w:type="dxa"/>
          </w:tcPr>
          <w:p w14:paraId="5A35729C" w14:textId="20DAFAD1"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2,18</w:t>
            </w:r>
          </w:p>
        </w:tc>
        <w:tc>
          <w:tcPr>
            <w:tcW w:w="1097" w:type="dxa"/>
          </w:tcPr>
          <w:p w14:paraId="4F7AA08A" w14:textId="0BD4E26B"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9,11</w:t>
            </w:r>
          </w:p>
        </w:tc>
        <w:tc>
          <w:tcPr>
            <w:tcW w:w="1079" w:type="dxa"/>
          </w:tcPr>
          <w:p w14:paraId="2E6DAE1E" w14:textId="00FEE915"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19,51</w:t>
            </w:r>
          </w:p>
        </w:tc>
        <w:tc>
          <w:tcPr>
            <w:tcW w:w="992" w:type="dxa"/>
          </w:tcPr>
          <w:p w14:paraId="40BD8286" w14:textId="4E4085AC"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34,82</w:t>
            </w:r>
          </w:p>
        </w:tc>
        <w:tc>
          <w:tcPr>
            <w:tcW w:w="1295" w:type="dxa"/>
          </w:tcPr>
          <w:p w14:paraId="41452F6A" w14:textId="1C54F66C"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13,80</w:t>
            </w:r>
          </w:p>
        </w:tc>
      </w:tr>
      <w:tr w:rsidR="00FC5673" w14:paraId="45077439" w14:textId="77777777" w:rsidTr="00FC5673">
        <w:tc>
          <w:tcPr>
            <w:cnfStyle w:val="001000000000" w:firstRow="0" w:lastRow="0" w:firstColumn="1" w:lastColumn="0" w:oddVBand="0" w:evenVBand="0" w:oddHBand="0" w:evenHBand="0" w:firstRowFirstColumn="0" w:firstRowLastColumn="0" w:lastRowFirstColumn="0" w:lastRowLastColumn="0"/>
            <w:tcW w:w="1980" w:type="dxa"/>
          </w:tcPr>
          <w:p w14:paraId="19949C3E" w14:textId="027E5180" w:rsidR="00FC5673" w:rsidRPr="0053183F" w:rsidRDefault="00FC5673" w:rsidP="00FB2C29">
            <w:pPr>
              <w:spacing w:line="259" w:lineRule="auto"/>
              <w:ind w:left="0"/>
              <w:contextualSpacing/>
              <w:rPr>
                <w:b w:val="0"/>
                <w:bCs/>
                <w:lang w:val="pl-PL"/>
              </w:rPr>
            </w:pPr>
            <w:r w:rsidRPr="0053183F">
              <w:rPr>
                <w:b w:val="0"/>
                <w:bCs/>
                <w:lang w:eastAsia="pl-PL"/>
              </w:rPr>
              <w:t>Powiat piski</w:t>
            </w:r>
          </w:p>
        </w:tc>
        <w:tc>
          <w:tcPr>
            <w:tcW w:w="1134" w:type="dxa"/>
          </w:tcPr>
          <w:p w14:paraId="753AC0D9" w14:textId="43093AD2"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13,02</w:t>
            </w:r>
          </w:p>
        </w:tc>
        <w:tc>
          <w:tcPr>
            <w:tcW w:w="1116" w:type="dxa"/>
          </w:tcPr>
          <w:p w14:paraId="6A054C3A" w14:textId="54226148"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9,24</w:t>
            </w:r>
          </w:p>
        </w:tc>
        <w:tc>
          <w:tcPr>
            <w:tcW w:w="1097" w:type="dxa"/>
          </w:tcPr>
          <w:p w14:paraId="684A2F99" w14:textId="45FAF394"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11,40</w:t>
            </w:r>
          </w:p>
        </w:tc>
        <w:tc>
          <w:tcPr>
            <w:tcW w:w="1079" w:type="dxa"/>
          </w:tcPr>
          <w:p w14:paraId="0110FB52" w14:textId="475F483C"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13,59</w:t>
            </w:r>
          </w:p>
        </w:tc>
        <w:tc>
          <w:tcPr>
            <w:tcW w:w="992" w:type="dxa"/>
          </w:tcPr>
          <w:p w14:paraId="03861A23" w14:textId="2D630CF9"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10,35</w:t>
            </w:r>
          </w:p>
        </w:tc>
        <w:tc>
          <w:tcPr>
            <w:tcW w:w="1295" w:type="dxa"/>
          </w:tcPr>
          <w:p w14:paraId="4AA55DAC" w14:textId="4BF58ADE"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11,52</w:t>
            </w:r>
          </w:p>
        </w:tc>
      </w:tr>
      <w:tr w:rsidR="00FC5673" w14:paraId="7A28BCE1" w14:textId="77777777" w:rsidTr="00FC5673">
        <w:tc>
          <w:tcPr>
            <w:cnfStyle w:val="001000000000" w:firstRow="0" w:lastRow="0" w:firstColumn="1" w:lastColumn="0" w:oddVBand="0" w:evenVBand="0" w:oddHBand="0" w:evenHBand="0" w:firstRowFirstColumn="0" w:firstRowLastColumn="0" w:lastRowFirstColumn="0" w:lastRowLastColumn="0"/>
            <w:tcW w:w="1980" w:type="dxa"/>
          </w:tcPr>
          <w:p w14:paraId="4A02760A" w14:textId="25DD3B65" w:rsidR="00FC5673" w:rsidRPr="0053183F" w:rsidRDefault="00FC5673" w:rsidP="00FB2C29">
            <w:pPr>
              <w:spacing w:line="259" w:lineRule="auto"/>
              <w:ind w:left="0"/>
              <w:contextualSpacing/>
              <w:rPr>
                <w:b w:val="0"/>
                <w:bCs/>
                <w:lang w:val="pl-PL"/>
              </w:rPr>
            </w:pPr>
            <w:r w:rsidRPr="0053183F">
              <w:rPr>
                <w:b w:val="0"/>
                <w:bCs/>
                <w:lang w:eastAsia="pl-PL"/>
              </w:rPr>
              <w:t>Powiat nidzicki</w:t>
            </w:r>
          </w:p>
        </w:tc>
        <w:tc>
          <w:tcPr>
            <w:tcW w:w="1134" w:type="dxa"/>
          </w:tcPr>
          <w:p w14:paraId="5B773479" w14:textId="333C55E1"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24,85</w:t>
            </w:r>
          </w:p>
        </w:tc>
        <w:tc>
          <w:tcPr>
            <w:tcW w:w="1116" w:type="dxa"/>
          </w:tcPr>
          <w:p w14:paraId="0724F3CE" w14:textId="2CB75774"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21,28</w:t>
            </w:r>
          </w:p>
        </w:tc>
        <w:tc>
          <w:tcPr>
            <w:tcW w:w="1097" w:type="dxa"/>
          </w:tcPr>
          <w:p w14:paraId="2FA9E441" w14:textId="10A2D842"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18,79</w:t>
            </w:r>
          </w:p>
        </w:tc>
        <w:tc>
          <w:tcPr>
            <w:tcW w:w="1079" w:type="dxa"/>
          </w:tcPr>
          <w:p w14:paraId="23A650DB" w14:textId="524F0AA8"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17,73</w:t>
            </w:r>
          </w:p>
        </w:tc>
        <w:tc>
          <w:tcPr>
            <w:tcW w:w="992" w:type="dxa"/>
          </w:tcPr>
          <w:p w14:paraId="3E78A0B9" w14:textId="3D58AF17"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17,04</w:t>
            </w:r>
          </w:p>
        </w:tc>
        <w:tc>
          <w:tcPr>
            <w:tcW w:w="1295" w:type="dxa"/>
          </w:tcPr>
          <w:p w14:paraId="34BAB7C4" w14:textId="0E41D9F4"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19,94</w:t>
            </w:r>
          </w:p>
        </w:tc>
      </w:tr>
      <w:tr w:rsidR="00FC5673" w14:paraId="447E83B0" w14:textId="77777777" w:rsidTr="00FC5673">
        <w:tc>
          <w:tcPr>
            <w:cnfStyle w:val="001000000000" w:firstRow="0" w:lastRow="0" w:firstColumn="1" w:lastColumn="0" w:oddVBand="0" w:evenVBand="0" w:oddHBand="0" w:evenHBand="0" w:firstRowFirstColumn="0" w:firstRowLastColumn="0" w:lastRowFirstColumn="0" w:lastRowLastColumn="0"/>
            <w:tcW w:w="1980" w:type="dxa"/>
          </w:tcPr>
          <w:p w14:paraId="07E30C69" w14:textId="0F531BE4" w:rsidR="00FC5673" w:rsidRPr="0053183F" w:rsidRDefault="00FC5673" w:rsidP="00FB2C29">
            <w:pPr>
              <w:spacing w:line="259" w:lineRule="auto"/>
              <w:ind w:left="0"/>
              <w:contextualSpacing/>
              <w:rPr>
                <w:b w:val="0"/>
                <w:bCs/>
                <w:lang w:val="pl-PL"/>
              </w:rPr>
            </w:pPr>
            <w:r w:rsidRPr="0053183F">
              <w:rPr>
                <w:b w:val="0"/>
                <w:bCs/>
                <w:lang w:eastAsia="pl-PL"/>
              </w:rPr>
              <w:t>Średnia</w:t>
            </w:r>
          </w:p>
        </w:tc>
        <w:tc>
          <w:tcPr>
            <w:tcW w:w="1134" w:type="dxa"/>
          </w:tcPr>
          <w:p w14:paraId="2C5FD79C" w14:textId="0261C0CA"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ascii="Calibri" w:hAnsi="Calibri"/>
              </w:rPr>
              <w:t>23,82</w:t>
            </w:r>
          </w:p>
        </w:tc>
        <w:tc>
          <w:tcPr>
            <w:tcW w:w="1116" w:type="dxa"/>
          </w:tcPr>
          <w:p w14:paraId="73DF4FBD" w14:textId="7B2DB961"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ascii="Calibri" w:hAnsi="Calibri"/>
              </w:rPr>
              <w:t>18,11</w:t>
            </w:r>
          </w:p>
        </w:tc>
        <w:tc>
          <w:tcPr>
            <w:tcW w:w="1097" w:type="dxa"/>
          </w:tcPr>
          <w:p w14:paraId="5902FE38" w14:textId="242DC0B1"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ascii="Calibri" w:hAnsi="Calibri"/>
              </w:rPr>
              <w:t>17,53</w:t>
            </w:r>
          </w:p>
        </w:tc>
        <w:tc>
          <w:tcPr>
            <w:tcW w:w="1079" w:type="dxa"/>
          </w:tcPr>
          <w:p w14:paraId="62DF8E39" w14:textId="0A4619D9"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ascii="Calibri" w:hAnsi="Calibri"/>
              </w:rPr>
              <w:t>21,46</w:t>
            </w:r>
          </w:p>
        </w:tc>
        <w:tc>
          <w:tcPr>
            <w:tcW w:w="992" w:type="dxa"/>
          </w:tcPr>
          <w:p w14:paraId="355FFF6B" w14:textId="3E5A619D"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ascii="Calibri" w:hAnsi="Calibri"/>
              </w:rPr>
              <w:t>18,37</w:t>
            </w:r>
          </w:p>
        </w:tc>
        <w:tc>
          <w:tcPr>
            <w:tcW w:w="1295" w:type="dxa"/>
          </w:tcPr>
          <w:p w14:paraId="3ED67620" w14:textId="2C5F9E53" w:rsidR="00FC5673" w:rsidRDefault="00FC5673" w:rsidP="00FB2C29">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ascii="Calibri" w:hAnsi="Calibri"/>
              </w:rPr>
              <w:t>x</w:t>
            </w:r>
          </w:p>
        </w:tc>
      </w:tr>
    </w:tbl>
    <w:p w14:paraId="0F31F960" w14:textId="3B68F816" w:rsidR="003C7BFF" w:rsidRPr="001F2F4D" w:rsidRDefault="003C7BFF" w:rsidP="00CC55AA">
      <w:pPr>
        <w:ind w:left="0"/>
        <w:rPr>
          <w:rFonts w:asciiTheme="majorHAnsi" w:hAnsiTheme="majorHAnsi" w:cstheme="majorHAnsi"/>
          <w:color w:val="0563C1" w:themeColor="hyperlink"/>
          <w:szCs w:val="24"/>
          <w:u w:val="single"/>
          <w:lang w:val="pl-PL"/>
        </w:rPr>
      </w:pPr>
      <w:r w:rsidRPr="001F2F4D">
        <w:rPr>
          <w:rFonts w:asciiTheme="majorHAnsi" w:hAnsiTheme="majorHAnsi" w:cstheme="majorHAnsi"/>
          <w:color w:val="44546A" w:themeColor="text2"/>
          <w:szCs w:val="24"/>
          <w:lang w:val="pl-PL"/>
        </w:rPr>
        <w:t xml:space="preserve">Źródło: opracowanie ZMP na podstawie </w:t>
      </w:r>
      <w:hyperlink r:id="rId130" w:history="1">
        <w:r w:rsidRPr="001F2F4D">
          <w:rPr>
            <w:rStyle w:val="Hipercze"/>
            <w:rFonts w:asciiTheme="majorHAnsi" w:hAnsiTheme="majorHAnsi" w:cstheme="majorHAnsi"/>
            <w:szCs w:val="24"/>
            <w:lang w:val="pl-PL"/>
          </w:rPr>
          <w:t>https://analizy.monitorrozwoju.pl</w:t>
        </w:r>
      </w:hyperlink>
    </w:p>
    <w:p w14:paraId="0B3885BC" w14:textId="20299D3B" w:rsidR="003C7BFF" w:rsidRPr="00733091" w:rsidRDefault="00E50187" w:rsidP="002E24A9">
      <w:pPr>
        <w:pStyle w:val="Legenda"/>
        <w:rPr>
          <w:color w:val="44546A" w:themeColor="text2"/>
          <w:sz w:val="18"/>
          <w:lang w:val="pl-PL"/>
        </w:rPr>
      </w:pPr>
      <w:bookmarkStart w:id="128" w:name="_Toc69723205"/>
      <w:r w:rsidRPr="00733091">
        <w:rPr>
          <w:lang w:val="pl-PL"/>
        </w:rPr>
        <w:t xml:space="preserve">Wykres </w:t>
      </w:r>
      <w:r w:rsidR="00733091">
        <w:fldChar w:fldCharType="begin"/>
      </w:r>
      <w:r w:rsidR="00733091" w:rsidRPr="00733091">
        <w:rPr>
          <w:lang w:val="pl-PL"/>
        </w:rPr>
        <w:instrText xml:space="preserve"> SEQ Wykres \* ARABIC </w:instrText>
      </w:r>
      <w:r w:rsidR="00733091">
        <w:fldChar w:fldCharType="separate"/>
      </w:r>
      <w:r w:rsidR="00B14787">
        <w:rPr>
          <w:noProof/>
          <w:lang w:val="pl-PL"/>
        </w:rPr>
        <w:t>47</w:t>
      </w:r>
      <w:r w:rsidR="00733091">
        <w:rPr>
          <w:noProof/>
        </w:rPr>
        <w:fldChar w:fldCharType="end"/>
      </w:r>
      <w:r w:rsidRPr="00733091">
        <w:rPr>
          <w:lang w:val="pl-PL"/>
        </w:rPr>
        <w:t xml:space="preserve">: </w:t>
      </w:r>
      <w:r w:rsidR="003C7BFF" w:rsidRPr="00733091">
        <w:rPr>
          <w:lang w:val="pl-PL"/>
        </w:rPr>
        <w:t>Relacja kwoty zadłużenia do dochodów ogółem w latach 2015-2019 (w%)</w:t>
      </w:r>
      <w:bookmarkEnd w:id="128"/>
      <w:r w:rsidR="003C7BFF" w:rsidRPr="00733091">
        <w:rPr>
          <w:lang w:val="pl-PL"/>
        </w:rPr>
        <w:t xml:space="preserve"> </w:t>
      </w:r>
    </w:p>
    <w:p w14:paraId="1A4F910C" w14:textId="4044F90B" w:rsidR="007477A4" w:rsidRPr="001075E8" w:rsidRDefault="003C7BFF" w:rsidP="001075E8">
      <w:pPr>
        <w:pStyle w:val="podpiselementu"/>
        <w:spacing w:after="240"/>
        <w:rPr>
          <w:lang w:val="pl-PL"/>
        </w:rPr>
      </w:pPr>
      <w:r>
        <w:rPr>
          <w:noProof/>
        </w:rPr>
        <w:drawing>
          <wp:inline distT="0" distB="0" distL="0" distR="0" wp14:anchorId="4A98D654" wp14:editId="4460E74F">
            <wp:extent cx="5607050" cy="2933700"/>
            <wp:effectExtent l="0" t="0" r="12700" b="0"/>
            <wp:docPr id="138" name="Wykres 138" descr="wykres słupkowy obrazujący relację kwoty zadłużenia do dochodów ogółem w latach 2015-2019 (w%) poszczególnych jednostek samorządu terytorialnego wchodzących w skład Partnerstwa">
              <a:extLst xmlns:a="http://schemas.openxmlformats.org/drawingml/2006/main">
                <a:ext uri="{FF2B5EF4-FFF2-40B4-BE49-F238E27FC236}">
                  <a16:creationId xmlns:a16="http://schemas.microsoft.com/office/drawing/2014/main" id="{16279411-8B2F-4E5B-8A67-318017DD883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1"/>
              </a:graphicData>
            </a:graphic>
          </wp:inline>
        </w:drawing>
      </w:r>
      <w:r w:rsidRPr="00733091">
        <w:rPr>
          <w:lang w:val="pl-PL"/>
        </w:rPr>
        <w:t xml:space="preserve">Źródło: opracowanie ZMP na podstawie </w:t>
      </w:r>
      <w:hyperlink r:id="rId132" w:history="1">
        <w:r w:rsidRPr="00733091">
          <w:rPr>
            <w:rStyle w:val="Hipercze"/>
            <w:color w:val="auto"/>
            <w:u w:val="none"/>
            <w:lang w:val="pl-PL"/>
          </w:rPr>
          <w:t>https://analizy.monitorrozwoju.pl</w:t>
        </w:r>
      </w:hyperlink>
    </w:p>
    <w:p w14:paraId="66C00217" w14:textId="5496A08F" w:rsidR="001075E8" w:rsidRPr="003E51EB" w:rsidRDefault="003C7BFF" w:rsidP="003E51EB">
      <w:pPr>
        <w:rPr>
          <w:color w:val="1A1A1A"/>
          <w:shd w:val="clear" w:color="auto" w:fill="FFFFFF"/>
          <w:lang w:val="pl-PL"/>
        </w:rPr>
        <w:sectPr w:rsidR="001075E8" w:rsidRPr="003E51EB" w:rsidSect="00E736E3">
          <w:pgSz w:w="11906" w:h="16838"/>
          <w:pgMar w:top="1418" w:right="1418" w:bottom="1701" w:left="1418" w:header="709" w:footer="709" w:gutter="0"/>
          <w:cols w:space="708"/>
          <w:docGrid w:linePitch="360"/>
        </w:sectPr>
      </w:pPr>
      <w:r w:rsidRPr="00733091">
        <w:rPr>
          <w:b/>
          <w:bCs/>
          <w:lang w:val="pl-PL"/>
        </w:rPr>
        <w:t xml:space="preserve">O trudnej sytuacji finansowej Partnerstwa świadczy </w:t>
      </w:r>
      <w:r w:rsidRPr="00733091">
        <w:rPr>
          <w:lang w:val="pl-PL"/>
        </w:rPr>
        <w:t>również</w:t>
      </w:r>
      <w:r w:rsidRPr="00733091">
        <w:rPr>
          <w:b/>
          <w:bCs/>
          <w:lang w:val="pl-PL"/>
        </w:rPr>
        <w:t xml:space="preserve"> wynik operacyjny netto</w:t>
      </w:r>
      <w:r w:rsidRPr="00733091">
        <w:rPr>
          <w:lang w:val="pl-PL"/>
        </w:rPr>
        <w:t xml:space="preserve"> (dochody bieżące pomniejszone o wydatki bieżące i rozchody) </w:t>
      </w:r>
      <w:r w:rsidRPr="00733091">
        <w:rPr>
          <w:b/>
          <w:bCs/>
          <w:lang w:val="pl-PL"/>
        </w:rPr>
        <w:t>budżetów</w:t>
      </w:r>
      <w:r w:rsidRPr="00733091">
        <w:rPr>
          <w:lang w:val="pl-PL"/>
        </w:rPr>
        <w:t xml:space="preserve"> jednostek wchodzących w skład Partnerstwa. W 2019 r. trzy gminy charakteryzowały się ujemnym wynikiem budżetu netto. Oznacza to - dla nich - nie tylko brak możliwość finansowania rozwoju, ale również brak możliwości spłaty  </w:t>
      </w:r>
      <w:r w:rsidR="00027413">
        <w:rPr>
          <w:lang w:val="pl-PL"/>
        </w:rPr>
        <w:br/>
      </w:r>
      <w:r w:rsidRPr="00733091">
        <w:rPr>
          <w:lang w:val="pl-PL"/>
        </w:rPr>
        <w:t>(z własnych środków) istniejącego zadłużenia. W pięciu gminach obszaru</w:t>
      </w:r>
      <w:r w:rsidR="001075E8">
        <w:rPr>
          <w:lang w:val="pl-PL"/>
        </w:rPr>
        <w:t xml:space="preserve"> </w:t>
      </w:r>
      <w:r w:rsidRPr="00733091">
        <w:rPr>
          <w:lang w:val="pl-PL"/>
        </w:rPr>
        <w:t>Partnerstwa wynik budżetu netto kształtował się na bardzo niskim poziomie</w:t>
      </w:r>
      <w:r>
        <w:rPr>
          <w:rStyle w:val="Odwoanieprzypisudolnego"/>
        </w:rPr>
        <w:footnoteReference w:id="87"/>
      </w:r>
      <w:r w:rsidRPr="00733091">
        <w:rPr>
          <w:lang w:val="pl-PL"/>
        </w:rPr>
        <w:t>.</w:t>
      </w:r>
      <w:r w:rsidRPr="00733091">
        <w:rPr>
          <w:i/>
          <w:iCs/>
          <w:lang w:val="pl-PL"/>
        </w:rPr>
        <w:t xml:space="preserve">  </w:t>
      </w:r>
      <w:r w:rsidRPr="00733091">
        <w:rPr>
          <w:color w:val="1A1A1A"/>
          <w:shd w:val="clear" w:color="auto" w:fill="FFFFFF"/>
          <w:lang w:val="pl-PL"/>
        </w:rPr>
        <w:t>Wynik budżetu netto w latach 2015-2019 prezentuje tabela</w:t>
      </w:r>
      <w:r w:rsidR="00797E0C">
        <w:rPr>
          <w:color w:val="1A1A1A"/>
          <w:shd w:val="clear" w:color="auto" w:fill="FFFFFF"/>
          <w:lang w:val="pl-PL"/>
        </w:rPr>
        <w:t xml:space="preserve"> </w:t>
      </w:r>
      <w:r w:rsidR="001075E8">
        <w:rPr>
          <w:color w:val="1A1A1A"/>
          <w:shd w:val="clear" w:color="auto" w:fill="FFFFFF"/>
          <w:lang w:val="pl-PL"/>
        </w:rPr>
        <w:t xml:space="preserve"> 22</w:t>
      </w:r>
      <w:r w:rsidR="003E51EB">
        <w:rPr>
          <w:color w:val="1A1A1A"/>
          <w:shd w:val="clear" w:color="auto" w:fill="FFFFFF"/>
          <w:lang w:val="pl-PL"/>
        </w:rPr>
        <w:t>.</w:t>
      </w:r>
    </w:p>
    <w:p w14:paraId="4470E7F7" w14:textId="5DEC60F5" w:rsidR="003C7BFF" w:rsidRDefault="003C7BFF" w:rsidP="002E24A9">
      <w:pPr>
        <w:pStyle w:val="Legenda"/>
        <w:rPr>
          <w:lang w:val="pl-PL"/>
        </w:rPr>
      </w:pPr>
      <w:bookmarkStart w:id="129" w:name="_Toc69723271"/>
      <w:r w:rsidRPr="00733091">
        <w:rPr>
          <w:lang w:val="pl-PL"/>
        </w:rPr>
        <w:lastRenderedPageBreak/>
        <w:t xml:space="preserve">Tabela </w:t>
      </w:r>
      <w:r w:rsidR="00733091">
        <w:fldChar w:fldCharType="begin"/>
      </w:r>
      <w:r w:rsidR="00733091" w:rsidRPr="00733091">
        <w:rPr>
          <w:lang w:val="pl-PL"/>
        </w:rPr>
        <w:instrText xml:space="preserve"> SEQ Tabela \* ARABIC </w:instrText>
      </w:r>
      <w:r w:rsidR="00733091">
        <w:fldChar w:fldCharType="separate"/>
      </w:r>
      <w:r w:rsidR="00B14787">
        <w:rPr>
          <w:noProof/>
          <w:lang w:val="pl-PL"/>
        </w:rPr>
        <w:t>22</w:t>
      </w:r>
      <w:r w:rsidR="00733091">
        <w:rPr>
          <w:noProof/>
        </w:rPr>
        <w:fldChar w:fldCharType="end"/>
      </w:r>
      <w:r w:rsidRPr="00733091">
        <w:rPr>
          <w:lang w:val="pl-PL"/>
        </w:rPr>
        <w:t>: Wynik budżetu netto w latach 2015-20019</w:t>
      </w:r>
      <w:bookmarkEnd w:id="129"/>
    </w:p>
    <w:tbl>
      <w:tblPr>
        <w:tblStyle w:val="CWD"/>
        <w:tblW w:w="0" w:type="auto"/>
        <w:tblLook w:val="04A0" w:firstRow="1" w:lastRow="0" w:firstColumn="1" w:lastColumn="0" w:noHBand="0" w:noVBand="1"/>
      </w:tblPr>
      <w:tblGrid>
        <w:gridCol w:w="2284"/>
        <w:gridCol w:w="2285"/>
        <w:gridCol w:w="2285"/>
        <w:gridCol w:w="2285"/>
        <w:gridCol w:w="2285"/>
        <w:gridCol w:w="2285"/>
      </w:tblGrid>
      <w:tr w:rsidR="00142622" w14:paraId="01F3AA90" w14:textId="77777777" w:rsidTr="00142622">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284" w:type="dxa"/>
          </w:tcPr>
          <w:p w14:paraId="2C90A955" w14:textId="54B4328D" w:rsidR="00142622" w:rsidRDefault="00142622" w:rsidP="003E51EB">
            <w:pPr>
              <w:spacing w:line="259" w:lineRule="auto"/>
              <w:ind w:left="0"/>
              <w:contextualSpacing/>
              <w:rPr>
                <w:lang w:val="pl-PL"/>
              </w:rPr>
            </w:pPr>
            <w:r>
              <w:rPr>
                <w:lang w:eastAsia="pl-PL"/>
              </w:rPr>
              <w:t>Nazwa JST</w:t>
            </w:r>
          </w:p>
        </w:tc>
        <w:tc>
          <w:tcPr>
            <w:tcW w:w="2285" w:type="dxa"/>
          </w:tcPr>
          <w:p w14:paraId="44BCEB89" w14:textId="20043061" w:rsidR="00142622" w:rsidRDefault="00142622" w:rsidP="003E51EB">
            <w:pPr>
              <w:spacing w:line="259" w:lineRule="auto"/>
              <w:ind w:left="0"/>
              <w:contextualSpacing/>
              <w:jc w:val="right"/>
              <w:cnfStyle w:val="100000000000" w:firstRow="1" w:lastRow="0" w:firstColumn="0" w:lastColumn="0" w:oddVBand="0" w:evenVBand="0" w:oddHBand="0" w:evenHBand="0" w:firstRowFirstColumn="0" w:firstRowLastColumn="0" w:lastRowFirstColumn="0" w:lastRowLastColumn="0"/>
              <w:rPr>
                <w:lang w:val="pl-PL"/>
              </w:rPr>
            </w:pPr>
            <w:r>
              <w:rPr>
                <w:lang w:eastAsia="pl-PL"/>
              </w:rPr>
              <w:t>2015</w:t>
            </w:r>
          </w:p>
        </w:tc>
        <w:tc>
          <w:tcPr>
            <w:tcW w:w="2285" w:type="dxa"/>
          </w:tcPr>
          <w:p w14:paraId="1EA4AF74" w14:textId="5BC0B4F4" w:rsidR="00142622" w:rsidRDefault="00142622" w:rsidP="003E51EB">
            <w:pPr>
              <w:spacing w:line="259" w:lineRule="auto"/>
              <w:ind w:left="0"/>
              <w:contextualSpacing/>
              <w:jc w:val="right"/>
              <w:cnfStyle w:val="100000000000" w:firstRow="1" w:lastRow="0" w:firstColumn="0" w:lastColumn="0" w:oddVBand="0" w:evenVBand="0" w:oddHBand="0" w:evenHBand="0" w:firstRowFirstColumn="0" w:firstRowLastColumn="0" w:lastRowFirstColumn="0" w:lastRowLastColumn="0"/>
              <w:rPr>
                <w:lang w:val="pl-PL"/>
              </w:rPr>
            </w:pPr>
            <w:r>
              <w:rPr>
                <w:lang w:eastAsia="pl-PL"/>
              </w:rPr>
              <w:t>2016</w:t>
            </w:r>
          </w:p>
        </w:tc>
        <w:tc>
          <w:tcPr>
            <w:tcW w:w="2285" w:type="dxa"/>
          </w:tcPr>
          <w:p w14:paraId="2EEBAFF6" w14:textId="0AEAEBEE" w:rsidR="00142622" w:rsidRDefault="00142622" w:rsidP="003E51EB">
            <w:pPr>
              <w:spacing w:line="259" w:lineRule="auto"/>
              <w:ind w:left="0"/>
              <w:contextualSpacing/>
              <w:jc w:val="right"/>
              <w:cnfStyle w:val="100000000000" w:firstRow="1" w:lastRow="0" w:firstColumn="0" w:lastColumn="0" w:oddVBand="0" w:evenVBand="0" w:oddHBand="0" w:evenHBand="0" w:firstRowFirstColumn="0" w:firstRowLastColumn="0" w:lastRowFirstColumn="0" w:lastRowLastColumn="0"/>
              <w:rPr>
                <w:lang w:val="pl-PL"/>
              </w:rPr>
            </w:pPr>
            <w:r>
              <w:rPr>
                <w:lang w:eastAsia="pl-PL"/>
              </w:rPr>
              <w:t>2017</w:t>
            </w:r>
          </w:p>
        </w:tc>
        <w:tc>
          <w:tcPr>
            <w:tcW w:w="2285" w:type="dxa"/>
          </w:tcPr>
          <w:p w14:paraId="22CA3A66" w14:textId="7169C387" w:rsidR="00142622" w:rsidRDefault="00142622" w:rsidP="003E51EB">
            <w:pPr>
              <w:spacing w:line="259" w:lineRule="auto"/>
              <w:ind w:left="0"/>
              <w:contextualSpacing/>
              <w:jc w:val="right"/>
              <w:cnfStyle w:val="100000000000" w:firstRow="1" w:lastRow="0" w:firstColumn="0" w:lastColumn="0" w:oddVBand="0" w:evenVBand="0" w:oddHBand="0" w:evenHBand="0" w:firstRowFirstColumn="0" w:firstRowLastColumn="0" w:lastRowFirstColumn="0" w:lastRowLastColumn="0"/>
              <w:rPr>
                <w:lang w:val="pl-PL"/>
              </w:rPr>
            </w:pPr>
            <w:r>
              <w:rPr>
                <w:lang w:eastAsia="pl-PL"/>
              </w:rPr>
              <w:t>2018</w:t>
            </w:r>
          </w:p>
        </w:tc>
        <w:tc>
          <w:tcPr>
            <w:tcW w:w="2285" w:type="dxa"/>
          </w:tcPr>
          <w:p w14:paraId="432F2037" w14:textId="017F097C" w:rsidR="00142622" w:rsidRDefault="00142622" w:rsidP="003E51EB">
            <w:pPr>
              <w:spacing w:line="259" w:lineRule="auto"/>
              <w:ind w:left="0"/>
              <w:contextualSpacing/>
              <w:jc w:val="right"/>
              <w:cnfStyle w:val="100000000000" w:firstRow="1" w:lastRow="0" w:firstColumn="0" w:lastColumn="0" w:oddVBand="0" w:evenVBand="0" w:oddHBand="0" w:evenHBand="0" w:firstRowFirstColumn="0" w:firstRowLastColumn="0" w:lastRowFirstColumn="0" w:lastRowLastColumn="0"/>
              <w:rPr>
                <w:lang w:val="pl-PL"/>
              </w:rPr>
            </w:pPr>
            <w:r>
              <w:rPr>
                <w:lang w:eastAsia="pl-PL"/>
              </w:rPr>
              <w:t>2019</w:t>
            </w:r>
          </w:p>
        </w:tc>
      </w:tr>
      <w:tr w:rsidR="00142622" w14:paraId="57549DE5" w14:textId="77777777" w:rsidTr="00142622">
        <w:tc>
          <w:tcPr>
            <w:cnfStyle w:val="001000000000" w:firstRow="0" w:lastRow="0" w:firstColumn="1" w:lastColumn="0" w:oddVBand="0" w:evenVBand="0" w:oddHBand="0" w:evenHBand="0" w:firstRowFirstColumn="0" w:firstRowLastColumn="0" w:lastRowFirstColumn="0" w:lastRowLastColumn="0"/>
            <w:tcW w:w="2284" w:type="dxa"/>
          </w:tcPr>
          <w:p w14:paraId="7BE2FBD9" w14:textId="04FE5AB4" w:rsidR="00142622" w:rsidRPr="0053183F" w:rsidRDefault="00142622" w:rsidP="003E51EB">
            <w:pPr>
              <w:spacing w:line="259" w:lineRule="auto"/>
              <w:ind w:left="0"/>
              <w:contextualSpacing/>
              <w:rPr>
                <w:b w:val="0"/>
                <w:bCs/>
                <w:lang w:val="pl-PL"/>
              </w:rPr>
            </w:pPr>
            <w:r w:rsidRPr="0053183F">
              <w:rPr>
                <w:b w:val="0"/>
                <w:bCs/>
                <w:lang w:eastAsia="pl-PL"/>
              </w:rPr>
              <w:t xml:space="preserve"> Biała Piska </w:t>
            </w:r>
          </w:p>
        </w:tc>
        <w:tc>
          <w:tcPr>
            <w:tcW w:w="2285" w:type="dxa"/>
          </w:tcPr>
          <w:p w14:paraId="4DE4B41C" w14:textId="2CEA4EFC"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        99 630,26</w:t>
            </w:r>
          </w:p>
        </w:tc>
        <w:tc>
          <w:tcPr>
            <w:tcW w:w="2285" w:type="dxa"/>
          </w:tcPr>
          <w:p w14:paraId="59DE85E4" w14:textId="33E4D7BD"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471 995,94</w:t>
            </w:r>
          </w:p>
        </w:tc>
        <w:tc>
          <w:tcPr>
            <w:tcW w:w="2285" w:type="dxa"/>
          </w:tcPr>
          <w:p w14:paraId="48C34F00" w14:textId="6D353E5B"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1 197 127,00</w:t>
            </w:r>
          </w:p>
        </w:tc>
        <w:tc>
          <w:tcPr>
            <w:tcW w:w="2285" w:type="dxa"/>
          </w:tcPr>
          <w:p w14:paraId="07BA7E4F" w14:textId="2EA61AF3"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   1 230 578,18</w:t>
            </w:r>
          </w:p>
        </w:tc>
        <w:tc>
          <w:tcPr>
            <w:tcW w:w="2285" w:type="dxa"/>
          </w:tcPr>
          <w:p w14:paraId="188C3EDF" w14:textId="3564B9B7"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1 020,19</w:t>
            </w:r>
          </w:p>
        </w:tc>
      </w:tr>
      <w:tr w:rsidR="00142622" w14:paraId="07073752" w14:textId="77777777" w:rsidTr="00142622">
        <w:tc>
          <w:tcPr>
            <w:cnfStyle w:val="001000000000" w:firstRow="0" w:lastRow="0" w:firstColumn="1" w:lastColumn="0" w:oddVBand="0" w:evenVBand="0" w:oddHBand="0" w:evenHBand="0" w:firstRowFirstColumn="0" w:firstRowLastColumn="0" w:lastRowFirstColumn="0" w:lastRowLastColumn="0"/>
            <w:tcW w:w="2284" w:type="dxa"/>
          </w:tcPr>
          <w:p w14:paraId="643A2C76" w14:textId="7435685C" w:rsidR="00142622" w:rsidRPr="0053183F" w:rsidRDefault="00142622" w:rsidP="003E51EB">
            <w:pPr>
              <w:spacing w:line="259" w:lineRule="auto"/>
              <w:ind w:left="0"/>
              <w:contextualSpacing/>
              <w:rPr>
                <w:b w:val="0"/>
                <w:bCs/>
                <w:lang w:val="pl-PL"/>
              </w:rPr>
            </w:pPr>
            <w:r w:rsidRPr="0053183F">
              <w:rPr>
                <w:b w:val="0"/>
                <w:bCs/>
                <w:lang w:eastAsia="pl-PL"/>
              </w:rPr>
              <w:t xml:space="preserve"> Działdowo – gmina miejska </w:t>
            </w:r>
          </w:p>
        </w:tc>
        <w:tc>
          <w:tcPr>
            <w:tcW w:w="2285" w:type="dxa"/>
          </w:tcPr>
          <w:p w14:paraId="26C895A4" w14:textId="3FF18B2E"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5 736 707,22</w:t>
            </w:r>
          </w:p>
        </w:tc>
        <w:tc>
          <w:tcPr>
            <w:tcW w:w="2285" w:type="dxa"/>
          </w:tcPr>
          <w:p w14:paraId="78218832" w14:textId="307543FF"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8 806 022,21</w:t>
            </w:r>
          </w:p>
        </w:tc>
        <w:tc>
          <w:tcPr>
            <w:tcW w:w="2285" w:type="dxa"/>
          </w:tcPr>
          <w:p w14:paraId="3972DB47" w14:textId="1DBE50C6"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9 160 606,61</w:t>
            </w:r>
          </w:p>
        </w:tc>
        <w:tc>
          <w:tcPr>
            <w:tcW w:w="2285" w:type="dxa"/>
          </w:tcPr>
          <w:p w14:paraId="0653090A" w14:textId="292D8C2E"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5 712 605,05</w:t>
            </w:r>
          </w:p>
        </w:tc>
        <w:tc>
          <w:tcPr>
            <w:tcW w:w="2285" w:type="dxa"/>
          </w:tcPr>
          <w:p w14:paraId="3A8E7ABB" w14:textId="536788CB"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6 494 017,90</w:t>
            </w:r>
          </w:p>
        </w:tc>
      </w:tr>
      <w:tr w:rsidR="00142622" w14:paraId="716B58F4" w14:textId="77777777" w:rsidTr="00142622">
        <w:tc>
          <w:tcPr>
            <w:cnfStyle w:val="001000000000" w:firstRow="0" w:lastRow="0" w:firstColumn="1" w:lastColumn="0" w:oddVBand="0" w:evenVBand="0" w:oddHBand="0" w:evenHBand="0" w:firstRowFirstColumn="0" w:firstRowLastColumn="0" w:lastRowFirstColumn="0" w:lastRowLastColumn="0"/>
            <w:tcW w:w="2284" w:type="dxa"/>
          </w:tcPr>
          <w:p w14:paraId="3AE20108" w14:textId="45F7A38B" w:rsidR="00142622" w:rsidRPr="0053183F" w:rsidRDefault="00142622" w:rsidP="003E51EB">
            <w:pPr>
              <w:spacing w:line="259" w:lineRule="auto"/>
              <w:ind w:left="0"/>
              <w:contextualSpacing/>
              <w:rPr>
                <w:b w:val="0"/>
                <w:bCs/>
                <w:lang w:val="pl-PL"/>
              </w:rPr>
            </w:pPr>
            <w:r w:rsidRPr="0053183F">
              <w:rPr>
                <w:b w:val="0"/>
                <w:bCs/>
                <w:lang w:eastAsia="pl-PL"/>
              </w:rPr>
              <w:t xml:space="preserve"> Działdowo – gmina wiejska </w:t>
            </w:r>
          </w:p>
        </w:tc>
        <w:tc>
          <w:tcPr>
            <w:tcW w:w="2285" w:type="dxa"/>
          </w:tcPr>
          <w:p w14:paraId="0B4E6B3F" w14:textId="4849F67E"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1 462 348,50</w:t>
            </w:r>
          </w:p>
        </w:tc>
        <w:tc>
          <w:tcPr>
            <w:tcW w:w="2285" w:type="dxa"/>
          </w:tcPr>
          <w:p w14:paraId="5A751379" w14:textId="5882284C"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2 839 921,77</w:t>
            </w:r>
          </w:p>
        </w:tc>
        <w:tc>
          <w:tcPr>
            <w:tcW w:w="2285" w:type="dxa"/>
          </w:tcPr>
          <w:p w14:paraId="5878DCA7" w14:textId="1450D45D"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573 649,76</w:t>
            </w:r>
          </w:p>
        </w:tc>
        <w:tc>
          <w:tcPr>
            <w:tcW w:w="2285" w:type="dxa"/>
          </w:tcPr>
          <w:p w14:paraId="2FB5C863" w14:textId="7BEFA4B6"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2 527 195,56</w:t>
            </w:r>
          </w:p>
        </w:tc>
        <w:tc>
          <w:tcPr>
            <w:tcW w:w="2285" w:type="dxa"/>
          </w:tcPr>
          <w:p w14:paraId="6BD55002" w14:textId="338ECB69"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3 489 443,07</w:t>
            </w:r>
          </w:p>
        </w:tc>
      </w:tr>
      <w:tr w:rsidR="00142622" w14:paraId="12BD3539" w14:textId="77777777" w:rsidTr="00142622">
        <w:tc>
          <w:tcPr>
            <w:cnfStyle w:val="001000000000" w:firstRow="0" w:lastRow="0" w:firstColumn="1" w:lastColumn="0" w:oddVBand="0" w:evenVBand="0" w:oddHBand="0" w:evenHBand="0" w:firstRowFirstColumn="0" w:firstRowLastColumn="0" w:lastRowFirstColumn="0" w:lastRowLastColumn="0"/>
            <w:tcW w:w="2284" w:type="dxa"/>
          </w:tcPr>
          <w:p w14:paraId="3E408F23" w14:textId="081E4733" w:rsidR="00142622" w:rsidRPr="0053183F" w:rsidRDefault="00142622" w:rsidP="003E51EB">
            <w:pPr>
              <w:spacing w:line="259" w:lineRule="auto"/>
              <w:ind w:left="0"/>
              <w:contextualSpacing/>
              <w:rPr>
                <w:b w:val="0"/>
                <w:bCs/>
                <w:lang w:val="pl-PL"/>
              </w:rPr>
            </w:pPr>
            <w:r w:rsidRPr="0053183F">
              <w:rPr>
                <w:b w:val="0"/>
                <w:bCs/>
                <w:lang w:eastAsia="pl-PL"/>
              </w:rPr>
              <w:t xml:space="preserve"> Dźwierzuty </w:t>
            </w:r>
          </w:p>
        </w:tc>
        <w:tc>
          <w:tcPr>
            <w:tcW w:w="2285" w:type="dxa"/>
          </w:tcPr>
          <w:p w14:paraId="4DC00D5A" w14:textId="0C9E3105"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592 188,03</w:t>
            </w:r>
          </w:p>
        </w:tc>
        <w:tc>
          <w:tcPr>
            <w:tcW w:w="2285" w:type="dxa"/>
          </w:tcPr>
          <w:p w14:paraId="5BCD1527" w14:textId="2BCB36DA"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1 070 890,35</w:t>
            </w:r>
          </w:p>
        </w:tc>
        <w:tc>
          <w:tcPr>
            <w:tcW w:w="2285" w:type="dxa"/>
          </w:tcPr>
          <w:p w14:paraId="65B162BD" w14:textId="2E041F37"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1 356 443,82</w:t>
            </w:r>
          </w:p>
        </w:tc>
        <w:tc>
          <w:tcPr>
            <w:tcW w:w="2285" w:type="dxa"/>
          </w:tcPr>
          <w:p w14:paraId="6125EA3D" w14:textId="6F2E4889"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1 011 635,75</w:t>
            </w:r>
          </w:p>
        </w:tc>
        <w:tc>
          <w:tcPr>
            <w:tcW w:w="2285" w:type="dxa"/>
          </w:tcPr>
          <w:p w14:paraId="0698107D" w14:textId="5DA19B84"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1 824 628,23</w:t>
            </w:r>
          </w:p>
        </w:tc>
      </w:tr>
      <w:tr w:rsidR="00142622" w14:paraId="43783FF2" w14:textId="77777777" w:rsidTr="00142622">
        <w:tc>
          <w:tcPr>
            <w:cnfStyle w:val="001000000000" w:firstRow="0" w:lastRow="0" w:firstColumn="1" w:lastColumn="0" w:oddVBand="0" w:evenVBand="0" w:oddHBand="0" w:evenHBand="0" w:firstRowFirstColumn="0" w:firstRowLastColumn="0" w:lastRowFirstColumn="0" w:lastRowLastColumn="0"/>
            <w:tcW w:w="2284" w:type="dxa"/>
          </w:tcPr>
          <w:p w14:paraId="7FAF8CD1" w14:textId="1BD7F896" w:rsidR="00142622" w:rsidRPr="0053183F" w:rsidRDefault="00142622" w:rsidP="003E51EB">
            <w:pPr>
              <w:spacing w:line="259" w:lineRule="auto"/>
              <w:ind w:left="0"/>
              <w:contextualSpacing/>
              <w:rPr>
                <w:b w:val="0"/>
                <w:bCs/>
                <w:lang w:val="pl-PL"/>
              </w:rPr>
            </w:pPr>
            <w:r w:rsidRPr="0053183F">
              <w:rPr>
                <w:b w:val="0"/>
                <w:bCs/>
                <w:lang w:eastAsia="pl-PL"/>
              </w:rPr>
              <w:t xml:space="preserve"> Iłowo-Osada </w:t>
            </w:r>
          </w:p>
        </w:tc>
        <w:tc>
          <w:tcPr>
            <w:tcW w:w="2285" w:type="dxa"/>
          </w:tcPr>
          <w:p w14:paraId="0CBA2836" w14:textId="47685FF8"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667 283,43</w:t>
            </w:r>
          </w:p>
        </w:tc>
        <w:tc>
          <w:tcPr>
            <w:tcW w:w="2285" w:type="dxa"/>
          </w:tcPr>
          <w:p w14:paraId="5CA563E0" w14:textId="0A367FE5"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2 666 622,87</w:t>
            </w:r>
          </w:p>
        </w:tc>
        <w:tc>
          <w:tcPr>
            <w:tcW w:w="2285" w:type="dxa"/>
          </w:tcPr>
          <w:p w14:paraId="4FF5746C" w14:textId="67D51CA7"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1 316 599,90</w:t>
            </w:r>
          </w:p>
        </w:tc>
        <w:tc>
          <w:tcPr>
            <w:tcW w:w="2285" w:type="dxa"/>
          </w:tcPr>
          <w:p w14:paraId="16802A3B" w14:textId="75B90FCD"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1 036 274,48</w:t>
            </w:r>
          </w:p>
        </w:tc>
        <w:tc>
          <w:tcPr>
            <w:tcW w:w="2285" w:type="dxa"/>
          </w:tcPr>
          <w:p w14:paraId="4DE0C87D" w14:textId="57A02335"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2 630 064,67</w:t>
            </w:r>
          </w:p>
        </w:tc>
      </w:tr>
      <w:tr w:rsidR="00142622" w14:paraId="72891C41" w14:textId="77777777" w:rsidTr="00142622">
        <w:tc>
          <w:tcPr>
            <w:cnfStyle w:val="001000000000" w:firstRow="0" w:lastRow="0" w:firstColumn="1" w:lastColumn="0" w:oddVBand="0" w:evenVBand="0" w:oddHBand="0" w:evenHBand="0" w:firstRowFirstColumn="0" w:firstRowLastColumn="0" w:lastRowFirstColumn="0" w:lastRowLastColumn="0"/>
            <w:tcW w:w="2284" w:type="dxa"/>
          </w:tcPr>
          <w:p w14:paraId="773A0D43" w14:textId="35738C49" w:rsidR="00142622" w:rsidRPr="0053183F" w:rsidRDefault="00142622" w:rsidP="003E51EB">
            <w:pPr>
              <w:spacing w:line="259" w:lineRule="auto"/>
              <w:ind w:left="0"/>
              <w:contextualSpacing/>
              <w:rPr>
                <w:b w:val="0"/>
                <w:bCs/>
                <w:lang w:val="pl-PL"/>
              </w:rPr>
            </w:pPr>
            <w:r w:rsidRPr="0053183F">
              <w:rPr>
                <w:b w:val="0"/>
                <w:bCs/>
                <w:lang w:eastAsia="pl-PL"/>
              </w:rPr>
              <w:t xml:space="preserve"> Janowiec Kościelny </w:t>
            </w:r>
          </w:p>
        </w:tc>
        <w:tc>
          <w:tcPr>
            <w:tcW w:w="2285" w:type="dxa"/>
          </w:tcPr>
          <w:p w14:paraId="091BC831" w14:textId="2CD992CE"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244 565,36</w:t>
            </w:r>
          </w:p>
        </w:tc>
        <w:tc>
          <w:tcPr>
            <w:tcW w:w="2285" w:type="dxa"/>
          </w:tcPr>
          <w:p w14:paraId="09DBB53A" w14:textId="31E1AAD9"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646 567,63</w:t>
            </w:r>
          </w:p>
        </w:tc>
        <w:tc>
          <w:tcPr>
            <w:tcW w:w="2285" w:type="dxa"/>
          </w:tcPr>
          <w:p w14:paraId="4CC4391A" w14:textId="396421A5"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1 139 920,20</w:t>
            </w:r>
          </w:p>
        </w:tc>
        <w:tc>
          <w:tcPr>
            <w:tcW w:w="2285" w:type="dxa"/>
          </w:tcPr>
          <w:p w14:paraId="1ECF7BC8" w14:textId="516B9679"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479 050,48</w:t>
            </w:r>
          </w:p>
        </w:tc>
        <w:tc>
          <w:tcPr>
            <w:tcW w:w="2285" w:type="dxa"/>
          </w:tcPr>
          <w:p w14:paraId="18CC5943" w14:textId="27789080"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563 957,06</w:t>
            </w:r>
          </w:p>
        </w:tc>
      </w:tr>
      <w:tr w:rsidR="00142622" w14:paraId="5F3453DC" w14:textId="77777777" w:rsidTr="00142622">
        <w:tc>
          <w:tcPr>
            <w:cnfStyle w:val="001000000000" w:firstRow="0" w:lastRow="0" w:firstColumn="1" w:lastColumn="0" w:oddVBand="0" w:evenVBand="0" w:oddHBand="0" w:evenHBand="0" w:firstRowFirstColumn="0" w:firstRowLastColumn="0" w:lastRowFirstColumn="0" w:lastRowLastColumn="0"/>
            <w:tcW w:w="2284" w:type="dxa"/>
          </w:tcPr>
          <w:p w14:paraId="110DDD4E" w14:textId="574C5198" w:rsidR="00142622" w:rsidRPr="0053183F" w:rsidRDefault="00142622" w:rsidP="003E51EB">
            <w:pPr>
              <w:spacing w:line="259" w:lineRule="auto"/>
              <w:ind w:left="0"/>
              <w:contextualSpacing/>
              <w:rPr>
                <w:b w:val="0"/>
                <w:bCs/>
                <w:lang w:val="pl-PL"/>
              </w:rPr>
            </w:pPr>
            <w:r w:rsidRPr="0053183F">
              <w:rPr>
                <w:b w:val="0"/>
                <w:bCs/>
                <w:lang w:eastAsia="pl-PL"/>
              </w:rPr>
              <w:t xml:space="preserve"> Janowo </w:t>
            </w:r>
          </w:p>
        </w:tc>
        <w:tc>
          <w:tcPr>
            <w:tcW w:w="2285" w:type="dxa"/>
          </w:tcPr>
          <w:p w14:paraId="5BEFBE32" w14:textId="25E31EEB"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608 162,27</w:t>
            </w:r>
          </w:p>
        </w:tc>
        <w:tc>
          <w:tcPr>
            <w:tcW w:w="2285" w:type="dxa"/>
          </w:tcPr>
          <w:p w14:paraId="17605B3C" w14:textId="1525EA07"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78 893,29</w:t>
            </w:r>
          </w:p>
        </w:tc>
        <w:tc>
          <w:tcPr>
            <w:tcW w:w="2285" w:type="dxa"/>
          </w:tcPr>
          <w:p w14:paraId="6698C2D1" w14:textId="6A8FBB0C"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      437 914,44</w:t>
            </w:r>
          </w:p>
        </w:tc>
        <w:tc>
          <w:tcPr>
            <w:tcW w:w="2285" w:type="dxa"/>
          </w:tcPr>
          <w:p w14:paraId="0D76CAB5" w14:textId="2707B784"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      235 995,78</w:t>
            </w:r>
          </w:p>
        </w:tc>
        <w:tc>
          <w:tcPr>
            <w:tcW w:w="2285" w:type="dxa"/>
          </w:tcPr>
          <w:p w14:paraId="214B421F" w14:textId="6E181BF7"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55 587,26</w:t>
            </w:r>
          </w:p>
        </w:tc>
      </w:tr>
      <w:tr w:rsidR="00142622" w14:paraId="582E6BC1" w14:textId="77777777" w:rsidTr="00142622">
        <w:tc>
          <w:tcPr>
            <w:cnfStyle w:val="001000000000" w:firstRow="0" w:lastRow="0" w:firstColumn="1" w:lastColumn="0" w:oddVBand="0" w:evenVBand="0" w:oddHBand="0" w:evenHBand="0" w:firstRowFirstColumn="0" w:firstRowLastColumn="0" w:lastRowFirstColumn="0" w:lastRowLastColumn="0"/>
            <w:tcW w:w="2284" w:type="dxa"/>
          </w:tcPr>
          <w:p w14:paraId="75820C64" w14:textId="2DF5CAD8" w:rsidR="00142622" w:rsidRPr="0053183F" w:rsidRDefault="00142622" w:rsidP="003E51EB">
            <w:pPr>
              <w:spacing w:line="259" w:lineRule="auto"/>
              <w:ind w:left="0"/>
              <w:contextualSpacing/>
              <w:rPr>
                <w:b w:val="0"/>
                <w:bCs/>
                <w:lang w:val="pl-PL"/>
              </w:rPr>
            </w:pPr>
            <w:r w:rsidRPr="0053183F">
              <w:rPr>
                <w:b w:val="0"/>
                <w:bCs/>
                <w:lang w:eastAsia="pl-PL"/>
              </w:rPr>
              <w:t xml:space="preserve"> Jedwabno </w:t>
            </w:r>
          </w:p>
        </w:tc>
        <w:tc>
          <w:tcPr>
            <w:tcW w:w="2285" w:type="dxa"/>
          </w:tcPr>
          <w:p w14:paraId="192240A2" w14:textId="49737A8A"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      275 700,56</w:t>
            </w:r>
          </w:p>
        </w:tc>
        <w:tc>
          <w:tcPr>
            <w:tcW w:w="2285" w:type="dxa"/>
          </w:tcPr>
          <w:p w14:paraId="52163455" w14:textId="6E30D134"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795 096,11</w:t>
            </w:r>
          </w:p>
        </w:tc>
        <w:tc>
          <w:tcPr>
            <w:tcW w:w="2285" w:type="dxa"/>
          </w:tcPr>
          <w:p w14:paraId="38E28489" w14:textId="61D6A642"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672 135,58</w:t>
            </w:r>
          </w:p>
        </w:tc>
        <w:tc>
          <w:tcPr>
            <w:tcW w:w="2285" w:type="dxa"/>
          </w:tcPr>
          <w:p w14:paraId="65034592" w14:textId="02B52140"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598 097,47</w:t>
            </w:r>
          </w:p>
        </w:tc>
        <w:tc>
          <w:tcPr>
            <w:tcW w:w="2285" w:type="dxa"/>
          </w:tcPr>
          <w:p w14:paraId="4990EF05" w14:textId="79C93D9B"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745 695,67</w:t>
            </w:r>
          </w:p>
        </w:tc>
      </w:tr>
      <w:tr w:rsidR="00142622" w14:paraId="208AD41D" w14:textId="77777777" w:rsidTr="00142622">
        <w:tc>
          <w:tcPr>
            <w:cnfStyle w:val="001000000000" w:firstRow="0" w:lastRow="0" w:firstColumn="1" w:lastColumn="0" w:oddVBand="0" w:evenVBand="0" w:oddHBand="0" w:evenHBand="0" w:firstRowFirstColumn="0" w:firstRowLastColumn="0" w:lastRowFirstColumn="0" w:lastRowLastColumn="0"/>
            <w:tcW w:w="2284" w:type="dxa"/>
          </w:tcPr>
          <w:p w14:paraId="07E8BC42" w14:textId="384D6DB4" w:rsidR="00142622" w:rsidRPr="0053183F" w:rsidRDefault="00142622" w:rsidP="003E51EB">
            <w:pPr>
              <w:spacing w:line="259" w:lineRule="auto"/>
              <w:ind w:left="0"/>
              <w:contextualSpacing/>
              <w:rPr>
                <w:b w:val="0"/>
                <w:bCs/>
                <w:lang w:val="pl-PL"/>
              </w:rPr>
            </w:pPr>
            <w:r w:rsidRPr="0053183F">
              <w:rPr>
                <w:b w:val="0"/>
                <w:bCs/>
                <w:lang w:eastAsia="pl-PL"/>
              </w:rPr>
              <w:t xml:space="preserve"> Kozłowo </w:t>
            </w:r>
          </w:p>
        </w:tc>
        <w:tc>
          <w:tcPr>
            <w:tcW w:w="2285" w:type="dxa"/>
          </w:tcPr>
          <w:p w14:paraId="068AEE19" w14:textId="0D766FAE"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   1 100 684,23</w:t>
            </w:r>
          </w:p>
        </w:tc>
        <w:tc>
          <w:tcPr>
            <w:tcW w:w="2285" w:type="dxa"/>
          </w:tcPr>
          <w:p w14:paraId="1ADCD873" w14:textId="13A71F29"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662 843,09</w:t>
            </w:r>
          </w:p>
        </w:tc>
        <w:tc>
          <w:tcPr>
            <w:tcW w:w="2285" w:type="dxa"/>
          </w:tcPr>
          <w:p w14:paraId="2568836E" w14:textId="0D631D2C"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1 892 641,33</w:t>
            </w:r>
          </w:p>
        </w:tc>
        <w:tc>
          <w:tcPr>
            <w:tcW w:w="2285" w:type="dxa"/>
          </w:tcPr>
          <w:p w14:paraId="3586C9A9" w14:textId="2E62DA15"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721 836,79</w:t>
            </w:r>
          </w:p>
        </w:tc>
        <w:tc>
          <w:tcPr>
            <w:tcW w:w="2285" w:type="dxa"/>
          </w:tcPr>
          <w:p w14:paraId="0EF322CD" w14:textId="21551AD7"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797 606,74</w:t>
            </w:r>
          </w:p>
        </w:tc>
      </w:tr>
      <w:tr w:rsidR="00142622" w14:paraId="277DF1AE" w14:textId="77777777" w:rsidTr="00142622">
        <w:tc>
          <w:tcPr>
            <w:cnfStyle w:val="001000000000" w:firstRow="0" w:lastRow="0" w:firstColumn="1" w:lastColumn="0" w:oddVBand="0" w:evenVBand="0" w:oddHBand="0" w:evenHBand="0" w:firstRowFirstColumn="0" w:firstRowLastColumn="0" w:lastRowFirstColumn="0" w:lastRowLastColumn="0"/>
            <w:tcW w:w="2284" w:type="dxa"/>
          </w:tcPr>
          <w:p w14:paraId="08F81483" w14:textId="58F38152" w:rsidR="00142622" w:rsidRPr="0053183F" w:rsidRDefault="00142622" w:rsidP="003E51EB">
            <w:pPr>
              <w:spacing w:line="259" w:lineRule="auto"/>
              <w:ind w:left="0"/>
              <w:contextualSpacing/>
              <w:rPr>
                <w:b w:val="0"/>
                <w:bCs/>
                <w:lang w:val="pl-PL"/>
              </w:rPr>
            </w:pPr>
            <w:r w:rsidRPr="0053183F">
              <w:rPr>
                <w:b w:val="0"/>
                <w:bCs/>
                <w:lang w:eastAsia="pl-PL"/>
              </w:rPr>
              <w:t xml:space="preserve"> Lidzbark </w:t>
            </w:r>
          </w:p>
        </w:tc>
        <w:tc>
          <w:tcPr>
            <w:tcW w:w="2285" w:type="dxa"/>
          </w:tcPr>
          <w:p w14:paraId="30378D01" w14:textId="10B5111E"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4 551 577,48</w:t>
            </w:r>
          </w:p>
        </w:tc>
        <w:tc>
          <w:tcPr>
            <w:tcW w:w="2285" w:type="dxa"/>
          </w:tcPr>
          <w:p w14:paraId="5E2927AB" w14:textId="0D5E55B6"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3 953 852,82</w:t>
            </w:r>
          </w:p>
        </w:tc>
        <w:tc>
          <w:tcPr>
            <w:tcW w:w="2285" w:type="dxa"/>
          </w:tcPr>
          <w:p w14:paraId="6BE3AFD3" w14:textId="770AE83A"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3 809 238,31</w:t>
            </w:r>
          </w:p>
        </w:tc>
        <w:tc>
          <w:tcPr>
            <w:tcW w:w="2285" w:type="dxa"/>
          </w:tcPr>
          <w:p w14:paraId="18DD104A" w14:textId="787BF35A"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4 241 875,23</w:t>
            </w:r>
          </w:p>
        </w:tc>
        <w:tc>
          <w:tcPr>
            <w:tcW w:w="2285" w:type="dxa"/>
          </w:tcPr>
          <w:p w14:paraId="73C6AA3E" w14:textId="4633AE51"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2 965 177,36</w:t>
            </w:r>
          </w:p>
        </w:tc>
      </w:tr>
      <w:tr w:rsidR="00142622" w14:paraId="42FC81D8" w14:textId="77777777" w:rsidTr="00142622">
        <w:tc>
          <w:tcPr>
            <w:cnfStyle w:val="001000000000" w:firstRow="0" w:lastRow="0" w:firstColumn="1" w:lastColumn="0" w:oddVBand="0" w:evenVBand="0" w:oddHBand="0" w:evenHBand="0" w:firstRowFirstColumn="0" w:firstRowLastColumn="0" w:lastRowFirstColumn="0" w:lastRowLastColumn="0"/>
            <w:tcW w:w="2284" w:type="dxa"/>
          </w:tcPr>
          <w:p w14:paraId="25AD5C15" w14:textId="47B3458C" w:rsidR="00142622" w:rsidRPr="0053183F" w:rsidRDefault="00142622" w:rsidP="003E51EB">
            <w:pPr>
              <w:spacing w:line="259" w:lineRule="auto"/>
              <w:ind w:left="0"/>
              <w:contextualSpacing/>
              <w:rPr>
                <w:b w:val="0"/>
                <w:bCs/>
                <w:lang w:val="pl-PL"/>
              </w:rPr>
            </w:pPr>
            <w:r w:rsidRPr="0053183F">
              <w:rPr>
                <w:b w:val="0"/>
                <w:bCs/>
                <w:lang w:eastAsia="pl-PL"/>
              </w:rPr>
              <w:t xml:space="preserve"> Nidzica </w:t>
            </w:r>
          </w:p>
        </w:tc>
        <w:tc>
          <w:tcPr>
            <w:tcW w:w="2285" w:type="dxa"/>
          </w:tcPr>
          <w:p w14:paraId="06B24A21" w14:textId="437FE9D2"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4 764 315,37</w:t>
            </w:r>
          </w:p>
        </w:tc>
        <w:tc>
          <w:tcPr>
            <w:tcW w:w="2285" w:type="dxa"/>
          </w:tcPr>
          <w:p w14:paraId="00D285D2" w14:textId="1D39EE97"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5 760 971,54</w:t>
            </w:r>
          </w:p>
        </w:tc>
        <w:tc>
          <w:tcPr>
            <w:tcW w:w="2285" w:type="dxa"/>
          </w:tcPr>
          <w:p w14:paraId="276474C0" w14:textId="5282CD67"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1 980 537,06</w:t>
            </w:r>
          </w:p>
        </w:tc>
        <w:tc>
          <w:tcPr>
            <w:tcW w:w="2285" w:type="dxa"/>
          </w:tcPr>
          <w:p w14:paraId="53DFAAB7" w14:textId="7F0ECB3F"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1 187 384,71</w:t>
            </w:r>
          </w:p>
        </w:tc>
        <w:tc>
          <w:tcPr>
            <w:tcW w:w="2285" w:type="dxa"/>
          </w:tcPr>
          <w:p w14:paraId="46A4FFF7" w14:textId="75982020"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2 904 006,34</w:t>
            </w:r>
          </w:p>
        </w:tc>
      </w:tr>
      <w:tr w:rsidR="00142622" w14:paraId="6A32AC0E" w14:textId="77777777" w:rsidTr="00142622">
        <w:tc>
          <w:tcPr>
            <w:cnfStyle w:val="001000000000" w:firstRow="0" w:lastRow="0" w:firstColumn="1" w:lastColumn="0" w:oddVBand="0" w:evenVBand="0" w:oddHBand="0" w:evenHBand="0" w:firstRowFirstColumn="0" w:firstRowLastColumn="0" w:lastRowFirstColumn="0" w:lastRowLastColumn="0"/>
            <w:tcW w:w="2284" w:type="dxa"/>
          </w:tcPr>
          <w:p w14:paraId="6C0E1083" w14:textId="68156FB9" w:rsidR="00142622" w:rsidRPr="0053183F" w:rsidRDefault="00142622" w:rsidP="003E51EB">
            <w:pPr>
              <w:spacing w:line="259" w:lineRule="auto"/>
              <w:ind w:left="0"/>
              <w:contextualSpacing/>
              <w:rPr>
                <w:b w:val="0"/>
                <w:bCs/>
                <w:lang w:val="pl-PL"/>
              </w:rPr>
            </w:pPr>
            <w:r w:rsidRPr="0053183F">
              <w:rPr>
                <w:b w:val="0"/>
                <w:bCs/>
                <w:lang w:eastAsia="pl-PL"/>
              </w:rPr>
              <w:t xml:space="preserve"> Orzysz </w:t>
            </w:r>
          </w:p>
        </w:tc>
        <w:tc>
          <w:tcPr>
            <w:tcW w:w="2285" w:type="dxa"/>
          </w:tcPr>
          <w:p w14:paraId="729C51A5" w14:textId="196BEF0A"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156 135,13</w:t>
            </w:r>
          </w:p>
        </w:tc>
        <w:tc>
          <w:tcPr>
            <w:tcW w:w="2285" w:type="dxa"/>
          </w:tcPr>
          <w:p w14:paraId="71F5220C" w14:textId="5CBE1C83"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375 099,16</w:t>
            </w:r>
          </w:p>
        </w:tc>
        <w:tc>
          <w:tcPr>
            <w:tcW w:w="2285" w:type="dxa"/>
          </w:tcPr>
          <w:p w14:paraId="642810FB" w14:textId="0458AB2E"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741 046,97</w:t>
            </w:r>
          </w:p>
        </w:tc>
        <w:tc>
          <w:tcPr>
            <w:tcW w:w="2285" w:type="dxa"/>
          </w:tcPr>
          <w:p w14:paraId="7020594D" w14:textId="58ABB22A"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417 561,29</w:t>
            </w:r>
          </w:p>
        </w:tc>
        <w:tc>
          <w:tcPr>
            <w:tcW w:w="2285" w:type="dxa"/>
          </w:tcPr>
          <w:p w14:paraId="240EE34C" w14:textId="4DDEE6C6"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2 349 678,48</w:t>
            </w:r>
          </w:p>
        </w:tc>
      </w:tr>
      <w:tr w:rsidR="00142622" w14:paraId="036CD075" w14:textId="77777777" w:rsidTr="00142622">
        <w:tc>
          <w:tcPr>
            <w:cnfStyle w:val="001000000000" w:firstRow="0" w:lastRow="0" w:firstColumn="1" w:lastColumn="0" w:oddVBand="0" w:evenVBand="0" w:oddHBand="0" w:evenHBand="0" w:firstRowFirstColumn="0" w:firstRowLastColumn="0" w:lastRowFirstColumn="0" w:lastRowLastColumn="0"/>
            <w:tcW w:w="2284" w:type="dxa"/>
          </w:tcPr>
          <w:p w14:paraId="34FF7FEF" w14:textId="7B481AE2" w:rsidR="00142622" w:rsidRPr="0053183F" w:rsidRDefault="00142622" w:rsidP="003E51EB">
            <w:pPr>
              <w:spacing w:line="259" w:lineRule="auto"/>
              <w:ind w:left="0"/>
              <w:contextualSpacing/>
              <w:rPr>
                <w:b w:val="0"/>
                <w:bCs/>
                <w:lang w:val="pl-PL"/>
              </w:rPr>
            </w:pPr>
            <w:r w:rsidRPr="0053183F">
              <w:rPr>
                <w:b w:val="0"/>
                <w:bCs/>
                <w:lang w:eastAsia="pl-PL"/>
              </w:rPr>
              <w:t xml:space="preserve"> Pasym </w:t>
            </w:r>
          </w:p>
        </w:tc>
        <w:tc>
          <w:tcPr>
            <w:tcW w:w="2285" w:type="dxa"/>
          </w:tcPr>
          <w:p w14:paraId="48DBCE6A" w14:textId="183C51F4"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899 188,57</w:t>
            </w:r>
          </w:p>
        </w:tc>
        <w:tc>
          <w:tcPr>
            <w:tcW w:w="2285" w:type="dxa"/>
          </w:tcPr>
          <w:p w14:paraId="338A8323" w14:textId="5D20CF3C"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2 216 757,06</w:t>
            </w:r>
          </w:p>
        </w:tc>
        <w:tc>
          <w:tcPr>
            <w:tcW w:w="2285" w:type="dxa"/>
          </w:tcPr>
          <w:p w14:paraId="63D5AC41" w14:textId="4EBB2995"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2 781 964,87</w:t>
            </w:r>
          </w:p>
        </w:tc>
        <w:tc>
          <w:tcPr>
            <w:tcW w:w="2285" w:type="dxa"/>
          </w:tcPr>
          <w:p w14:paraId="173E31F3" w14:textId="7D370B79"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1 601 109,78</w:t>
            </w:r>
          </w:p>
        </w:tc>
        <w:tc>
          <w:tcPr>
            <w:tcW w:w="2285" w:type="dxa"/>
          </w:tcPr>
          <w:p w14:paraId="480F062D" w14:textId="43C012B3"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   8 497 636,04</w:t>
            </w:r>
          </w:p>
        </w:tc>
      </w:tr>
      <w:tr w:rsidR="00142622" w14:paraId="2987ABFD" w14:textId="77777777" w:rsidTr="00142622">
        <w:tc>
          <w:tcPr>
            <w:cnfStyle w:val="001000000000" w:firstRow="0" w:lastRow="0" w:firstColumn="1" w:lastColumn="0" w:oddVBand="0" w:evenVBand="0" w:oddHBand="0" w:evenHBand="0" w:firstRowFirstColumn="0" w:firstRowLastColumn="0" w:lastRowFirstColumn="0" w:lastRowLastColumn="0"/>
            <w:tcW w:w="2284" w:type="dxa"/>
          </w:tcPr>
          <w:p w14:paraId="0085BF65" w14:textId="3A9A2CAD" w:rsidR="00142622" w:rsidRPr="0053183F" w:rsidRDefault="00142622" w:rsidP="003E51EB">
            <w:pPr>
              <w:spacing w:line="259" w:lineRule="auto"/>
              <w:ind w:left="0"/>
              <w:contextualSpacing/>
              <w:rPr>
                <w:b w:val="0"/>
                <w:bCs/>
                <w:lang w:val="pl-PL"/>
              </w:rPr>
            </w:pPr>
            <w:r w:rsidRPr="0053183F">
              <w:rPr>
                <w:b w:val="0"/>
                <w:bCs/>
                <w:lang w:eastAsia="pl-PL"/>
              </w:rPr>
              <w:t xml:space="preserve"> Pisz </w:t>
            </w:r>
          </w:p>
        </w:tc>
        <w:tc>
          <w:tcPr>
            <w:tcW w:w="2285" w:type="dxa"/>
          </w:tcPr>
          <w:p w14:paraId="260C4396" w14:textId="47B0C5E9"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   2 710 175,68</w:t>
            </w:r>
          </w:p>
        </w:tc>
        <w:tc>
          <w:tcPr>
            <w:tcW w:w="2285" w:type="dxa"/>
          </w:tcPr>
          <w:p w14:paraId="3F898651" w14:textId="63A5460C"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382 742,86</w:t>
            </w:r>
          </w:p>
        </w:tc>
        <w:tc>
          <w:tcPr>
            <w:tcW w:w="2285" w:type="dxa"/>
          </w:tcPr>
          <w:p w14:paraId="19F2B8F1" w14:textId="567D225C"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2 213 606,13</w:t>
            </w:r>
          </w:p>
        </w:tc>
        <w:tc>
          <w:tcPr>
            <w:tcW w:w="2285" w:type="dxa"/>
          </w:tcPr>
          <w:p w14:paraId="0FADB9BD" w14:textId="199C01C2"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5 868 868,07</w:t>
            </w:r>
          </w:p>
        </w:tc>
        <w:tc>
          <w:tcPr>
            <w:tcW w:w="2285" w:type="dxa"/>
          </w:tcPr>
          <w:p w14:paraId="16BB4661" w14:textId="10FC3D41"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9 669 726,57</w:t>
            </w:r>
          </w:p>
        </w:tc>
      </w:tr>
      <w:tr w:rsidR="00142622" w14:paraId="464A231C" w14:textId="77777777" w:rsidTr="00142622">
        <w:tc>
          <w:tcPr>
            <w:cnfStyle w:val="001000000000" w:firstRow="0" w:lastRow="0" w:firstColumn="1" w:lastColumn="0" w:oddVBand="0" w:evenVBand="0" w:oddHBand="0" w:evenHBand="0" w:firstRowFirstColumn="0" w:firstRowLastColumn="0" w:lastRowFirstColumn="0" w:lastRowLastColumn="0"/>
            <w:tcW w:w="2284" w:type="dxa"/>
          </w:tcPr>
          <w:p w14:paraId="54DDDDF4" w14:textId="37C6AEEB" w:rsidR="00142622" w:rsidRPr="0053183F" w:rsidRDefault="00142622" w:rsidP="003E51EB">
            <w:pPr>
              <w:spacing w:line="259" w:lineRule="auto"/>
              <w:ind w:left="0"/>
              <w:contextualSpacing/>
              <w:rPr>
                <w:b w:val="0"/>
                <w:bCs/>
                <w:lang w:val="pl-PL"/>
              </w:rPr>
            </w:pPr>
            <w:r w:rsidRPr="0053183F">
              <w:rPr>
                <w:b w:val="0"/>
                <w:bCs/>
                <w:lang w:eastAsia="pl-PL"/>
              </w:rPr>
              <w:t xml:space="preserve"> Płośnica </w:t>
            </w:r>
          </w:p>
        </w:tc>
        <w:tc>
          <w:tcPr>
            <w:tcW w:w="2285" w:type="dxa"/>
          </w:tcPr>
          <w:p w14:paraId="5E98B9B2" w14:textId="5C315213"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2 954 787,83</w:t>
            </w:r>
          </w:p>
        </w:tc>
        <w:tc>
          <w:tcPr>
            <w:tcW w:w="2285" w:type="dxa"/>
          </w:tcPr>
          <w:p w14:paraId="2418DCA0" w14:textId="6B268189"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4 050 665,11</w:t>
            </w:r>
          </w:p>
        </w:tc>
        <w:tc>
          <w:tcPr>
            <w:tcW w:w="2285" w:type="dxa"/>
          </w:tcPr>
          <w:p w14:paraId="68D49C5F" w14:textId="3F444E6B"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4 494 116,03</w:t>
            </w:r>
          </w:p>
        </w:tc>
        <w:tc>
          <w:tcPr>
            <w:tcW w:w="2285" w:type="dxa"/>
          </w:tcPr>
          <w:p w14:paraId="3F7FD5D5" w14:textId="3A813D35"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2 170 180,19</w:t>
            </w:r>
          </w:p>
        </w:tc>
        <w:tc>
          <w:tcPr>
            <w:tcW w:w="2285" w:type="dxa"/>
          </w:tcPr>
          <w:p w14:paraId="263B26BF" w14:textId="0B15E808"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3 530 832,33</w:t>
            </w:r>
          </w:p>
        </w:tc>
      </w:tr>
      <w:tr w:rsidR="00142622" w14:paraId="5BF052A9" w14:textId="77777777" w:rsidTr="00142622">
        <w:tc>
          <w:tcPr>
            <w:cnfStyle w:val="001000000000" w:firstRow="0" w:lastRow="0" w:firstColumn="1" w:lastColumn="0" w:oddVBand="0" w:evenVBand="0" w:oddHBand="0" w:evenHBand="0" w:firstRowFirstColumn="0" w:firstRowLastColumn="0" w:lastRowFirstColumn="0" w:lastRowLastColumn="0"/>
            <w:tcW w:w="2284" w:type="dxa"/>
          </w:tcPr>
          <w:p w14:paraId="2531CC14" w14:textId="62734336" w:rsidR="00142622" w:rsidRPr="0053183F" w:rsidRDefault="00142622" w:rsidP="003E51EB">
            <w:pPr>
              <w:spacing w:line="259" w:lineRule="auto"/>
              <w:ind w:left="0"/>
              <w:contextualSpacing/>
              <w:rPr>
                <w:b w:val="0"/>
                <w:bCs/>
                <w:lang w:val="pl-PL"/>
              </w:rPr>
            </w:pPr>
            <w:r w:rsidRPr="0053183F">
              <w:rPr>
                <w:b w:val="0"/>
                <w:bCs/>
                <w:lang w:eastAsia="pl-PL"/>
              </w:rPr>
              <w:t xml:space="preserve"> Rozogi </w:t>
            </w:r>
          </w:p>
        </w:tc>
        <w:tc>
          <w:tcPr>
            <w:tcW w:w="2285" w:type="dxa"/>
          </w:tcPr>
          <w:p w14:paraId="026EEC1E" w14:textId="7AE65351"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1 990 237,29</w:t>
            </w:r>
          </w:p>
        </w:tc>
        <w:tc>
          <w:tcPr>
            <w:tcW w:w="2285" w:type="dxa"/>
          </w:tcPr>
          <w:p w14:paraId="7464EDFF" w14:textId="71174F6C"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1 172 710,58</w:t>
            </w:r>
          </w:p>
        </w:tc>
        <w:tc>
          <w:tcPr>
            <w:tcW w:w="2285" w:type="dxa"/>
          </w:tcPr>
          <w:p w14:paraId="5F0B4B32" w14:textId="264ECBF6"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237 181,94</w:t>
            </w:r>
          </w:p>
        </w:tc>
        <w:tc>
          <w:tcPr>
            <w:tcW w:w="2285" w:type="dxa"/>
          </w:tcPr>
          <w:p w14:paraId="4F509BCC" w14:textId="37F35B3C"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      924 031,66</w:t>
            </w:r>
          </w:p>
        </w:tc>
        <w:tc>
          <w:tcPr>
            <w:tcW w:w="2285" w:type="dxa"/>
          </w:tcPr>
          <w:p w14:paraId="6275CAC2" w14:textId="0DFFCF7D"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      188 017,08</w:t>
            </w:r>
          </w:p>
        </w:tc>
      </w:tr>
      <w:tr w:rsidR="00142622" w14:paraId="24BDD0E3" w14:textId="77777777" w:rsidTr="00142622">
        <w:tc>
          <w:tcPr>
            <w:cnfStyle w:val="001000000000" w:firstRow="0" w:lastRow="0" w:firstColumn="1" w:lastColumn="0" w:oddVBand="0" w:evenVBand="0" w:oddHBand="0" w:evenHBand="0" w:firstRowFirstColumn="0" w:firstRowLastColumn="0" w:lastRowFirstColumn="0" w:lastRowLastColumn="0"/>
            <w:tcW w:w="2284" w:type="dxa"/>
          </w:tcPr>
          <w:p w14:paraId="2DA00399" w14:textId="29C794DA" w:rsidR="00142622" w:rsidRPr="0053183F" w:rsidRDefault="00142622" w:rsidP="003E51EB">
            <w:pPr>
              <w:spacing w:line="259" w:lineRule="auto"/>
              <w:ind w:left="0"/>
              <w:contextualSpacing/>
              <w:rPr>
                <w:b w:val="0"/>
                <w:bCs/>
                <w:lang w:val="pl-PL"/>
              </w:rPr>
            </w:pPr>
            <w:r w:rsidRPr="0053183F">
              <w:rPr>
                <w:b w:val="0"/>
                <w:bCs/>
                <w:lang w:eastAsia="pl-PL"/>
              </w:rPr>
              <w:t xml:space="preserve"> Ruciane-Nida </w:t>
            </w:r>
          </w:p>
        </w:tc>
        <w:tc>
          <w:tcPr>
            <w:tcW w:w="2285" w:type="dxa"/>
          </w:tcPr>
          <w:p w14:paraId="6EB6D521" w14:textId="68A629A3"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9 045,22</w:t>
            </w:r>
          </w:p>
        </w:tc>
        <w:tc>
          <w:tcPr>
            <w:tcW w:w="2285" w:type="dxa"/>
          </w:tcPr>
          <w:p w14:paraId="771B36F1" w14:textId="49984621"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1 502 680,85</w:t>
            </w:r>
          </w:p>
        </w:tc>
        <w:tc>
          <w:tcPr>
            <w:tcW w:w="2285" w:type="dxa"/>
          </w:tcPr>
          <w:p w14:paraId="6A17A160" w14:textId="71C739C0"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3 663 155,00</w:t>
            </w:r>
          </w:p>
        </w:tc>
        <w:tc>
          <w:tcPr>
            <w:tcW w:w="2285" w:type="dxa"/>
          </w:tcPr>
          <w:p w14:paraId="2796DA62" w14:textId="02FF6BD2"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3 245 567,50</w:t>
            </w:r>
          </w:p>
        </w:tc>
        <w:tc>
          <w:tcPr>
            <w:tcW w:w="2285" w:type="dxa"/>
          </w:tcPr>
          <w:p w14:paraId="6144BAC4" w14:textId="1BD80E84"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6 126 079,90</w:t>
            </w:r>
          </w:p>
        </w:tc>
      </w:tr>
      <w:tr w:rsidR="00142622" w14:paraId="1670EA50" w14:textId="77777777" w:rsidTr="00142622">
        <w:tc>
          <w:tcPr>
            <w:cnfStyle w:val="001000000000" w:firstRow="0" w:lastRow="0" w:firstColumn="1" w:lastColumn="0" w:oddVBand="0" w:evenVBand="0" w:oddHBand="0" w:evenHBand="0" w:firstRowFirstColumn="0" w:firstRowLastColumn="0" w:lastRowFirstColumn="0" w:lastRowLastColumn="0"/>
            <w:tcW w:w="2284" w:type="dxa"/>
          </w:tcPr>
          <w:p w14:paraId="21036C95" w14:textId="4AB18C69" w:rsidR="00142622" w:rsidRPr="0053183F" w:rsidRDefault="00142622" w:rsidP="003E51EB">
            <w:pPr>
              <w:spacing w:line="259" w:lineRule="auto"/>
              <w:ind w:left="0"/>
              <w:contextualSpacing/>
              <w:rPr>
                <w:b w:val="0"/>
                <w:bCs/>
                <w:lang w:val="pl-PL"/>
              </w:rPr>
            </w:pPr>
            <w:r w:rsidRPr="0053183F">
              <w:rPr>
                <w:b w:val="0"/>
                <w:bCs/>
                <w:lang w:eastAsia="pl-PL"/>
              </w:rPr>
              <w:t xml:space="preserve"> Rybno </w:t>
            </w:r>
          </w:p>
        </w:tc>
        <w:tc>
          <w:tcPr>
            <w:tcW w:w="2285" w:type="dxa"/>
          </w:tcPr>
          <w:p w14:paraId="1B695AFC" w14:textId="18647A4E"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1 145 203,09</w:t>
            </w:r>
          </w:p>
        </w:tc>
        <w:tc>
          <w:tcPr>
            <w:tcW w:w="2285" w:type="dxa"/>
          </w:tcPr>
          <w:p w14:paraId="33D43AA2" w14:textId="61B4B3DD"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646 710,38</w:t>
            </w:r>
          </w:p>
        </w:tc>
        <w:tc>
          <w:tcPr>
            <w:tcW w:w="2285" w:type="dxa"/>
          </w:tcPr>
          <w:p w14:paraId="6FDA1E75" w14:textId="6C650198"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718 156,81</w:t>
            </w:r>
          </w:p>
        </w:tc>
        <w:tc>
          <w:tcPr>
            <w:tcW w:w="2285" w:type="dxa"/>
          </w:tcPr>
          <w:p w14:paraId="1DCF64E5" w14:textId="79FB1C07"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818 637,81</w:t>
            </w:r>
          </w:p>
        </w:tc>
        <w:tc>
          <w:tcPr>
            <w:tcW w:w="2285" w:type="dxa"/>
          </w:tcPr>
          <w:p w14:paraId="385E585E" w14:textId="316F2378"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1 861 389,89</w:t>
            </w:r>
          </w:p>
        </w:tc>
      </w:tr>
      <w:tr w:rsidR="00142622" w14:paraId="7FBD0C8E" w14:textId="77777777" w:rsidTr="00142622">
        <w:tc>
          <w:tcPr>
            <w:cnfStyle w:val="001000000000" w:firstRow="0" w:lastRow="0" w:firstColumn="1" w:lastColumn="0" w:oddVBand="0" w:evenVBand="0" w:oddHBand="0" w:evenHBand="0" w:firstRowFirstColumn="0" w:firstRowLastColumn="0" w:lastRowFirstColumn="0" w:lastRowLastColumn="0"/>
            <w:tcW w:w="2284" w:type="dxa"/>
          </w:tcPr>
          <w:p w14:paraId="04D9C294" w14:textId="0FB06DDE" w:rsidR="00142622" w:rsidRPr="0053183F" w:rsidRDefault="00142622" w:rsidP="003E51EB">
            <w:pPr>
              <w:spacing w:line="259" w:lineRule="auto"/>
              <w:ind w:left="0"/>
              <w:contextualSpacing/>
              <w:rPr>
                <w:b w:val="0"/>
                <w:bCs/>
                <w:lang w:val="pl-PL"/>
              </w:rPr>
            </w:pPr>
            <w:r w:rsidRPr="0053183F">
              <w:rPr>
                <w:b w:val="0"/>
                <w:bCs/>
                <w:lang w:eastAsia="pl-PL"/>
              </w:rPr>
              <w:t xml:space="preserve"> Szczytno – gmina miejska</w:t>
            </w:r>
          </w:p>
        </w:tc>
        <w:tc>
          <w:tcPr>
            <w:tcW w:w="2285" w:type="dxa"/>
          </w:tcPr>
          <w:p w14:paraId="310A4E21" w14:textId="7E7384C2"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3 896 219,95</w:t>
            </w:r>
          </w:p>
        </w:tc>
        <w:tc>
          <w:tcPr>
            <w:tcW w:w="2285" w:type="dxa"/>
          </w:tcPr>
          <w:p w14:paraId="736421D3" w14:textId="30B8FFA3"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2 979 241,06</w:t>
            </w:r>
          </w:p>
        </w:tc>
        <w:tc>
          <w:tcPr>
            <w:tcW w:w="2285" w:type="dxa"/>
          </w:tcPr>
          <w:p w14:paraId="637293B0" w14:textId="4433DF1D"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2 049 383,92</w:t>
            </w:r>
          </w:p>
        </w:tc>
        <w:tc>
          <w:tcPr>
            <w:tcW w:w="2285" w:type="dxa"/>
          </w:tcPr>
          <w:p w14:paraId="3D98A07A" w14:textId="15033FA4"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2 786 940,91</w:t>
            </w:r>
          </w:p>
        </w:tc>
        <w:tc>
          <w:tcPr>
            <w:tcW w:w="2285" w:type="dxa"/>
          </w:tcPr>
          <w:p w14:paraId="2351447C" w14:textId="38AD43D4"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2 065 981,73</w:t>
            </w:r>
          </w:p>
        </w:tc>
      </w:tr>
      <w:tr w:rsidR="00142622" w14:paraId="1E78CBF2" w14:textId="77777777" w:rsidTr="00142622">
        <w:tc>
          <w:tcPr>
            <w:cnfStyle w:val="001000000000" w:firstRow="0" w:lastRow="0" w:firstColumn="1" w:lastColumn="0" w:oddVBand="0" w:evenVBand="0" w:oddHBand="0" w:evenHBand="0" w:firstRowFirstColumn="0" w:firstRowLastColumn="0" w:lastRowFirstColumn="0" w:lastRowLastColumn="0"/>
            <w:tcW w:w="2284" w:type="dxa"/>
          </w:tcPr>
          <w:p w14:paraId="129796AE" w14:textId="6A100044" w:rsidR="00142622" w:rsidRPr="0053183F" w:rsidRDefault="00142622" w:rsidP="003E51EB">
            <w:pPr>
              <w:spacing w:line="259" w:lineRule="auto"/>
              <w:ind w:left="0"/>
              <w:contextualSpacing/>
              <w:rPr>
                <w:b w:val="0"/>
                <w:bCs/>
                <w:lang w:val="pl-PL"/>
              </w:rPr>
            </w:pPr>
            <w:r w:rsidRPr="0053183F">
              <w:rPr>
                <w:b w:val="0"/>
                <w:bCs/>
                <w:lang w:eastAsia="pl-PL"/>
              </w:rPr>
              <w:t xml:space="preserve"> Szczytno – gmina wiejska</w:t>
            </w:r>
          </w:p>
        </w:tc>
        <w:tc>
          <w:tcPr>
            <w:tcW w:w="2285" w:type="dxa"/>
          </w:tcPr>
          <w:p w14:paraId="5C7C44AF" w14:textId="02E73242"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460 765,18</w:t>
            </w:r>
          </w:p>
        </w:tc>
        <w:tc>
          <w:tcPr>
            <w:tcW w:w="2285" w:type="dxa"/>
          </w:tcPr>
          <w:p w14:paraId="2663E59C" w14:textId="7A7FC39F"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4 635 703,92</w:t>
            </w:r>
          </w:p>
        </w:tc>
        <w:tc>
          <w:tcPr>
            <w:tcW w:w="2285" w:type="dxa"/>
          </w:tcPr>
          <w:p w14:paraId="616C6B0F" w14:textId="1280AD11"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4 061 085,52</w:t>
            </w:r>
          </w:p>
        </w:tc>
        <w:tc>
          <w:tcPr>
            <w:tcW w:w="2285" w:type="dxa"/>
          </w:tcPr>
          <w:p w14:paraId="1754130A" w14:textId="6D7C2AC8"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3 601 243,06</w:t>
            </w:r>
          </w:p>
        </w:tc>
        <w:tc>
          <w:tcPr>
            <w:tcW w:w="2285" w:type="dxa"/>
          </w:tcPr>
          <w:p w14:paraId="0F6B3263" w14:textId="4F82310B"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6 799 886,07</w:t>
            </w:r>
          </w:p>
        </w:tc>
      </w:tr>
      <w:tr w:rsidR="00142622" w14:paraId="4BBCA688" w14:textId="77777777" w:rsidTr="00142622">
        <w:tc>
          <w:tcPr>
            <w:cnfStyle w:val="001000000000" w:firstRow="0" w:lastRow="0" w:firstColumn="1" w:lastColumn="0" w:oddVBand="0" w:evenVBand="0" w:oddHBand="0" w:evenHBand="0" w:firstRowFirstColumn="0" w:firstRowLastColumn="0" w:lastRowFirstColumn="0" w:lastRowLastColumn="0"/>
            <w:tcW w:w="2284" w:type="dxa"/>
          </w:tcPr>
          <w:p w14:paraId="1B34BD70" w14:textId="50A04C89" w:rsidR="00142622" w:rsidRPr="0053183F" w:rsidRDefault="00142622" w:rsidP="003E51EB">
            <w:pPr>
              <w:spacing w:line="259" w:lineRule="auto"/>
              <w:ind w:left="0"/>
              <w:contextualSpacing/>
              <w:rPr>
                <w:b w:val="0"/>
                <w:bCs/>
                <w:lang w:val="pl-PL"/>
              </w:rPr>
            </w:pPr>
            <w:r w:rsidRPr="0053183F">
              <w:rPr>
                <w:b w:val="0"/>
                <w:bCs/>
                <w:lang w:eastAsia="pl-PL"/>
              </w:rPr>
              <w:t xml:space="preserve"> Wielbark </w:t>
            </w:r>
          </w:p>
        </w:tc>
        <w:tc>
          <w:tcPr>
            <w:tcW w:w="2285" w:type="dxa"/>
          </w:tcPr>
          <w:p w14:paraId="51541FD8" w14:textId="30A4FFEF"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2 604 155,40</w:t>
            </w:r>
          </w:p>
        </w:tc>
        <w:tc>
          <w:tcPr>
            <w:tcW w:w="2285" w:type="dxa"/>
          </w:tcPr>
          <w:p w14:paraId="2356771D" w14:textId="44FB3756"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2 806 157,11</w:t>
            </w:r>
          </w:p>
        </w:tc>
        <w:tc>
          <w:tcPr>
            <w:tcW w:w="2285" w:type="dxa"/>
          </w:tcPr>
          <w:p w14:paraId="47245E9D" w14:textId="7486AAF7"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2 913 548,06</w:t>
            </w:r>
          </w:p>
        </w:tc>
        <w:tc>
          <w:tcPr>
            <w:tcW w:w="2285" w:type="dxa"/>
          </w:tcPr>
          <w:p w14:paraId="594E8706" w14:textId="6D59C5EE"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1 422 062,79</w:t>
            </w:r>
          </w:p>
        </w:tc>
        <w:tc>
          <w:tcPr>
            <w:tcW w:w="2285" w:type="dxa"/>
          </w:tcPr>
          <w:p w14:paraId="349ED0CA" w14:textId="280B3393"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2 411 576,85</w:t>
            </w:r>
          </w:p>
        </w:tc>
      </w:tr>
      <w:tr w:rsidR="00142622" w14:paraId="04E2C901" w14:textId="77777777" w:rsidTr="00142622">
        <w:tc>
          <w:tcPr>
            <w:cnfStyle w:val="001000000000" w:firstRow="0" w:lastRow="0" w:firstColumn="1" w:lastColumn="0" w:oddVBand="0" w:evenVBand="0" w:oddHBand="0" w:evenHBand="0" w:firstRowFirstColumn="0" w:firstRowLastColumn="0" w:lastRowFirstColumn="0" w:lastRowLastColumn="0"/>
            <w:tcW w:w="2284" w:type="dxa"/>
          </w:tcPr>
          <w:p w14:paraId="1F4D7E62" w14:textId="50C64879" w:rsidR="00142622" w:rsidRPr="0053183F" w:rsidRDefault="00142622" w:rsidP="003E51EB">
            <w:pPr>
              <w:spacing w:line="259" w:lineRule="auto"/>
              <w:ind w:left="0"/>
              <w:contextualSpacing/>
              <w:rPr>
                <w:b w:val="0"/>
                <w:bCs/>
                <w:lang w:val="pl-PL"/>
              </w:rPr>
            </w:pPr>
            <w:r w:rsidRPr="0053183F">
              <w:rPr>
                <w:b w:val="0"/>
                <w:bCs/>
                <w:lang w:eastAsia="pl-PL"/>
              </w:rPr>
              <w:lastRenderedPageBreak/>
              <w:t xml:space="preserve"> Świętajno </w:t>
            </w:r>
          </w:p>
        </w:tc>
        <w:tc>
          <w:tcPr>
            <w:tcW w:w="2285" w:type="dxa"/>
          </w:tcPr>
          <w:p w14:paraId="7AF63A4F" w14:textId="61D71B07"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1 647 462,06</w:t>
            </w:r>
          </w:p>
        </w:tc>
        <w:tc>
          <w:tcPr>
            <w:tcW w:w="2285" w:type="dxa"/>
          </w:tcPr>
          <w:p w14:paraId="5327D831" w14:textId="1434C9EA"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2 057 899,22</w:t>
            </w:r>
          </w:p>
        </w:tc>
        <w:tc>
          <w:tcPr>
            <w:tcW w:w="2285" w:type="dxa"/>
          </w:tcPr>
          <w:p w14:paraId="3A9DB46E" w14:textId="4832DED7"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799 478,35</w:t>
            </w:r>
          </w:p>
        </w:tc>
        <w:tc>
          <w:tcPr>
            <w:tcW w:w="2285" w:type="dxa"/>
          </w:tcPr>
          <w:p w14:paraId="4F1FB7A0" w14:textId="629BA6DC"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      107 957,84</w:t>
            </w:r>
          </w:p>
        </w:tc>
        <w:tc>
          <w:tcPr>
            <w:tcW w:w="2285" w:type="dxa"/>
          </w:tcPr>
          <w:p w14:paraId="0ED462E6" w14:textId="085D2E13"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      508 577,74</w:t>
            </w:r>
          </w:p>
        </w:tc>
      </w:tr>
      <w:tr w:rsidR="00142622" w14:paraId="11969BFD" w14:textId="77777777" w:rsidTr="00142622">
        <w:tc>
          <w:tcPr>
            <w:cnfStyle w:val="001000000000" w:firstRow="0" w:lastRow="0" w:firstColumn="1" w:lastColumn="0" w:oddVBand="0" w:evenVBand="0" w:oddHBand="0" w:evenHBand="0" w:firstRowFirstColumn="0" w:firstRowLastColumn="0" w:lastRowFirstColumn="0" w:lastRowLastColumn="0"/>
            <w:tcW w:w="2284" w:type="dxa"/>
          </w:tcPr>
          <w:p w14:paraId="0B45EEBA" w14:textId="79BD54CF" w:rsidR="00142622" w:rsidRPr="0053183F" w:rsidRDefault="00142622" w:rsidP="003E51EB">
            <w:pPr>
              <w:spacing w:line="259" w:lineRule="auto"/>
              <w:ind w:left="0"/>
              <w:contextualSpacing/>
              <w:rPr>
                <w:b w:val="0"/>
                <w:bCs/>
                <w:lang w:val="pl-PL"/>
              </w:rPr>
            </w:pPr>
            <w:r w:rsidRPr="0053183F">
              <w:rPr>
                <w:b w:val="0"/>
                <w:bCs/>
                <w:lang w:eastAsia="pl-PL"/>
              </w:rPr>
              <w:t xml:space="preserve">Powiat działdowski </w:t>
            </w:r>
          </w:p>
        </w:tc>
        <w:tc>
          <w:tcPr>
            <w:tcW w:w="2285" w:type="dxa"/>
          </w:tcPr>
          <w:p w14:paraId="14E4145D" w14:textId="6F6B7518"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t>5 549 715,34</w:t>
            </w:r>
          </w:p>
        </w:tc>
        <w:tc>
          <w:tcPr>
            <w:tcW w:w="2285" w:type="dxa"/>
          </w:tcPr>
          <w:p w14:paraId="0CEDEF82" w14:textId="08780924"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t>6 671 103,84</w:t>
            </w:r>
          </w:p>
        </w:tc>
        <w:tc>
          <w:tcPr>
            <w:tcW w:w="2285" w:type="dxa"/>
          </w:tcPr>
          <w:p w14:paraId="1F09F8CA" w14:textId="00036174"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t>8 300 561,62</w:t>
            </w:r>
          </w:p>
        </w:tc>
        <w:tc>
          <w:tcPr>
            <w:tcW w:w="2285" w:type="dxa"/>
          </w:tcPr>
          <w:p w14:paraId="5C9A1773" w14:textId="1CBE5B89"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t>9 499 589,68</w:t>
            </w:r>
          </w:p>
        </w:tc>
        <w:tc>
          <w:tcPr>
            <w:tcW w:w="2285" w:type="dxa"/>
          </w:tcPr>
          <w:p w14:paraId="1E828E37" w14:textId="4DCA59AE"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t>11 731 324,89</w:t>
            </w:r>
          </w:p>
        </w:tc>
      </w:tr>
      <w:tr w:rsidR="00142622" w14:paraId="7BA3E3D2" w14:textId="77777777" w:rsidTr="00142622">
        <w:tc>
          <w:tcPr>
            <w:cnfStyle w:val="001000000000" w:firstRow="0" w:lastRow="0" w:firstColumn="1" w:lastColumn="0" w:oddVBand="0" w:evenVBand="0" w:oddHBand="0" w:evenHBand="0" w:firstRowFirstColumn="0" w:firstRowLastColumn="0" w:lastRowFirstColumn="0" w:lastRowLastColumn="0"/>
            <w:tcW w:w="2284" w:type="dxa"/>
          </w:tcPr>
          <w:p w14:paraId="59EB01BD" w14:textId="66DF57BD" w:rsidR="00142622" w:rsidRPr="0053183F" w:rsidRDefault="00142622" w:rsidP="003E51EB">
            <w:pPr>
              <w:spacing w:line="259" w:lineRule="auto"/>
              <w:ind w:left="0"/>
              <w:contextualSpacing/>
              <w:rPr>
                <w:b w:val="0"/>
                <w:bCs/>
                <w:lang w:val="pl-PL"/>
              </w:rPr>
            </w:pPr>
            <w:r w:rsidRPr="0053183F">
              <w:rPr>
                <w:b w:val="0"/>
                <w:bCs/>
                <w:lang w:eastAsia="pl-PL"/>
              </w:rPr>
              <w:t xml:space="preserve">Powiat szczycieński </w:t>
            </w:r>
          </w:p>
        </w:tc>
        <w:tc>
          <w:tcPr>
            <w:tcW w:w="2285" w:type="dxa"/>
          </w:tcPr>
          <w:p w14:paraId="27AE9EC8" w14:textId="2135E8FF"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t>5 429 955,65</w:t>
            </w:r>
          </w:p>
        </w:tc>
        <w:tc>
          <w:tcPr>
            <w:tcW w:w="2285" w:type="dxa"/>
          </w:tcPr>
          <w:p w14:paraId="710E2071" w14:textId="2C38315D"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t>5 329 062,19</w:t>
            </w:r>
          </w:p>
        </w:tc>
        <w:tc>
          <w:tcPr>
            <w:tcW w:w="2285" w:type="dxa"/>
          </w:tcPr>
          <w:p w14:paraId="45FF7B52" w14:textId="02CA9581"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t>2 703 935,98</w:t>
            </w:r>
          </w:p>
        </w:tc>
        <w:tc>
          <w:tcPr>
            <w:tcW w:w="2285" w:type="dxa"/>
          </w:tcPr>
          <w:p w14:paraId="752AE4C2" w14:textId="30D62BBD"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t>1 338 801,77</w:t>
            </w:r>
          </w:p>
        </w:tc>
        <w:tc>
          <w:tcPr>
            <w:tcW w:w="2285" w:type="dxa"/>
          </w:tcPr>
          <w:p w14:paraId="0996DCDE" w14:textId="2358BC25"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t>2 909 391,52</w:t>
            </w:r>
          </w:p>
        </w:tc>
      </w:tr>
      <w:tr w:rsidR="00142622" w14:paraId="26559627" w14:textId="77777777" w:rsidTr="00142622">
        <w:tc>
          <w:tcPr>
            <w:cnfStyle w:val="001000000000" w:firstRow="0" w:lastRow="0" w:firstColumn="1" w:lastColumn="0" w:oddVBand="0" w:evenVBand="0" w:oddHBand="0" w:evenHBand="0" w:firstRowFirstColumn="0" w:firstRowLastColumn="0" w:lastRowFirstColumn="0" w:lastRowLastColumn="0"/>
            <w:tcW w:w="2284" w:type="dxa"/>
          </w:tcPr>
          <w:p w14:paraId="5967F1D0" w14:textId="1E3690B0" w:rsidR="00142622" w:rsidRPr="0053183F" w:rsidRDefault="00142622" w:rsidP="003E51EB">
            <w:pPr>
              <w:spacing w:line="259" w:lineRule="auto"/>
              <w:ind w:left="0"/>
              <w:contextualSpacing/>
              <w:rPr>
                <w:b w:val="0"/>
                <w:bCs/>
                <w:lang w:val="pl-PL"/>
              </w:rPr>
            </w:pPr>
            <w:r w:rsidRPr="0053183F">
              <w:rPr>
                <w:b w:val="0"/>
                <w:bCs/>
                <w:lang w:eastAsia="pl-PL"/>
              </w:rPr>
              <w:t>Powiat piski</w:t>
            </w:r>
          </w:p>
        </w:tc>
        <w:tc>
          <w:tcPr>
            <w:tcW w:w="2285" w:type="dxa"/>
          </w:tcPr>
          <w:p w14:paraId="03B4A297" w14:textId="2E598116"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t>1 508 345,05</w:t>
            </w:r>
          </w:p>
        </w:tc>
        <w:tc>
          <w:tcPr>
            <w:tcW w:w="2285" w:type="dxa"/>
          </w:tcPr>
          <w:p w14:paraId="43CE2F28" w14:textId="3AB9F7F8"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t>3 464 197,24</w:t>
            </w:r>
          </w:p>
        </w:tc>
        <w:tc>
          <w:tcPr>
            <w:tcW w:w="2285" w:type="dxa"/>
          </w:tcPr>
          <w:p w14:paraId="57F3E321" w14:textId="0B6AA9CE"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t>3 453 010,30</w:t>
            </w:r>
          </w:p>
        </w:tc>
        <w:tc>
          <w:tcPr>
            <w:tcW w:w="2285" w:type="dxa"/>
          </w:tcPr>
          <w:p w14:paraId="425D3B69" w14:textId="16010CF8"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t>5 189 049,15</w:t>
            </w:r>
          </w:p>
        </w:tc>
        <w:tc>
          <w:tcPr>
            <w:tcW w:w="2285" w:type="dxa"/>
          </w:tcPr>
          <w:p w14:paraId="0DBCFD7E" w14:textId="415B445C"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t>1 123 236,54</w:t>
            </w:r>
          </w:p>
        </w:tc>
      </w:tr>
      <w:tr w:rsidR="00142622" w14:paraId="4974A2FF" w14:textId="77777777" w:rsidTr="00142622">
        <w:tc>
          <w:tcPr>
            <w:cnfStyle w:val="001000000000" w:firstRow="0" w:lastRow="0" w:firstColumn="1" w:lastColumn="0" w:oddVBand="0" w:evenVBand="0" w:oddHBand="0" w:evenHBand="0" w:firstRowFirstColumn="0" w:firstRowLastColumn="0" w:lastRowFirstColumn="0" w:lastRowLastColumn="0"/>
            <w:tcW w:w="2284" w:type="dxa"/>
          </w:tcPr>
          <w:p w14:paraId="3C6E25AB" w14:textId="655A5516" w:rsidR="00142622" w:rsidRPr="0053183F" w:rsidRDefault="00142622" w:rsidP="003E51EB">
            <w:pPr>
              <w:spacing w:line="259" w:lineRule="auto"/>
              <w:ind w:left="0"/>
              <w:contextualSpacing/>
              <w:rPr>
                <w:b w:val="0"/>
                <w:bCs/>
                <w:lang w:val="pl-PL"/>
              </w:rPr>
            </w:pPr>
            <w:r w:rsidRPr="0053183F">
              <w:rPr>
                <w:b w:val="0"/>
                <w:bCs/>
                <w:lang w:eastAsia="pl-PL"/>
              </w:rPr>
              <w:t xml:space="preserve">Powiat nidzicki </w:t>
            </w:r>
          </w:p>
        </w:tc>
        <w:tc>
          <w:tcPr>
            <w:tcW w:w="2285" w:type="dxa"/>
          </w:tcPr>
          <w:p w14:paraId="68A7E03E" w14:textId="557F1AC3"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t>1 089 396,57</w:t>
            </w:r>
          </w:p>
        </w:tc>
        <w:tc>
          <w:tcPr>
            <w:tcW w:w="2285" w:type="dxa"/>
          </w:tcPr>
          <w:p w14:paraId="0B52A389" w14:textId="083288A7"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t>2 055 163,09</w:t>
            </w:r>
          </w:p>
        </w:tc>
        <w:tc>
          <w:tcPr>
            <w:tcW w:w="2285" w:type="dxa"/>
          </w:tcPr>
          <w:p w14:paraId="7C587FA7" w14:textId="15B13208"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t>1 179 950,14</w:t>
            </w:r>
          </w:p>
        </w:tc>
        <w:tc>
          <w:tcPr>
            <w:tcW w:w="2285" w:type="dxa"/>
          </w:tcPr>
          <w:p w14:paraId="6A263568" w14:textId="49D91BB2"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t>732 490,63</w:t>
            </w:r>
          </w:p>
        </w:tc>
        <w:tc>
          <w:tcPr>
            <w:tcW w:w="2285" w:type="dxa"/>
          </w:tcPr>
          <w:p w14:paraId="56DBCDD7" w14:textId="29085DBF"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t>1 369 242,43</w:t>
            </w:r>
          </w:p>
        </w:tc>
      </w:tr>
      <w:tr w:rsidR="00142622" w14:paraId="31081593" w14:textId="77777777" w:rsidTr="00142622">
        <w:tc>
          <w:tcPr>
            <w:cnfStyle w:val="001000000000" w:firstRow="0" w:lastRow="0" w:firstColumn="1" w:lastColumn="0" w:oddVBand="0" w:evenVBand="0" w:oddHBand="0" w:evenHBand="0" w:firstRowFirstColumn="0" w:firstRowLastColumn="0" w:lastRowFirstColumn="0" w:lastRowLastColumn="0"/>
            <w:tcW w:w="2284" w:type="dxa"/>
          </w:tcPr>
          <w:p w14:paraId="1A9DEE13" w14:textId="4101394F" w:rsidR="00142622" w:rsidRPr="0053183F" w:rsidRDefault="00142622" w:rsidP="003E51EB">
            <w:pPr>
              <w:spacing w:line="259" w:lineRule="auto"/>
              <w:ind w:left="0"/>
              <w:contextualSpacing/>
              <w:rPr>
                <w:b w:val="0"/>
                <w:bCs/>
                <w:lang w:val="pl-PL"/>
              </w:rPr>
            </w:pPr>
            <w:r w:rsidRPr="0053183F">
              <w:rPr>
                <w:b w:val="0"/>
                <w:bCs/>
                <w:lang w:eastAsia="pl-PL"/>
              </w:rPr>
              <w:t>Suma</w:t>
            </w:r>
          </w:p>
        </w:tc>
        <w:tc>
          <w:tcPr>
            <w:tcW w:w="2285" w:type="dxa"/>
          </w:tcPr>
          <w:p w14:paraId="37C315C9" w14:textId="67006C21"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ascii="Calibri" w:hAnsi="Calibri"/>
              </w:rPr>
              <w:t>43 781 569,26</w:t>
            </w:r>
          </w:p>
        </w:tc>
        <w:tc>
          <w:tcPr>
            <w:tcW w:w="2285" w:type="dxa"/>
          </w:tcPr>
          <w:p w14:paraId="5227936A" w14:textId="1641256D"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ascii="Calibri" w:hAnsi="Calibri"/>
              </w:rPr>
              <w:t>68 099 571,29</w:t>
            </w:r>
          </w:p>
        </w:tc>
        <w:tc>
          <w:tcPr>
            <w:tcW w:w="2285" w:type="dxa"/>
          </w:tcPr>
          <w:p w14:paraId="534F29B7" w14:textId="5C458E9A"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ascii="Calibri" w:hAnsi="Calibri"/>
              </w:rPr>
              <w:t>62 971 166,77</w:t>
            </w:r>
          </w:p>
        </w:tc>
        <w:tc>
          <w:tcPr>
            <w:tcW w:w="2285" w:type="dxa"/>
          </w:tcPr>
          <w:p w14:paraId="1F003403" w14:textId="737C9923"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ascii="Calibri" w:hAnsi="Calibri"/>
              </w:rPr>
              <w:t>53 709 494,69</w:t>
            </w:r>
          </w:p>
        </w:tc>
        <w:tc>
          <w:tcPr>
            <w:tcW w:w="2285" w:type="dxa"/>
          </w:tcPr>
          <w:p w14:paraId="65D82B75" w14:textId="0E0BC2D6"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ascii="Calibri" w:hAnsi="Calibri"/>
              </w:rPr>
              <w:t>65 225 320,83</w:t>
            </w:r>
          </w:p>
        </w:tc>
      </w:tr>
    </w:tbl>
    <w:p w14:paraId="33E76346" w14:textId="52D28302" w:rsidR="003C7BFF" w:rsidRPr="00733091" w:rsidRDefault="003C7BFF" w:rsidP="00733091">
      <w:pPr>
        <w:pStyle w:val="podpiselementu"/>
        <w:spacing w:after="240"/>
        <w:rPr>
          <w:rStyle w:val="Uwydatnienie"/>
          <w:rFonts w:asciiTheme="minorHAnsi" w:hAnsiTheme="minorHAnsi"/>
          <w:i w:val="0"/>
          <w:iCs w:val="0"/>
          <w:sz w:val="22"/>
          <w:lang w:val="pl-PL"/>
        </w:rPr>
      </w:pPr>
      <w:r w:rsidRPr="00733091">
        <w:rPr>
          <w:lang w:val="pl-PL"/>
        </w:rPr>
        <w:t>Źródło: opracowanie ZMP na podstawie https://analizy.monitorrozwoju.pl</w:t>
      </w:r>
    </w:p>
    <w:p w14:paraId="5752A00C" w14:textId="77777777" w:rsidR="00FC5673" w:rsidRDefault="00FC5673" w:rsidP="00733091">
      <w:pPr>
        <w:contextualSpacing/>
        <w:jc w:val="both"/>
        <w:rPr>
          <w:rStyle w:val="Uwydatnienie"/>
          <w:i w:val="0"/>
          <w:iCs w:val="0"/>
          <w:lang w:val="pl-PL"/>
        </w:rPr>
        <w:sectPr w:rsidR="00FC5673" w:rsidSect="00FC5673">
          <w:pgSz w:w="16838" w:h="11906" w:orient="landscape"/>
          <w:pgMar w:top="1418" w:right="1418" w:bottom="1418" w:left="1701" w:header="709" w:footer="709" w:gutter="0"/>
          <w:cols w:space="708"/>
          <w:docGrid w:linePitch="360"/>
        </w:sectPr>
      </w:pPr>
    </w:p>
    <w:p w14:paraId="4ED83971" w14:textId="7B4D1604" w:rsidR="003C7BFF" w:rsidRDefault="003C7BFF" w:rsidP="00733091">
      <w:pPr>
        <w:contextualSpacing/>
        <w:jc w:val="both"/>
        <w:rPr>
          <w:rStyle w:val="Uwydatnienie"/>
          <w:i w:val="0"/>
          <w:iCs w:val="0"/>
          <w:lang w:val="pl-PL"/>
        </w:rPr>
      </w:pPr>
    </w:p>
    <w:p w14:paraId="50110C7F" w14:textId="77777777" w:rsidR="001F2F4D" w:rsidRPr="00733091" w:rsidRDefault="001F2F4D" w:rsidP="001F2F4D">
      <w:pPr>
        <w:rPr>
          <w:rStyle w:val="Uwydatnienie"/>
          <w:i w:val="0"/>
          <w:iCs w:val="0"/>
          <w:szCs w:val="24"/>
          <w:lang w:val="pl-PL"/>
        </w:rPr>
      </w:pPr>
      <w:r w:rsidRPr="00733091">
        <w:rPr>
          <w:rStyle w:val="Uwydatnienie"/>
          <w:i w:val="0"/>
          <w:iCs w:val="0"/>
          <w:szCs w:val="24"/>
          <w:lang w:val="pl-PL"/>
        </w:rPr>
        <w:t>Najistotniejszym czynnikiem, który kształtuje zdolność Partnerstwa do finansowania rozwoju jest generowana przez jednostki samorządu terytorialnego nadwyżka operacyjna</w:t>
      </w:r>
      <w:r w:rsidRPr="003C7BFF">
        <w:rPr>
          <w:rStyle w:val="Odwoanieprzypisudolnego"/>
          <w:szCs w:val="24"/>
        </w:rPr>
        <w:footnoteReference w:id="88"/>
      </w:r>
      <w:r w:rsidRPr="00733091">
        <w:rPr>
          <w:rStyle w:val="Uwydatnienie"/>
          <w:i w:val="0"/>
          <w:iCs w:val="0"/>
          <w:szCs w:val="24"/>
          <w:lang w:val="pl-PL"/>
        </w:rPr>
        <w:t>.</w:t>
      </w:r>
    </w:p>
    <w:p w14:paraId="391940AD" w14:textId="77777777" w:rsidR="001F2F4D" w:rsidRPr="00733091" w:rsidRDefault="001F2F4D" w:rsidP="001F2F4D">
      <w:pPr>
        <w:rPr>
          <w:lang w:val="pl-PL"/>
        </w:rPr>
      </w:pPr>
      <w:r w:rsidRPr="00733091">
        <w:rPr>
          <w:lang w:val="pl-PL"/>
        </w:rPr>
        <w:t xml:space="preserve">Gminy i powiaty wchodzące w skład Partnerstwa w 2019 r. wygenerowały nadwyżkę operacyjną w łącznej kwocie </w:t>
      </w:r>
      <w:r w:rsidRPr="00733091">
        <w:rPr>
          <w:b/>
          <w:bCs/>
          <w:lang w:val="pl-PL"/>
        </w:rPr>
        <w:t>158.943.143,49 zł.</w:t>
      </w:r>
      <w:r w:rsidRPr="00733091">
        <w:rPr>
          <w:lang w:val="pl-PL"/>
        </w:rPr>
        <w:t xml:space="preserve"> W analizowanym okresie (2015-2019) wartość nominalna nadwyżki operacyjnej wzrastała (od 2015 r. o 32,66%); jednakże dynamika wzrostu znacznie różnicowała jednostki wchodzące w skład Partnerstwa. </w:t>
      </w:r>
    </w:p>
    <w:p w14:paraId="4528FA24" w14:textId="67358BD6" w:rsidR="001F2F4D" w:rsidRPr="001F2F4D" w:rsidRDefault="001F2F4D" w:rsidP="001F2F4D">
      <w:pPr>
        <w:rPr>
          <w:lang w:val="pl-PL"/>
        </w:rPr>
      </w:pPr>
      <w:r w:rsidRPr="00733091">
        <w:rPr>
          <w:lang w:val="pl-PL"/>
        </w:rPr>
        <w:t xml:space="preserve">Różnicująca Partnerów była również relacja kwoty nadwyżki operacyjnej do kwoty dochodów bieżących ogółem (przy pomocy której porównano sytuację w JST wchodzących w skład Partnerstwa).  </w:t>
      </w:r>
      <w:r w:rsidRPr="00733091">
        <w:rPr>
          <w:rFonts w:cstheme="minorHAnsi"/>
          <w:color w:val="1A1A1A"/>
          <w:shd w:val="clear" w:color="auto" w:fill="FFFFFF"/>
          <w:lang w:val="pl-PL"/>
        </w:rPr>
        <w:t>W analizowanym okresie wysoka, stabilna wartość ww. wskaźnika charakteryzowała Wielbark, gminę miejską Szczytno i Płośnicę, a z powiatów- powiat działdowski. Malejące wartości wskaźnika odnotowały Rozogi, Świętajno i Janowo.</w:t>
      </w:r>
    </w:p>
    <w:p w14:paraId="4ED432B5" w14:textId="4DAB715E" w:rsidR="00C16CB1" w:rsidRPr="006120C4" w:rsidRDefault="00C16CB1" w:rsidP="00C16CB1">
      <w:pPr>
        <w:rPr>
          <w:lang w:val="pl-PL"/>
        </w:rPr>
      </w:pPr>
      <w:r w:rsidRPr="00733091">
        <w:rPr>
          <w:rFonts w:cstheme="minorHAnsi"/>
          <w:color w:val="1A1A1A"/>
          <w:shd w:val="clear" w:color="auto" w:fill="FFFFFF"/>
          <w:lang w:val="pl-PL"/>
        </w:rPr>
        <w:t xml:space="preserve">Większość jednostek samorządu terytorialnego wchodzących w skład Partnerstwa (69,23%) odnotowała niższy poziom wskaźnika opisującego relację </w:t>
      </w:r>
      <w:r w:rsidRPr="00733091">
        <w:rPr>
          <w:rStyle w:val="Tytu2"/>
          <w:szCs w:val="24"/>
          <w:lang w:val="pl-PL"/>
        </w:rPr>
        <w:t xml:space="preserve">kwoty nadwyżki operacyjnej do kwoty dochodów bieżących </w:t>
      </w:r>
      <w:r w:rsidRPr="00733091">
        <w:rPr>
          <w:rFonts w:cstheme="minorHAnsi"/>
          <w:color w:val="1A1A1A"/>
          <w:shd w:val="clear" w:color="auto" w:fill="FFFFFF"/>
          <w:lang w:val="pl-PL"/>
        </w:rPr>
        <w:t xml:space="preserve">od średniego poziomu wskaźnika, określonego dla obszaru Partnerstwa (wynoszącego 8,90%). Jednocześnie w badanym okresie dynamika zmian wskaźnika była w większości jednostek wchodzących w skład Partnerstwa ujemna. </w:t>
      </w:r>
    </w:p>
    <w:p w14:paraId="3DAA3B92" w14:textId="77777777" w:rsidR="00C16CB1" w:rsidRPr="00733091" w:rsidRDefault="00C16CB1" w:rsidP="00C16CB1">
      <w:pPr>
        <w:rPr>
          <w:rFonts w:cstheme="minorHAnsi"/>
          <w:color w:val="1A1A1A"/>
          <w:shd w:val="clear" w:color="auto" w:fill="FFFFFF"/>
          <w:lang w:val="pl-PL"/>
        </w:rPr>
      </w:pPr>
      <w:r w:rsidRPr="00733091">
        <w:rPr>
          <w:rFonts w:cstheme="minorHAnsi"/>
          <w:color w:val="1A1A1A"/>
          <w:shd w:val="clear" w:color="auto" w:fill="FFFFFF"/>
          <w:lang w:val="pl-PL"/>
        </w:rPr>
        <w:t>Porównanie tych dwóch cech wskaźnika wskazuje</w:t>
      </w:r>
      <w:r w:rsidRPr="00733091">
        <w:rPr>
          <w:rFonts w:cstheme="minorHAnsi"/>
          <w:b/>
          <w:bCs/>
          <w:color w:val="1A1A1A"/>
          <w:shd w:val="clear" w:color="auto" w:fill="FFFFFF"/>
          <w:lang w:val="pl-PL"/>
        </w:rPr>
        <w:t xml:space="preserve"> na niską i malejącą zdolność Partnerstwa do finansowania przedsięwzięć rozwojowych.</w:t>
      </w:r>
    </w:p>
    <w:p w14:paraId="46BC2682" w14:textId="77777777" w:rsidR="00C16CB1" w:rsidRPr="00733091" w:rsidRDefault="00C16CB1" w:rsidP="00C16CB1">
      <w:pPr>
        <w:rPr>
          <w:rFonts w:cstheme="minorHAnsi"/>
          <w:color w:val="1A1A1A"/>
          <w:shd w:val="clear" w:color="auto" w:fill="FFFFFF"/>
          <w:lang w:val="pl-PL"/>
        </w:rPr>
      </w:pPr>
      <w:r w:rsidRPr="00733091">
        <w:rPr>
          <w:rFonts w:cstheme="minorHAnsi"/>
          <w:color w:val="1A1A1A"/>
          <w:shd w:val="clear" w:color="auto" w:fill="FFFFFF"/>
          <w:lang w:val="pl-PL"/>
        </w:rPr>
        <w:t xml:space="preserve">Relację kwoty nadwyżki operacyjnej do kwoty dochodów bieżących (w%) w latach 2015-2019 prezentuje poniższa tabela.  </w:t>
      </w:r>
    </w:p>
    <w:p w14:paraId="352C0375" w14:textId="71A46E25" w:rsidR="00C16CB1" w:rsidRDefault="00C16CB1" w:rsidP="00C16CB1">
      <w:pPr>
        <w:ind w:left="0"/>
        <w:rPr>
          <w:rStyle w:val="Uwydatnienie"/>
          <w:i w:val="0"/>
          <w:iCs w:val="0"/>
          <w:szCs w:val="24"/>
          <w:lang w:val="pl-PL"/>
        </w:rPr>
        <w:sectPr w:rsidR="00C16CB1" w:rsidSect="00E736E3">
          <w:pgSz w:w="11906" w:h="16838"/>
          <w:pgMar w:top="1418" w:right="1418" w:bottom="1701" w:left="1418" w:header="709" w:footer="709" w:gutter="0"/>
          <w:cols w:space="708"/>
          <w:docGrid w:linePitch="360"/>
        </w:sectPr>
      </w:pPr>
    </w:p>
    <w:p w14:paraId="051E4021" w14:textId="101C92A9" w:rsidR="003C7BFF" w:rsidRDefault="003C7BFF" w:rsidP="002E24A9">
      <w:pPr>
        <w:pStyle w:val="Legenda"/>
        <w:rPr>
          <w:rStyle w:val="Tytu2"/>
          <w:lang w:val="pl-PL"/>
        </w:rPr>
      </w:pPr>
      <w:bookmarkStart w:id="130" w:name="_Toc69723272"/>
      <w:r w:rsidRPr="00733091">
        <w:rPr>
          <w:lang w:val="pl-PL"/>
        </w:rPr>
        <w:lastRenderedPageBreak/>
        <w:t xml:space="preserve">Tabela </w:t>
      </w:r>
      <w:r w:rsidR="00733091">
        <w:fldChar w:fldCharType="begin"/>
      </w:r>
      <w:r w:rsidR="00733091" w:rsidRPr="00733091">
        <w:rPr>
          <w:lang w:val="pl-PL"/>
        </w:rPr>
        <w:instrText xml:space="preserve"> SEQ Tabela \* ARABIC </w:instrText>
      </w:r>
      <w:r w:rsidR="00733091">
        <w:fldChar w:fldCharType="separate"/>
      </w:r>
      <w:r w:rsidR="00B14787">
        <w:rPr>
          <w:noProof/>
          <w:lang w:val="pl-PL"/>
        </w:rPr>
        <w:t>23</w:t>
      </w:r>
      <w:r w:rsidR="00733091">
        <w:rPr>
          <w:noProof/>
        </w:rPr>
        <w:fldChar w:fldCharType="end"/>
      </w:r>
      <w:r w:rsidRPr="00733091">
        <w:rPr>
          <w:lang w:val="pl-PL"/>
        </w:rPr>
        <w:t xml:space="preserve">: </w:t>
      </w:r>
      <w:r w:rsidRPr="00733091">
        <w:rPr>
          <w:rStyle w:val="Tytu2"/>
          <w:lang w:val="pl-PL"/>
        </w:rPr>
        <w:t>Relacja kwoty nadwyżki operacyjnej do kwoty dochodów bieżących [w %] w latach 2015-2019</w:t>
      </w:r>
      <w:bookmarkEnd w:id="130"/>
    </w:p>
    <w:tbl>
      <w:tblPr>
        <w:tblStyle w:val="CWD"/>
        <w:tblW w:w="9067" w:type="dxa"/>
        <w:tblLook w:val="04A0" w:firstRow="1" w:lastRow="0" w:firstColumn="1" w:lastColumn="0" w:noHBand="0" w:noVBand="1"/>
      </w:tblPr>
      <w:tblGrid>
        <w:gridCol w:w="1980"/>
        <w:gridCol w:w="1276"/>
        <w:gridCol w:w="1134"/>
        <w:gridCol w:w="1134"/>
        <w:gridCol w:w="1134"/>
        <w:gridCol w:w="1134"/>
        <w:gridCol w:w="1275"/>
      </w:tblGrid>
      <w:tr w:rsidR="00142622" w14:paraId="2934A1A9" w14:textId="77777777" w:rsidTr="00142622">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980" w:type="dxa"/>
          </w:tcPr>
          <w:p w14:paraId="6EE2856D" w14:textId="6FD2E403" w:rsidR="00142622" w:rsidRDefault="00142622" w:rsidP="003E51EB">
            <w:pPr>
              <w:spacing w:line="259" w:lineRule="auto"/>
              <w:ind w:left="0"/>
              <w:contextualSpacing/>
              <w:rPr>
                <w:lang w:val="pl-PL"/>
              </w:rPr>
            </w:pPr>
            <w:r>
              <w:rPr>
                <w:lang w:eastAsia="pl-PL"/>
              </w:rPr>
              <w:t>Nazwa</w:t>
            </w:r>
            <w:r w:rsidRPr="00703D43">
              <w:rPr>
                <w:bCs/>
                <w:lang w:eastAsia="pl-PL"/>
              </w:rPr>
              <w:t xml:space="preserve"> JST</w:t>
            </w:r>
          </w:p>
        </w:tc>
        <w:tc>
          <w:tcPr>
            <w:tcW w:w="1276" w:type="dxa"/>
          </w:tcPr>
          <w:p w14:paraId="03258D41" w14:textId="088233D1" w:rsidR="00142622" w:rsidRDefault="00142622" w:rsidP="003E51EB">
            <w:pPr>
              <w:spacing w:line="259" w:lineRule="auto"/>
              <w:ind w:left="0"/>
              <w:contextualSpacing/>
              <w:jc w:val="right"/>
              <w:cnfStyle w:val="100000000000" w:firstRow="1" w:lastRow="0" w:firstColumn="0" w:lastColumn="0" w:oddVBand="0" w:evenVBand="0" w:oddHBand="0" w:evenHBand="0" w:firstRowFirstColumn="0" w:firstRowLastColumn="0" w:lastRowFirstColumn="0" w:lastRowLastColumn="0"/>
              <w:rPr>
                <w:lang w:val="pl-PL"/>
              </w:rPr>
            </w:pPr>
            <w:r w:rsidRPr="00703D43">
              <w:rPr>
                <w:rFonts w:cstheme="minorHAnsi"/>
                <w:bCs/>
                <w:lang w:eastAsia="pl-PL"/>
              </w:rPr>
              <w:t>2015</w:t>
            </w:r>
          </w:p>
        </w:tc>
        <w:tc>
          <w:tcPr>
            <w:tcW w:w="1134" w:type="dxa"/>
          </w:tcPr>
          <w:p w14:paraId="52A8A465" w14:textId="060A7B9F" w:rsidR="00142622" w:rsidRDefault="00142622" w:rsidP="003E51EB">
            <w:pPr>
              <w:spacing w:line="259" w:lineRule="auto"/>
              <w:ind w:left="0"/>
              <w:contextualSpacing/>
              <w:jc w:val="right"/>
              <w:cnfStyle w:val="100000000000" w:firstRow="1" w:lastRow="0" w:firstColumn="0" w:lastColumn="0" w:oddVBand="0" w:evenVBand="0" w:oddHBand="0" w:evenHBand="0" w:firstRowFirstColumn="0" w:firstRowLastColumn="0" w:lastRowFirstColumn="0" w:lastRowLastColumn="0"/>
              <w:rPr>
                <w:lang w:val="pl-PL"/>
              </w:rPr>
            </w:pPr>
            <w:r w:rsidRPr="00703D43">
              <w:rPr>
                <w:rFonts w:cstheme="minorHAnsi"/>
                <w:bCs/>
                <w:lang w:eastAsia="pl-PL"/>
              </w:rPr>
              <w:t>2016</w:t>
            </w:r>
          </w:p>
        </w:tc>
        <w:tc>
          <w:tcPr>
            <w:tcW w:w="1134" w:type="dxa"/>
          </w:tcPr>
          <w:p w14:paraId="2AB78FDC" w14:textId="5B353A0F" w:rsidR="00142622" w:rsidRDefault="00142622" w:rsidP="003E51EB">
            <w:pPr>
              <w:spacing w:line="259" w:lineRule="auto"/>
              <w:ind w:left="0"/>
              <w:contextualSpacing/>
              <w:jc w:val="right"/>
              <w:cnfStyle w:val="100000000000" w:firstRow="1" w:lastRow="0" w:firstColumn="0" w:lastColumn="0" w:oddVBand="0" w:evenVBand="0" w:oddHBand="0" w:evenHBand="0" w:firstRowFirstColumn="0" w:firstRowLastColumn="0" w:lastRowFirstColumn="0" w:lastRowLastColumn="0"/>
              <w:rPr>
                <w:lang w:val="pl-PL"/>
              </w:rPr>
            </w:pPr>
            <w:r w:rsidRPr="00703D43">
              <w:rPr>
                <w:rFonts w:cstheme="minorHAnsi"/>
                <w:bCs/>
                <w:lang w:eastAsia="pl-PL"/>
              </w:rPr>
              <w:t>2017</w:t>
            </w:r>
          </w:p>
        </w:tc>
        <w:tc>
          <w:tcPr>
            <w:tcW w:w="1134" w:type="dxa"/>
          </w:tcPr>
          <w:p w14:paraId="5F16BB3E" w14:textId="24012D3D" w:rsidR="00142622" w:rsidRDefault="00142622" w:rsidP="003E51EB">
            <w:pPr>
              <w:spacing w:line="259" w:lineRule="auto"/>
              <w:ind w:left="0"/>
              <w:contextualSpacing/>
              <w:jc w:val="right"/>
              <w:cnfStyle w:val="100000000000" w:firstRow="1" w:lastRow="0" w:firstColumn="0" w:lastColumn="0" w:oddVBand="0" w:evenVBand="0" w:oddHBand="0" w:evenHBand="0" w:firstRowFirstColumn="0" w:firstRowLastColumn="0" w:lastRowFirstColumn="0" w:lastRowLastColumn="0"/>
              <w:rPr>
                <w:lang w:val="pl-PL"/>
              </w:rPr>
            </w:pPr>
            <w:r w:rsidRPr="00703D43">
              <w:rPr>
                <w:rFonts w:cstheme="minorHAnsi"/>
                <w:bCs/>
                <w:lang w:eastAsia="pl-PL"/>
              </w:rPr>
              <w:t>2018</w:t>
            </w:r>
          </w:p>
        </w:tc>
        <w:tc>
          <w:tcPr>
            <w:tcW w:w="1134" w:type="dxa"/>
          </w:tcPr>
          <w:p w14:paraId="061A2EF1" w14:textId="5C314431" w:rsidR="00142622" w:rsidRDefault="00142622" w:rsidP="003E51EB">
            <w:pPr>
              <w:spacing w:line="259" w:lineRule="auto"/>
              <w:ind w:left="0"/>
              <w:contextualSpacing/>
              <w:jc w:val="right"/>
              <w:cnfStyle w:val="100000000000" w:firstRow="1" w:lastRow="0" w:firstColumn="0" w:lastColumn="0" w:oddVBand="0" w:evenVBand="0" w:oddHBand="0" w:evenHBand="0" w:firstRowFirstColumn="0" w:firstRowLastColumn="0" w:lastRowFirstColumn="0" w:lastRowLastColumn="0"/>
              <w:rPr>
                <w:lang w:val="pl-PL"/>
              </w:rPr>
            </w:pPr>
            <w:r w:rsidRPr="00703D43">
              <w:rPr>
                <w:rFonts w:cstheme="minorHAnsi"/>
                <w:bCs/>
                <w:lang w:eastAsia="pl-PL"/>
              </w:rPr>
              <w:t>2019</w:t>
            </w:r>
          </w:p>
        </w:tc>
        <w:tc>
          <w:tcPr>
            <w:tcW w:w="1275" w:type="dxa"/>
          </w:tcPr>
          <w:p w14:paraId="358778DE" w14:textId="6911ED21" w:rsidR="00142622" w:rsidRDefault="00142622" w:rsidP="003E51EB">
            <w:pPr>
              <w:spacing w:line="259" w:lineRule="auto"/>
              <w:ind w:left="0"/>
              <w:contextualSpacing/>
              <w:jc w:val="right"/>
              <w:cnfStyle w:val="100000000000" w:firstRow="1" w:lastRow="0" w:firstColumn="0" w:lastColumn="0" w:oddVBand="0" w:evenVBand="0" w:oddHBand="0" w:evenHBand="0" w:firstRowFirstColumn="0" w:firstRowLastColumn="0" w:lastRowFirstColumn="0" w:lastRowLastColumn="0"/>
              <w:rPr>
                <w:lang w:val="pl-PL"/>
              </w:rPr>
            </w:pPr>
            <w:r w:rsidRPr="00703D43">
              <w:rPr>
                <w:rFonts w:cstheme="minorHAnsi"/>
                <w:bCs/>
                <w:lang w:eastAsia="pl-PL"/>
              </w:rPr>
              <w:t>Średnia</w:t>
            </w:r>
          </w:p>
        </w:tc>
      </w:tr>
      <w:tr w:rsidR="00142622" w14:paraId="2FA73F3A" w14:textId="77777777" w:rsidTr="00142622">
        <w:tc>
          <w:tcPr>
            <w:cnfStyle w:val="001000000000" w:firstRow="0" w:lastRow="0" w:firstColumn="1" w:lastColumn="0" w:oddVBand="0" w:evenVBand="0" w:oddHBand="0" w:evenHBand="0" w:firstRowFirstColumn="0" w:firstRowLastColumn="0" w:lastRowFirstColumn="0" w:lastRowLastColumn="0"/>
            <w:tcW w:w="1980" w:type="dxa"/>
          </w:tcPr>
          <w:p w14:paraId="632A8F08" w14:textId="2C020370" w:rsidR="00142622" w:rsidRPr="0053183F" w:rsidRDefault="00142622" w:rsidP="003E51EB">
            <w:pPr>
              <w:spacing w:line="259" w:lineRule="auto"/>
              <w:ind w:left="0"/>
              <w:contextualSpacing/>
              <w:rPr>
                <w:b w:val="0"/>
                <w:bCs/>
                <w:lang w:val="pl-PL"/>
              </w:rPr>
            </w:pPr>
            <w:r w:rsidRPr="0053183F">
              <w:rPr>
                <w:rFonts w:cstheme="minorHAnsi"/>
                <w:b w:val="0"/>
                <w:bCs/>
                <w:lang w:eastAsia="pl-PL"/>
              </w:rPr>
              <w:t>Biała Piska</w:t>
            </w:r>
          </w:p>
        </w:tc>
        <w:tc>
          <w:tcPr>
            <w:tcW w:w="1276" w:type="dxa"/>
          </w:tcPr>
          <w:p w14:paraId="72BE2069" w14:textId="644AA272"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cstheme="minorHAnsi"/>
                <w:lang w:eastAsia="pl-PL"/>
              </w:rPr>
              <w:t>4,18</w:t>
            </w:r>
          </w:p>
        </w:tc>
        <w:tc>
          <w:tcPr>
            <w:tcW w:w="1134" w:type="dxa"/>
          </w:tcPr>
          <w:p w14:paraId="02EE5BAD" w14:textId="1E46E98D"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cstheme="minorHAnsi"/>
                <w:lang w:eastAsia="pl-PL"/>
              </w:rPr>
              <w:t>5,00</w:t>
            </w:r>
          </w:p>
        </w:tc>
        <w:tc>
          <w:tcPr>
            <w:tcW w:w="1134" w:type="dxa"/>
          </w:tcPr>
          <w:p w14:paraId="0D3FB552" w14:textId="217A7C8C"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cstheme="minorHAnsi"/>
                <w:lang w:eastAsia="pl-PL"/>
              </w:rPr>
              <w:t>6,19</w:t>
            </w:r>
          </w:p>
        </w:tc>
        <w:tc>
          <w:tcPr>
            <w:tcW w:w="1134" w:type="dxa"/>
          </w:tcPr>
          <w:p w14:paraId="601BCA7B" w14:textId="7308D4C8"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cstheme="minorHAnsi"/>
                <w:lang w:eastAsia="pl-PL"/>
              </w:rPr>
              <w:t>2,68</w:t>
            </w:r>
          </w:p>
        </w:tc>
        <w:tc>
          <w:tcPr>
            <w:tcW w:w="1134" w:type="dxa"/>
          </w:tcPr>
          <w:p w14:paraId="2533AA4A" w14:textId="34D7F943"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cstheme="minorHAnsi"/>
                <w:lang w:eastAsia="pl-PL"/>
              </w:rPr>
              <w:t>5,00</w:t>
            </w:r>
          </w:p>
        </w:tc>
        <w:tc>
          <w:tcPr>
            <w:tcW w:w="1275" w:type="dxa"/>
          </w:tcPr>
          <w:p w14:paraId="4A18ACBA" w14:textId="5C825BE0"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t>4,61</w:t>
            </w:r>
          </w:p>
        </w:tc>
      </w:tr>
      <w:tr w:rsidR="00142622" w14:paraId="2994F4DE" w14:textId="77777777" w:rsidTr="00142622">
        <w:tc>
          <w:tcPr>
            <w:cnfStyle w:val="001000000000" w:firstRow="0" w:lastRow="0" w:firstColumn="1" w:lastColumn="0" w:oddVBand="0" w:evenVBand="0" w:oddHBand="0" w:evenHBand="0" w:firstRowFirstColumn="0" w:firstRowLastColumn="0" w:lastRowFirstColumn="0" w:lastRowLastColumn="0"/>
            <w:tcW w:w="1980" w:type="dxa"/>
          </w:tcPr>
          <w:p w14:paraId="3E315DE0" w14:textId="100B86BB" w:rsidR="00142622" w:rsidRPr="0053183F" w:rsidRDefault="00142622" w:rsidP="003E51EB">
            <w:pPr>
              <w:spacing w:line="259" w:lineRule="auto"/>
              <w:ind w:left="0"/>
              <w:contextualSpacing/>
              <w:rPr>
                <w:b w:val="0"/>
                <w:bCs/>
                <w:lang w:val="pl-PL"/>
              </w:rPr>
            </w:pPr>
            <w:r w:rsidRPr="0053183F">
              <w:rPr>
                <w:rFonts w:cstheme="minorHAnsi"/>
                <w:b w:val="0"/>
                <w:bCs/>
                <w:lang w:eastAsia="pl-PL"/>
              </w:rPr>
              <w:t xml:space="preserve">Działdowo – gmina miejska </w:t>
            </w:r>
          </w:p>
        </w:tc>
        <w:tc>
          <w:tcPr>
            <w:tcW w:w="1276" w:type="dxa"/>
          </w:tcPr>
          <w:p w14:paraId="06EB30FF" w14:textId="253C6C0F"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cstheme="minorHAnsi"/>
                <w:lang w:eastAsia="pl-PL"/>
              </w:rPr>
              <w:t>12,27</w:t>
            </w:r>
          </w:p>
        </w:tc>
        <w:tc>
          <w:tcPr>
            <w:tcW w:w="1134" w:type="dxa"/>
          </w:tcPr>
          <w:p w14:paraId="07C35938" w14:textId="1A0A30CD"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cstheme="minorHAnsi"/>
                <w:lang w:eastAsia="pl-PL"/>
              </w:rPr>
              <w:t>13,82</w:t>
            </w:r>
          </w:p>
        </w:tc>
        <w:tc>
          <w:tcPr>
            <w:tcW w:w="1134" w:type="dxa"/>
          </w:tcPr>
          <w:p w14:paraId="6C425DC2" w14:textId="13FEE88A"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cstheme="minorHAnsi"/>
                <w:lang w:eastAsia="pl-PL"/>
              </w:rPr>
              <w:t>12,98</w:t>
            </w:r>
          </w:p>
        </w:tc>
        <w:tc>
          <w:tcPr>
            <w:tcW w:w="1134" w:type="dxa"/>
          </w:tcPr>
          <w:p w14:paraId="4913BFF5" w14:textId="352BB539"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cstheme="minorHAnsi"/>
                <w:lang w:eastAsia="pl-PL"/>
              </w:rPr>
              <w:t>8,80</w:t>
            </w:r>
          </w:p>
        </w:tc>
        <w:tc>
          <w:tcPr>
            <w:tcW w:w="1134" w:type="dxa"/>
          </w:tcPr>
          <w:p w14:paraId="15B7E3D0" w14:textId="68D4234C"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cstheme="minorHAnsi"/>
                <w:lang w:eastAsia="pl-PL"/>
              </w:rPr>
              <w:t>9,91</w:t>
            </w:r>
          </w:p>
        </w:tc>
        <w:tc>
          <w:tcPr>
            <w:tcW w:w="1275" w:type="dxa"/>
          </w:tcPr>
          <w:p w14:paraId="4AAB52D1" w14:textId="2D5B016A"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t>11,56</w:t>
            </w:r>
          </w:p>
        </w:tc>
      </w:tr>
      <w:tr w:rsidR="00142622" w14:paraId="4CDFEF1E" w14:textId="77777777" w:rsidTr="00142622">
        <w:tc>
          <w:tcPr>
            <w:cnfStyle w:val="001000000000" w:firstRow="0" w:lastRow="0" w:firstColumn="1" w:lastColumn="0" w:oddVBand="0" w:evenVBand="0" w:oddHBand="0" w:evenHBand="0" w:firstRowFirstColumn="0" w:firstRowLastColumn="0" w:lastRowFirstColumn="0" w:lastRowLastColumn="0"/>
            <w:tcW w:w="1980" w:type="dxa"/>
          </w:tcPr>
          <w:p w14:paraId="5282B36D" w14:textId="1751FB14" w:rsidR="00142622" w:rsidRPr="0053183F" w:rsidRDefault="00142622" w:rsidP="003E51EB">
            <w:pPr>
              <w:spacing w:line="259" w:lineRule="auto"/>
              <w:ind w:left="0"/>
              <w:contextualSpacing/>
              <w:rPr>
                <w:b w:val="0"/>
                <w:bCs/>
                <w:lang w:val="pl-PL"/>
              </w:rPr>
            </w:pPr>
            <w:r w:rsidRPr="0053183F">
              <w:rPr>
                <w:rFonts w:cstheme="minorHAnsi"/>
                <w:b w:val="0"/>
                <w:bCs/>
                <w:lang w:eastAsia="pl-PL"/>
              </w:rPr>
              <w:t>Działdowo – gmin wiejska</w:t>
            </w:r>
          </w:p>
        </w:tc>
        <w:tc>
          <w:tcPr>
            <w:tcW w:w="1276" w:type="dxa"/>
          </w:tcPr>
          <w:p w14:paraId="7B2A4113" w14:textId="3F19F140"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cstheme="minorHAnsi"/>
                <w:lang w:eastAsia="pl-PL"/>
              </w:rPr>
              <w:t>12,16</w:t>
            </w:r>
          </w:p>
        </w:tc>
        <w:tc>
          <w:tcPr>
            <w:tcW w:w="1134" w:type="dxa"/>
          </w:tcPr>
          <w:p w14:paraId="1F0F65FF" w14:textId="61490CEC"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cstheme="minorHAnsi"/>
                <w:lang w:eastAsia="pl-PL"/>
              </w:rPr>
              <w:t>9,24</w:t>
            </w:r>
          </w:p>
        </w:tc>
        <w:tc>
          <w:tcPr>
            <w:tcW w:w="1134" w:type="dxa"/>
          </w:tcPr>
          <w:p w14:paraId="2CC8B749" w14:textId="4A81B06C"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cstheme="minorHAnsi"/>
                <w:lang w:eastAsia="pl-PL"/>
              </w:rPr>
              <w:t>3,41</w:t>
            </w:r>
          </w:p>
        </w:tc>
        <w:tc>
          <w:tcPr>
            <w:tcW w:w="1134" w:type="dxa"/>
          </w:tcPr>
          <w:p w14:paraId="2B2C4895" w14:textId="6C59EE48"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cstheme="minorHAnsi"/>
                <w:lang w:eastAsia="pl-PL"/>
              </w:rPr>
              <w:t>9,00</w:t>
            </w:r>
          </w:p>
        </w:tc>
        <w:tc>
          <w:tcPr>
            <w:tcW w:w="1134" w:type="dxa"/>
          </w:tcPr>
          <w:p w14:paraId="5CE94688" w14:textId="51173232"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cstheme="minorHAnsi"/>
                <w:lang w:eastAsia="pl-PL"/>
              </w:rPr>
              <w:t>9,14</w:t>
            </w:r>
          </w:p>
        </w:tc>
        <w:tc>
          <w:tcPr>
            <w:tcW w:w="1275" w:type="dxa"/>
          </w:tcPr>
          <w:p w14:paraId="7C43B767" w14:textId="01ED93B1"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t>8,59</w:t>
            </w:r>
          </w:p>
        </w:tc>
      </w:tr>
      <w:tr w:rsidR="00142622" w14:paraId="7C743176" w14:textId="77777777" w:rsidTr="00142622">
        <w:tc>
          <w:tcPr>
            <w:cnfStyle w:val="001000000000" w:firstRow="0" w:lastRow="0" w:firstColumn="1" w:lastColumn="0" w:oddVBand="0" w:evenVBand="0" w:oddHBand="0" w:evenHBand="0" w:firstRowFirstColumn="0" w:firstRowLastColumn="0" w:lastRowFirstColumn="0" w:lastRowLastColumn="0"/>
            <w:tcW w:w="1980" w:type="dxa"/>
          </w:tcPr>
          <w:p w14:paraId="45E51FC0" w14:textId="12479384" w:rsidR="00142622" w:rsidRPr="0053183F" w:rsidRDefault="00142622" w:rsidP="003E51EB">
            <w:pPr>
              <w:spacing w:line="259" w:lineRule="auto"/>
              <w:ind w:left="0"/>
              <w:contextualSpacing/>
              <w:rPr>
                <w:b w:val="0"/>
                <w:bCs/>
                <w:lang w:val="pl-PL"/>
              </w:rPr>
            </w:pPr>
            <w:r w:rsidRPr="0053183F">
              <w:rPr>
                <w:rFonts w:cstheme="minorHAnsi"/>
                <w:b w:val="0"/>
                <w:bCs/>
                <w:lang w:eastAsia="pl-PL"/>
              </w:rPr>
              <w:t>Dźwierzuty</w:t>
            </w:r>
          </w:p>
        </w:tc>
        <w:tc>
          <w:tcPr>
            <w:tcW w:w="1276" w:type="dxa"/>
          </w:tcPr>
          <w:p w14:paraId="01FFD807" w14:textId="5EF2FADB"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cstheme="minorHAnsi"/>
                <w:lang w:eastAsia="pl-PL"/>
              </w:rPr>
              <w:t>7,42</w:t>
            </w:r>
          </w:p>
        </w:tc>
        <w:tc>
          <w:tcPr>
            <w:tcW w:w="1134" w:type="dxa"/>
          </w:tcPr>
          <w:p w14:paraId="4F0F3EC3" w14:textId="2A8E947A"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cstheme="minorHAnsi"/>
                <w:lang w:eastAsia="pl-PL"/>
              </w:rPr>
              <w:t>8,02</w:t>
            </w:r>
          </w:p>
        </w:tc>
        <w:tc>
          <w:tcPr>
            <w:tcW w:w="1134" w:type="dxa"/>
          </w:tcPr>
          <w:p w14:paraId="16E79DDB" w14:textId="3AE2DBE5"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cstheme="minorHAnsi"/>
                <w:lang w:eastAsia="pl-PL"/>
              </w:rPr>
              <w:t>9,02</w:t>
            </w:r>
          </w:p>
        </w:tc>
        <w:tc>
          <w:tcPr>
            <w:tcW w:w="1134" w:type="dxa"/>
          </w:tcPr>
          <w:p w14:paraId="4E9F8AF6" w14:textId="2C1AB649"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cstheme="minorHAnsi"/>
                <w:lang w:eastAsia="pl-PL"/>
              </w:rPr>
              <w:t>8,14</w:t>
            </w:r>
          </w:p>
        </w:tc>
        <w:tc>
          <w:tcPr>
            <w:tcW w:w="1134" w:type="dxa"/>
          </w:tcPr>
          <w:p w14:paraId="59A2E63E" w14:textId="17CFDD0C"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cstheme="minorHAnsi"/>
                <w:lang w:eastAsia="pl-PL"/>
              </w:rPr>
              <w:t>8,90</w:t>
            </w:r>
          </w:p>
        </w:tc>
        <w:tc>
          <w:tcPr>
            <w:tcW w:w="1275" w:type="dxa"/>
          </w:tcPr>
          <w:p w14:paraId="5967C16C" w14:textId="1C5FD6A0"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t>8,30</w:t>
            </w:r>
          </w:p>
        </w:tc>
      </w:tr>
      <w:tr w:rsidR="00142622" w14:paraId="2A23AFF4" w14:textId="77777777" w:rsidTr="00142622">
        <w:tc>
          <w:tcPr>
            <w:cnfStyle w:val="001000000000" w:firstRow="0" w:lastRow="0" w:firstColumn="1" w:lastColumn="0" w:oddVBand="0" w:evenVBand="0" w:oddHBand="0" w:evenHBand="0" w:firstRowFirstColumn="0" w:firstRowLastColumn="0" w:lastRowFirstColumn="0" w:lastRowLastColumn="0"/>
            <w:tcW w:w="1980" w:type="dxa"/>
          </w:tcPr>
          <w:p w14:paraId="109A64EB" w14:textId="23B9739F" w:rsidR="00142622" w:rsidRPr="0053183F" w:rsidRDefault="00142622" w:rsidP="003E51EB">
            <w:pPr>
              <w:spacing w:line="259" w:lineRule="auto"/>
              <w:ind w:left="0"/>
              <w:contextualSpacing/>
              <w:rPr>
                <w:b w:val="0"/>
                <w:bCs/>
                <w:lang w:val="pl-PL"/>
              </w:rPr>
            </w:pPr>
            <w:r w:rsidRPr="0053183F">
              <w:rPr>
                <w:rFonts w:cstheme="minorHAnsi"/>
                <w:b w:val="0"/>
                <w:bCs/>
                <w:lang w:eastAsia="pl-PL"/>
              </w:rPr>
              <w:t>Iłowo-Osada</w:t>
            </w:r>
          </w:p>
        </w:tc>
        <w:tc>
          <w:tcPr>
            <w:tcW w:w="1276" w:type="dxa"/>
          </w:tcPr>
          <w:p w14:paraId="0E1E5853" w14:textId="1C9556C8"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cstheme="minorHAnsi"/>
                <w:lang w:eastAsia="pl-PL"/>
              </w:rPr>
              <w:t>5,73</w:t>
            </w:r>
          </w:p>
        </w:tc>
        <w:tc>
          <w:tcPr>
            <w:tcW w:w="1134" w:type="dxa"/>
          </w:tcPr>
          <w:p w14:paraId="3D2F3089" w14:textId="282EFD17"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cstheme="minorHAnsi"/>
                <w:lang w:eastAsia="pl-PL"/>
              </w:rPr>
              <w:t>11,26</w:t>
            </w:r>
          </w:p>
        </w:tc>
        <w:tc>
          <w:tcPr>
            <w:tcW w:w="1134" w:type="dxa"/>
          </w:tcPr>
          <w:p w14:paraId="5665BD14" w14:textId="2DB02B4E"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cstheme="minorHAnsi"/>
                <w:lang w:eastAsia="pl-PL"/>
              </w:rPr>
              <w:t>6,77</w:t>
            </w:r>
          </w:p>
        </w:tc>
        <w:tc>
          <w:tcPr>
            <w:tcW w:w="1134" w:type="dxa"/>
          </w:tcPr>
          <w:p w14:paraId="181382C8" w14:textId="5A7A21E8"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cstheme="minorHAnsi"/>
                <w:lang w:eastAsia="pl-PL"/>
              </w:rPr>
              <w:t>7,85</w:t>
            </w:r>
          </w:p>
        </w:tc>
        <w:tc>
          <w:tcPr>
            <w:tcW w:w="1134" w:type="dxa"/>
          </w:tcPr>
          <w:p w14:paraId="3F8CF651" w14:textId="1A73A191"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cstheme="minorHAnsi"/>
                <w:lang w:eastAsia="pl-PL"/>
              </w:rPr>
              <w:t>10,59</w:t>
            </w:r>
          </w:p>
        </w:tc>
        <w:tc>
          <w:tcPr>
            <w:tcW w:w="1275" w:type="dxa"/>
          </w:tcPr>
          <w:p w14:paraId="1DD25C17" w14:textId="6109FACF"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t>8,44</w:t>
            </w:r>
          </w:p>
        </w:tc>
      </w:tr>
      <w:tr w:rsidR="00142622" w14:paraId="31630E42" w14:textId="77777777" w:rsidTr="00142622">
        <w:tc>
          <w:tcPr>
            <w:cnfStyle w:val="001000000000" w:firstRow="0" w:lastRow="0" w:firstColumn="1" w:lastColumn="0" w:oddVBand="0" w:evenVBand="0" w:oddHBand="0" w:evenHBand="0" w:firstRowFirstColumn="0" w:firstRowLastColumn="0" w:lastRowFirstColumn="0" w:lastRowLastColumn="0"/>
            <w:tcW w:w="1980" w:type="dxa"/>
          </w:tcPr>
          <w:p w14:paraId="3621F610" w14:textId="56E7CDCF" w:rsidR="00142622" w:rsidRPr="0053183F" w:rsidRDefault="00142622" w:rsidP="003E51EB">
            <w:pPr>
              <w:spacing w:line="259" w:lineRule="auto"/>
              <w:ind w:left="0"/>
              <w:contextualSpacing/>
              <w:rPr>
                <w:b w:val="0"/>
                <w:bCs/>
                <w:lang w:val="pl-PL"/>
              </w:rPr>
            </w:pPr>
            <w:r w:rsidRPr="0053183F">
              <w:rPr>
                <w:rFonts w:cstheme="minorHAnsi"/>
                <w:b w:val="0"/>
                <w:bCs/>
                <w:lang w:eastAsia="pl-PL"/>
              </w:rPr>
              <w:t>Janowiec Kościelny</w:t>
            </w:r>
          </w:p>
        </w:tc>
        <w:tc>
          <w:tcPr>
            <w:tcW w:w="1276" w:type="dxa"/>
          </w:tcPr>
          <w:p w14:paraId="4FE99628" w14:textId="15CF6CA5"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cstheme="minorHAnsi"/>
                <w:lang w:eastAsia="pl-PL"/>
              </w:rPr>
              <w:t>3,54</w:t>
            </w:r>
          </w:p>
        </w:tc>
        <w:tc>
          <w:tcPr>
            <w:tcW w:w="1134" w:type="dxa"/>
          </w:tcPr>
          <w:p w14:paraId="4F326E46" w14:textId="5187C5BD"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cstheme="minorHAnsi"/>
                <w:lang w:eastAsia="pl-PL"/>
              </w:rPr>
              <w:t>6,36</w:t>
            </w:r>
          </w:p>
        </w:tc>
        <w:tc>
          <w:tcPr>
            <w:tcW w:w="1134" w:type="dxa"/>
          </w:tcPr>
          <w:p w14:paraId="5CBD42ED" w14:textId="60B9CEA8"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cstheme="minorHAnsi"/>
                <w:lang w:eastAsia="pl-PL"/>
              </w:rPr>
              <w:t>9,78</w:t>
            </w:r>
          </w:p>
        </w:tc>
        <w:tc>
          <w:tcPr>
            <w:tcW w:w="1134" w:type="dxa"/>
          </w:tcPr>
          <w:p w14:paraId="63BD7395" w14:textId="5339EB8E"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cstheme="minorHAnsi"/>
                <w:lang w:eastAsia="pl-PL"/>
              </w:rPr>
              <w:t>6,01</w:t>
            </w:r>
          </w:p>
        </w:tc>
        <w:tc>
          <w:tcPr>
            <w:tcW w:w="1134" w:type="dxa"/>
          </w:tcPr>
          <w:p w14:paraId="76081423" w14:textId="700E8F55"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cstheme="minorHAnsi"/>
                <w:lang w:eastAsia="pl-PL"/>
              </w:rPr>
              <w:t>5,57</w:t>
            </w:r>
          </w:p>
        </w:tc>
        <w:tc>
          <w:tcPr>
            <w:tcW w:w="1275" w:type="dxa"/>
          </w:tcPr>
          <w:p w14:paraId="2EF969F8" w14:textId="799DAD88"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t>6,25</w:t>
            </w:r>
          </w:p>
        </w:tc>
      </w:tr>
      <w:tr w:rsidR="00142622" w14:paraId="72D89AB4" w14:textId="77777777" w:rsidTr="00142622">
        <w:tc>
          <w:tcPr>
            <w:cnfStyle w:val="001000000000" w:firstRow="0" w:lastRow="0" w:firstColumn="1" w:lastColumn="0" w:oddVBand="0" w:evenVBand="0" w:oddHBand="0" w:evenHBand="0" w:firstRowFirstColumn="0" w:firstRowLastColumn="0" w:lastRowFirstColumn="0" w:lastRowLastColumn="0"/>
            <w:tcW w:w="1980" w:type="dxa"/>
          </w:tcPr>
          <w:p w14:paraId="4026D889" w14:textId="31172BC6" w:rsidR="00142622" w:rsidRPr="0053183F" w:rsidRDefault="00142622" w:rsidP="003E51EB">
            <w:pPr>
              <w:spacing w:line="259" w:lineRule="auto"/>
              <w:ind w:left="0"/>
              <w:contextualSpacing/>
              <w:rPr>
                <w:b w:val="0"/>
                <w:bCs/>
                <w:lang w:val="pl-PL"/>
              </w:rPr>
            </w:pPr>
            <w:r w:rsidRPr="0053183F">
              <w:rPr>
                <w:rFonts w:cstheme="minorHAnsi"/>
                <w:b w:val="0"/>
                <w:bCs/>
                <w:lang w:eastAsia="pl-PL"/>
              </w:rPr>
              <w:t>Janowo</w:t>
            </w:r>
          </w:p>
        </w:tc>
        <w:tc>
          <w:tcPr>
            <w:tcW w:w="1276" w:type="dxa"/>
          </w:tcPr>
          <w:p w14:paraId="2D4DE274" w14:textId="60F71E06"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cstheme="minorHAnsi"/>
                <w:lang w:eastAsia="pl-PL"/>
              </w:rPr>
              <w:t>12,45</w:t>
            </w:r>
          </w:p>
        </w:tc>
        <w:tc>
          <w:tcPr>
            <w:tcW w:w="1134" w:type="dxa"/>
          </w:tcPr>
          <w:p w14:paraId="1FF53816" w14:textId="0347B6E2"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cstheme="minorHAnsi"/>
                <w:lang w:eastAsia="pl-PL"/>
              </w:rPr>
              <w:t>3,80</w:t>
            </w:r>
          </w:p>
        </w:tc>
        <w:tc>
          <w:tcPr>
            <w:tcW w:w="1134" w:type="dxa"/>
          </w:tcPr>
          <w:p w14:paraId="1D756375" w14:textId="713FA263"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cstheme="minorHAnsi"/>
                <w:lang w:eastAsia="pl-PL"/>
              </w:rPr>
              <w:t>0,25</w:t>
            </w:r>
          </w:p>
        </w:tc>
        <w:tc>
          <w:tcPr>
            <w:tcW w:w="1134" w:type="dxa"/>
          </w:tcPr>
          <w:p w14:paraId="3B755393" w14:textId="3145A934"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cstheme="minorHAnsi"/>
                <w:lang w:eastAsia="pl-PL"/>
              </w:rPr>
              <w:t>0,91</w:t>
            </w:r>
          </w:p>
        </w:tc>
        <w:tc>
          <w:tcPr>
            <w:tcW w:w="1134" w:type="dxa"/>
          </w:tcPr>
          <w:p w14:paraId="1F14009A" w14:textId="5878F666"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cstheme="minorHAnsi"/>
                <w:lang w:eastAsia="pl-PL"/>
              </w:rPr>
              <w:t>2,23</w:t>
            </w:r>
          </w:p>
        </w:tc>
        <w:tc>
          <w:tcPr>
            <w:tcW w:w="1275" w:type="dxa"/>
          </w:tcPr>
          <w:p w14:paraId="5D67D163" w14:textId="33917DF9"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t>3,93</w:t>
            </w:r>
          </w:p>
        </w:tc>
      </w:tr>
      <w:tr w:rsidR="00142622" w14:paraId="64DE3CBE" w14:textId="77777777" w:rsidTr="00142622">
        <w:tc>
          <w:tcPr>
            <w:cnfStyle w:val="001000000000" w:firstRow="0" w:lastRow="0" w:firstColumn="1" w:lastColumn="0" w:oddVBand="0" w:evenVBand="0" w:oddHBand="0" w:evenHBand="0" w:firstRowFirstColumn="0" w:firstRowLastColumn="0" w:lastRowFirstColumn="0" w:lastRowLastColumn="0"/>
            <w:tcW w:w="1980" w:type="dxa"/>
          </w:tcPr>
          <w:p w14:paraId="7AB3E020" w14:textId="6F9A87E8" w:rsidR="00142622" w:rsidRPr="0053183F" w:rsidRDefault="00142622" w:rsidP="003E51EB">
            <w:pPr>
              <w:spacing w:line="259" w:lineRule="auto"/>
              <w:ind w:left="0"/>
              <w:contextualSpacing/>
              <w:rPr>
                <w:b w:val="0"/>
                <w:bCs/>
                <w:lang w:val="pl-PL"/>
              </w:rPr>
            </w:pPr>
            <w:r w:rsidRPr="0053183F">
              <w:rPr>
                <w:rFonts w:cstheme="minorHAnsi"/>
                <w:b w:val="0"/>
                <w:bCs/>
                <w:lang w:eastAsia="pl-PL"/>
              </w:rPr>
              <w:t>Jedwabno</w:t>
            </w:r>
          </w:p>
        </w:tc>
        <w:tc>
          <w:tcPr>
            <w:tcW w:w="1276" w:type="dxa"/>
          </w:tcPr>
          <w:p w14:paraId="61AA2BD3" w14:textId="165CAFF1"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cstheme="minorHAnsi"/>
                <w:lang w:eastAsia="pl-PL"/>
              </w:rPr>
              <w:t>10,75</w:t>
            </w:r>
          </w:p>
        </w:tc>
        <w:tc>
          <w:tcPr>
            <w:tcW w:w="1134" w:type="dxa"/>
          </w:tcPr>
          <w:p w14:paraId="586035C3" w14:textId="7CD67050"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cstheme="minorHAnsi"/>
                <w:lang w:eastAsia="pl-PL"/>
              </w:rPr>
              <w:t>7,58</w:t>
            </w:r>
          </w:p>
        </w:tc>
        <w:tc>
          <w:tcPr>
            <w:tcW w:w="1134" w:type="dxa"/>
          </w:tcPr>
          <w:p w14:paraId="7DFB5A32" w14:textId="499F9D01"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cstheme="minorHAnsi"/>
                <w:lang w:eastAsia="pl-PL"/>
              </w:rPr>
              <w:t>6,99</w:t>
            </w:r>
          </w:p>
        </w:tc>
        <w:tc>
          <w:tcPr>
            <w:tcW w:w="1134" w:type="dxa"/>
          </w:tcPr>
          <w:p w14:paraId="2EC020A2" w14:textId="0B571798"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cstheme="minorHAnsi"/>
                <w:lang w:eastAsia="pl-PL"/>
              </w:rPr>
              <w:t>6,52</w:t>
            </w:r>
          </w:p>
        </w:tc>
        <w:tc>
          <w:tcPr>
            <w:tcW w:w="1134" w:type="dxa"/>
          </w:tcPr>
          <w:p w14:paraId="1BB0B30E" w14:textId="2730C8BC"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cstheme="minorHAnsi"/>
                <w:lang w:eastAsia="pl-PL"/>
              </w:rPr>
              <w:t>7,36</w:t>
            </w:r>
          </w:p>
        </w:tc>
        <w:tc>
          <w:tcPr>
            <w:tcW w:w="1275" w:type="dxa"/>
          </w:tcPr>
          <w:p w14:paraId="64D1EF82" w14:textId="159195B6"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t>7,84</w:t>
            </w:r>
          </w:p>
        </w:tc>
      </w:tr>
      <w:tr w:rsidR="00142622" w14:paraId="10A3EF31" w14:textId="77777777" w:rsidTr="00142622">
        <w:tc>
          <w:tcPr>
            <w:cnfStyle w:val="001000000000" w:firstRow="0" w:lastRow="0" w:firstColumn="1" w:lastColumn="0" w:oddVBand="0" w:evenVBand="0" w:oddHBand="0" w:evenHBand="0" w:firstRowFirstColumn="0" w:firstRowLastColumn="0" w:lastRowFirstColumn="0" w:lastRowLastColumn="0"/>
            <w:tcW w:w="1980" w:type="dxa"/>
          </w:tcPr>
          <w:p w14:paraId="3CCD4227" w14:textId="0D29308D" w:rsidR="00142622" w:rsidRPr="0053183F" w:rsidRDefault="00142622" w:rsidP="003E51EB">
            <w:pPr>
              <w:spacing w:line="259" w:lineRule="auto"/>
              <w:ind w:left="0"/>
              <w:contextualSpacing/>
              <w:rPr>
                <w:b w:val="0"/>
                <w:bCs/>
                <w:lang w:val="pl-PL"/>
              </w:rPr>
            </w:pPr>
            <w:r w:rsidRPr="0053183F">
              <w:rPr>
                <w:rFonts w:cstheme="minorHAnsi"/>
                <w:b w:val="0"/>
                <w:bCs/>
                <w:lang w:eastAsia="pl-PL"/>
              </w:rPr>
              <w:t>Kozłowo</w:t>
            </w:r>
          </w:p>
        </w:tc>
        <w:tc>
          <w:tcPr>
            <w:tcW w:w="1276" w:type="dxa"/>
          </w:tcPr>
          <w:p w14:paraId="296FB90C" w14:textId="00384501"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cstheme="minorHAnsi"/>
                <w:lang w:eastAsia="pl-PL"/>
              </w:rPr>
              <w:t>4,89</w:t>
            </w:r>
          </w:p>
        </w:tc>
        <w:tc>
          <w:tcPr>
            <w:tcW w:w="1134" w:type="dxa"/>
          </w:tcPr>
          <w:p w14:paraId="3E1AC3E5" w14:textId="09BBD82F"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cstheme="minorHAnsi"/>
                <w:lang w:eastAsia="pl-PL"/>
              </w:rPr>
              <w:t>4,94</w:t>
            </w:r>
          </w:p>
        </w:tc>
        <w:tc>
          <w:tcPr>
            <w:tcW w:w="1134" w:type="dxa"/>
          </w:tcPr>
          <w:p w14:paraId="23DA0D6C" w14:textId="06614BFC"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cstheme="minorHAnsi"/>
                <w:lang w:eastAsia="pl-PL"/>
              </w:rPr>
              <w:t>9,05</w:t>
            </w:r>
          </w:p>
        </w:tc>
        <w:tc>
          <w:tcPr>
            <w:tcW w:w="1134" w:type="dxa"/>
          </w:tcPr>
          <w:p w14:paraId="7F41AAEB" w14:textId="5DACBA48"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cstheme="minorHAnsi"/>
                <w:lang w:eastAsia="pl-PL"/>
              </w:rPr>
              <w:t>4,98</w:t>
            </w:r>
          </w:p>
        </w:tc>
        <w:tc>
          <w:tcPr>
            <w:tcW w:w="1134" w:type="dxa"/>
          </w:tcPr>
          <w:p w14:paraId="1546EC8A" w14:textId="4673527F"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cstheme="minorHAnsi"/>
                <w:lang w:eastAsia="pl-PL"/>
              </w:rPr>
              <w:t>5,00</w:t>
            </w:r>
          </w:p>
        </w:tc>
        <w:tc>
          <w:tcPr>
            <w:tcW w:w="1275" w:type="dxa"/>
          </w:tcPr>
          <w:p w14:paraId="5CED24A6" w14:textId="5130AC20"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t>5,77</w:t>
            </w:r>
          </w:p>
        </w:tc>
      </w:tr>
      <w:tr w:rsidR="00142622" w14:paraId="5048A4C1" w14:textId="77777777" w:rsidTr="00142622">
        <w:tc>
          <w:tcPr>
            <w:cnfStyle w:val="001000000000" w:firstRow="0" w:lastRow="0" w:firstColumn="1" w:lastColumn="0" w:oddVBand="0" w:evenVBand="0" w:oddHBand="0" w:evenHBand="0" w:firstRowFirstColumn="0" w:firstRowLastColumn="0" w:lastRowFirstColumn="0" w:lastRowLastColumn="0"/>
            <w:tcW w:w="1980" w:type="dxa"/>
          </w:tcPr>
          <w:p w14:paraId="7C1BDA14" w14:textId="5348273C" w:rsidR="00142622" w:rsidRPr="0053183F" w:rsidRDefault="00142622" w:rsidP="003E51EB">
            <w:pPr>
              <w:spacing w:line="259" w:lineRule="auto"/>
              <w:ind w:left="0"/>
              <w:contextualSpacing/>
              <w:rPr>
                <w:b w:val="0"/>
                <w:bCs/>
                <w:lang w:val="pl-PL"/>
              </w:rPr>
            </w:pPr>
            <w:r w:rsidRPr="0053183F">
              <w:rPr>
                <w:rFonts w:cstheme="minorHAnsi"/>
                <w:b w:val="0"/>
                <w:bCs/>
                <w:lang w:eastAsia="pl-PL"/>
              </w:rPr>
              <w:t>Lidzbark</w:t>
            </w:r>
          </w:p>
        </w:tc>
        <w:tc>
          <w:tcPr>
            <w:tcW w:w="1276" w:type="dxa"/>
          </w:tcPr>
          <w:p w14:paraId="538A22B5" w14:textId="1215F9F3"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cstheme="minorHAnsi"/>
                <w:lang w:eastAsia="pl-PL"/>
              </w:rPr>
              <w:t>13,19</w:t>
            </w:r>
          </w:p>
        </w:tc>
        <w:tc>
          <w:tcPr>
            <w:tcW w:w="1134" w:type="dxa"/>
          </w:tcPr>
          <w:p w14:paraId="756253E4" w14:textId="702287E3"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cstheme="minorHAnsi"/>
                <w:lang w:eastAsia="pl-PL"/>
              </w:rPr>
              <w:t>9,36</w:t>
            </w:r>
          </w:p>
        </w:tc>
        <w:tc>
          <w:tcPr>
            <w:tcW w:w="1134" w:type="dxa"/>
          </w:tcPr>
          <w:p w14:paraId="58393F5F" w14:textId="77C3FA89"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cstheme="minorHAnsi"/>
                <w:lang w:eastAsia="pl-PL"/>
              </w:rPr>
              <w:t>8,40</w:t>
            </w:r>
          </w:p>
        </w:tc>
        <w:tc>
          <w:tcPr>
            <w:tcW w:w="1134" w:type="dxa"/>
          </w:tcPr>
          <w:p w14:paraId="27410EEF" w14:textId="346F4957"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cstheme="minorHAnsi"/>
                <w:lang w:eastAsia="pl-PL"/>
              </w:rPr>
              <w:t>8,94</w:t>
            </w:r>
          </w:p>
        </w:tc>
        <w:tc>
          <w:tcPr>
            <w:tcW w:w="1134" w:type="dxa"/>
          </w:tcPr>
          <w:p w14:paraId="05E69E20" w14:textId="2C5D53EA"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cstheme="minorHAnsi"/>
                <w:lang w:eastAsia="pl-PL"/>
              </w:rPr>
              <w:t>7,86</w:t>
            </w:r>
          </w:p>
        </w:tc>
        <w:tc>
          <w:tcPr>
            <w:tcW w:w="1275" w:type="dxa"/>
          </w:tcPr>
          <w:p w14:paraId="7B4CE70C" w14:textId="13691286"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t>9,55</w:t>
            </w:r>
          </w:p>
        </w:tc>
      </w:tr>
      <w:tr w:rsidR="00142622" w14:paraId="24A8267A" w14:textId="77777777" w:rsidTr="00142622">
        <w:tc>
          <w:tcPr>
            <w:cnfStyle w:val="001000000000" w:firstRow="0" w:lastRow="0" w:firstColumn="1" w:lastColumn="0" w:oddVBand="0" w:evenVBand="0" w:oddHBand="0" w:evenHBand="0" w:firstRowFirstColumn="0" w:firstRowLastColumn="0" w:lastRowFirstColumn="0" w:lastRowLastColumn="0"/>
            <w:tcW w:w="1980" w:type="dxa"/>
          </w:tcPr>
          <w:p w14:paraId="0DE56173" w14:textId="40F86257" w:rsidR="00142622" w:rsidRPr="0053183F" w:rsidRDefault="00142622" w:rsidP="003E51EB">
            <w:pPr>
              <w:spacing w:line="259" w:lineRule="auto"/>
              <w:ind w:left="0"/>
              <w:contextualSpacing/>
              <w:rPr>
                <w:b w:val="0"/>
                <w:bCs/>
                <w:lang w:val="pl-PL"/>
              </w:rPr>
            </w:pPr>
            <w:r w:rsidRPr="0053183F">
              <w:rPr>
                <w:rFonts w:cstheme="minorHAnsi"/>
                <w:b w:val="0"/>
                <w:bCs/>
                <w:lang w:eastAsia="pl-PL"/>
              </w:rPr>
              <w:t>Nidzica</w:t>
            </w:r>
          </w:p>
        </w:tc>
        <w:tc>
          <w:tcPr>
            <w:tcW w:w="1276" w:type="dxa"/>
          </w:tcPr>
          <w:p w14:paraId="33D82A62" w14:textId="13E17E46"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cstheme="minorHAnsi"/>
                <w:lang w:eastAsia="pl-PL"/>
              </w:rPr>
              <w:t>10,32</w:t>
            </w:r>
          </w:p>
        </w:tc>
        <w:tc>
          <w:tcPr>
            <w:tcW w:w="1134" w:type="dxa"/>
          </w:tcPr>
          <w:p w14:paraId="06DEAE86" w14:textId="4CB5EEAA"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cstheme="minorHAnsi"/>
                <w:lang w:eastAsia="pl-PL"/>
              </w:rPr>
              <w:t>11,13</w:t>
            </w:r>
          </w:p>
        </w:tc>
        <w:tc>
          <w:tcPr>
            <w:tcW w:w="1134" w:type="dxa"/>
          </w:tcPr>
          <w:p w14:paraId="27D9F1A5" w14:textId="7A91C22D"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cstheme="minorHAnsi"/>
                <w:lang w:eastAsia="pl-PL"/>
              </w:rPr>
              <w:t>6,30</w:t>
            </w:r>
          </w:p>
        </w:tc>
        <w:tc>
          <w:tcPr>
            <w:tcW w:w="1134" w:type="dxa"/>
          </w:tcPr>
          <w:p w14:paraId="6F180BCC" w14:textId="44D3310F"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cstheme="minorHAnsi"/>
                <w:lang w:eastAsia="pl-PL"/>
              </w:rPr>
              <w:t>4,33</w:t>
            </w:r>
          </w:p>
        </w:tc>
        <w:tc>
          <w:tcPr>
            <w:tcW w:w="1134" w:type="dxa"/>
          </w:tcPr>
          <w:p w14:paraId="08898E8B" w14:textId="750DD7E6"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cstheme="minorHAnsi"/>
                <w:lang w:eastAsia="pl-PL"/>
              </w:rPr>
              <w:t>7,15</w:t>
            </w:r>
          </w:p>
        </w:tc>
        <w:tc>
          <w:tcPr>
            <w:tcW w:w="1275" w:type="dxa"/>
          </w:tcPr>
          <w:p w14:paraId="202E20AC" w14:textId="2F208F63"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t>7,85</w:t>
            </w:r>
          </w:p>
        </w:tc>
      </w:tr>
      <w:tr w:rsidR="00142622" w14:paraId="0D6330C8" w14:textId="77777777" w:rsidTr="00142622">
        <w:tc>
          <w:tcPr>
            <w:cnfStyle w:val="001000000000" w:firstRow="0" w:lastRow="0" w:firstColumn="1" w:lastColumn="0" w:oddVBand="0" w:evenVBand="0" w:oddHBand="0" w:evenHBand="0" w:firstRowFirstColumn="0" w:firstRowLastColumn="0" w:lastRowFirstColumn="0" w:lastRowLastColumn="0"/>
            <w:tcW w:w="1980" w:type="dxa"/>
          </w:tcPr>
          <w:p w14:paraId="61D8CE71" w14:textId="0F29941F" w:rsidR="00142622" w:rsidRPr="0053183F" w:rsidRDefault="00142622" w:rsidP="003E51EB">
            <w:pPr>
              <w:spacing w:line="259" w:lineRule="auto"/>
              <w:ind w:left="0"/>
              <w:contextualSpacing/>
              <w:rPr>
                <w:b w:val="0"/>
                <w:bCs/>
                <w:lang w:val="pl-PL"/>
              </w:rPr>
            </w:pPr>
            <w:r w:rsidRPr="0053183F">
              <w:rPr>
                <w:rFonts w:cstheme="minorHAnsi"/>
                <w:b w:val="0"/>
                <w:bCs/>
                <w:lang w:eastAsia="pl-PL"/>
              </w:rPr>
              <w:t>Orzysz</w:t>
            </w:r>
          </w:p>
        </w:tc>
        <w:tc>
          <w:tcPr>
            <w:tcW w:w="1276" w:type="dxa"/>
          </w:tcPr>
          <w:p w14:paraId="5574A0C3" w14:textId="492423DB"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cstheme="minorHAnsi"/>
                <w:lang w:eastAsia="pl-PL"/>
              </w:rPr>
              <w:t>4,10</w:t>
            </w:r>
          </w:p>
        </w:tc>
        <w:tc>
          <w:tcPr>
            <w:tcW w:w="1134" w:type="dxa"/>
          </w:tcPr>
          <w:p w14:paraId="76483F44" w14:textId="0A80640D"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cstheme="minorHAnsi"/>
                <w:lang w:eastAsia="pl-PL"/>
              </w:rPr>
              <w:t>4,25</w:t>
            </w:r>
          </w:p>
        </w:tc>
        <w:tc>
          <w:tcPr>
            <w:tcW w:w="1134" w:type="dxa"/>
          </w:tcPr>
          <w:p w14:paraId="4CAFF928" w14:textId="7A8AF1E1"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cstheme="minorHAnsi"/>
                <w:lang w:eastAsia="pl-PL"/>
              </w:rPr>
              <w:t>5,98</w:t>
            </w:r>
          </w:p>
        </w:tc>
        <w:tc>
          <w:tcPr>
            <w:tcW w:w="1134" w:type="dxa"/>
          </w:tcPr>
          <w:p w14:paraId="15F64B46" w14:textId="3F6E368E"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cstheme="minorHAnsi"/>
                <w:lang w:eastAsia="pl-PL"/>
              </w:rPr>
              <w:t>3,99</w:t>
            </w:r>
          </w:p>
        </w:tc>
        <w:tc>
          <w:tcPr>
            <w:tcW w:w="1134" w:type="dxa"/>
          </w:tcPr>
          <w:p w14:paraId="24B28ACF" w14:textId="022FBC22"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cstheme="minorHAnsi"/>
                <w:lang w:eastAsia="pl-PL"/>
              </w:rPr>
              <w:t>8,10</w:t>
            </w:r>
          </w:p>
        </w:tc>
        <w:tc>
          <w:tcPr>
            <w:tcW w:w="1275" w:type="dxa"/>
          </w:tcPr>
          <w:p w14:paraId="7083DA86" w14:textId="7C510FF5"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t>5,28</w:t>
            </w:r>
          </w:p>
        </w:tc>
      </w:tr>
      <w:tr w:rsidR="00142622" w14:paraId="0CCE3A33" w14:textId="77777777" w:rsidTr="00142622">
        <w:tc>
          <w:tcPr>
            <w:cnfStyle w:val="001000000000" w:firstRow="0" w:lastRow="0" w:firstColumn="1" w:lastColumn="0" w:oddVBand="0" w:evenVBand="0" w:oddHBand="0" w:evenHBand="0" w:firstRowFirstColumn="0" w:firstRowLastColumn="0" w:lastRowFirstColumn="0" w:lastRowLastColumn="0"/>
            <w:tcW w:w="1980" w:type="dxa"/>
          </w:tcPr>
          <w:p w14:paraId="315323ED" w14:textId="4CDE1F45" w:rsidR="00142622" w:rsidRPr="0053183F" w:rsidRDefault="00142622" w:rsidP="003E51EB">
            <w:pPr>
              <w:spacing w:line="259" w:lineRule="auto"/>
              <w:ind w:left="0"/>
              <w:contextualSpacing/>
              <w:rPr>
                <w:b w:val="0"/>
                <w:bCs/>
                <w:lang w:val="pl-PL"/>
              </w:rPr>
            </w:pPr>
            <w:r w:rsidRPr="0053183F">
              <w:rPr>
                <w:rFonts w:cstheme="minorHAnsi"/>
                <w:b w:val="0"/>
                <w:bCs/>
                <w:lang w:eastAsia="pl-PL"/>
              </w:rPr>
              <w:t>Pasym</w:t>
            </w:r>
          </w:p>
        </w:tc>
        <w:tc>
          <w:tcPr>
            <w:tcW w:w="1276" w:type="dxa"/>
          </w:tcPr>
          <w:p w14:paraId="5D960892" w14:textId="00626ED1"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cstheme="minorHAnsi"/>
                <w:lang w:eastAsia="pl-PL"/>
              </w:rPr>
              <w:t>7,00</w:t>
            </w:r>
          </w:p>
        </w:tc>
        <w:tc>
          <w:tcPr>
            <w:tcW w:w="1134" w:type="dxa"/>
          </w:tcPr>
          <w:p w14:paraId="5FD3C232" w14:textId="5B41E5BF"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cstheme="minorHAnsi"/>
                <w:lang w:eastAsia="pl-PL"/>
              </w:rPr>
              <w:t>10,39</w:t>
            </w:r>
          </w:p>
        </w:tc>
        <w:tc>
          <w:tcPr>
            <w:tcW w:w="1134" w:type="dxa"/>
          </w:tcPr>
          <w:p w14:paraId="59CDED5A" w14:textId="0A17B578"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cstheme="minorHAnsi"/>
                <w:lang w:eastAsia="pl-PL"/>
              </w:rPr>
              <w:t>11,92</w:t>
            </w:r>
          </w:p>
        </w:tc>
        <w:tc>
          <w:tcPr>
            <w:tcW w:w="1134" w:type="dxa"/>
          </w:tcPr>
          <w:p w14:paraId="4C1772D5" w14:textId="4A997FBB"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cstheme="minorHAnsi"/>
                <w:lang w:eastAsia="pl-PL"/>
              </w:rPr>
              <w:t>6,83</w:t>
            </w:r>
          </w:p>
        </w:tc>
        <w:tc>
          <w:tcPr>
            <w:tcW w:w="1134" w:type="dxa"/>
          </w:tcPr>
          <w:p w14:paraId="3A9D26C0" w14:textId="7DC5F92E"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cstheme="minorHAnsi"/>
                <w:lang w:eastAsia="pl-PL"/>
              </w:rPr>
              <w:t>4,12</w:t>
            </w:r>
          </w:p>
        </w:tc>
        <w:tc>
          <w:tcPr>
            <w:tcW w:w="1275" w:type="dxa"/>
          </w:tcPr>
          <w:p w14:paraId="39E477A1" w14:textId="2EF54828"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t>8,05</w:t>
            </w:r>
          </w:p>
        </w:tc>
      </w:tr>
      <w:tr w:rsidR="00142622" w14:paraId="4CC9F100" w14:textId="77777777" w:rsidTr="00142622">
        <w:tc>
          <w:tcPr>
            <w:cnfStyle w:val="001000000000" w:firstRow="0" w:lastRow="0" w:firstColumn="1" w:lastColumn="0" w:oddVBand="0" w:evenVBand="0" w:oddHBand="0" w:evenHBand="0" w:firstRowFirstColumn="0" w:firstRowLastColumn="0" w:lastRowFirstColumn="0" w:lastRowLastColumn="0"/>
            <w:tcW w:w="1980" w:type="dxa"/>
          </w:tcPr>
          <w:p w14:paraId="5E9B80C8" w14:textId="12DDF67C" w:rsidR="00142622" w:rsidRPr="0053183F" w:rsidRDefault="00142622" w:rsidP="003E51EB">
            <w:pPr>
              <w:spacing w:line="259" w:lineRule="auto"/>
              <w:ind w:left="0"/>
              <w:contextualSpacing/>
              <w:rPr>
                <w:b w:val="0"/>
                <w:bCs/>
                <w:lang w:val="pl-PL"/>
              </w:rPr>
            </w:pPr>
            <w:r w:rsidRPr="0053183F">
              <w:rPr>
                <w:rFonts w:cstheme="minorHAnsi"/>
                <w:b w:val="0"/>
                <w:bCs/>
                <w:lang w:eastAsia="pl-PL"/>
              </w:rPr>
              <w:t>Pisz</w:t>
            </w:r>
          </w:p>
        </w:tc>
        <w:tc>
          <w:tcPr>
            <w:tcW w:w="1276" w:type="dxa"/>
          </w:tcPr>
          <w:p w14:paraId="0EA852B9" w14:textId="68459F41"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cstheme="minorHAnsi"/>
                <w:lang w:eastAsia="pl-PL"/>
              </w:rPr>
              <w:t>11,30</w:t>
            </w:r>
          </w:p>
        </w:tc>
        <w:tc>
          <w:tcPr>
            <w:tcW w:w="1134" w:type="dxa"/>
          </w:tcPr>
          <w:p w14:paraId="6A7A436B" w14:textId="51FB60E5"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cstheme="minorHAnsi"/>
                <w:lang w:eastAsia="pl-PL"/>
              </w:rPr>
              <w:t>11,60</w:t>
            </w:r>
          </w:p>
        </w:tc>
        <w:tc>
          <w:tcPr>
            <w:tcW w:w="1134" w:type="dxa"/>
          </w:tcPr>
          <w:p w14:paraId="6F795342" w14:textId="33C11AB1"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cstheme="minorHAnsi"/>
                <w:lang w:eastAsia="pl-PL"/>
              </w:rPr>
              <w:t>12,02</w:t>
            </w:r>
          </w:p>
        </w:tc>
        <w:tc>
          <w:tcPr>
            <w:tcW w:w="1134" w:type="dxa"/>
          </w:tcPr>
          <w:p w14:paraId="1C7C00B1" w14:textId="1229C88D"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cstheme="minorHAnsi"/>
                <w:lang w:eastAsia="pl-PL"/>
              </w:rPr>
              <w:t>14,98</w:t>
            </w:r>
          </w:p>
        </w:tc>
        <w:tc>
          <w:tcPr>
            <w:tcW w:w="1134" w:type="dxa"/>
          </w:tcPr>
          <w:p w14:paraId="5C334790" w14:textId="67FF914D"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cstheme="minorHAnsi"/>
                <w:lang w:eastAsia="pl-PL"/>
              </w:rPr>
              <w:t>16,09</w:t>
            </w:r>
          </w:p>
        </w:tc>
        <w:tc>
          <w:tcPr>
            <w:tcW w:w="1275" w:type="dxa"/>
          </w:tcPr>
          <w:p w14:paraId="364D412B" w14:textId="52762D22"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t>13,20</w:t>
            </w:r>
          </w:p>
        </w:tc>
      </w:tr>
      <w:tr w:rsidR="00142622" w14:paraId="51F41E7E" w14:textId="77777777" w:rsidTr="00142622">
        <w:tc>
          <w:tcPr>
            <w:cnfStyle w:val="001000000000" w:firstRow="0" w:lastRow="0" w:firstColumn="1" w:lastColumn="0" w:oddVBand="0" w:evenVBand="0" w:oddHBand="0" w:evenHBand="0" w:firstRowFirstColumn="0" w:firstRowLastColumn="0" w:lastRowFirstColumn="0" w:lastRowLastColumn="0"/>
            <w:tcW w:w="1980" w:type="dxa"/>
          </w:tcPr>
          <w:p w14:paraId="7A2F79CB" w14:textId="1AAE5C5A" w:rsidR="00142622" w:rsidRPr="0053183F" w:rsidRDefault="00142622" w:rsidP="003E51EB">
            <w:pPr>
              <w:spacing w:line="259" w:lineRule="auto"/>
              <w:ind w:left="0"/>
              <w:contextualSpacing/>
              <w:rPr>
                <w:b w:val="0"/>
                <w:bCs/>
                <w:lang w:val="pl-PL"/>
              </w:rPr>
            </w:pPr>
            <w:r w:rsidRPr="0053183F">
              <w:rPr>
                <w:rFonts w:cstheme="minorHAnsi"/>
                <w:b w:val="0"/>
                <w:bCs/>
                <w:lang w:eastAsia="pl-PL"/>
              </w:rPr>
              <w:t>Płośnica</w:t>
            </w:r>
          </w:p>
        </w:tc>
        <w:tc>
          <w:tcPr>
            <w:tcW w:w="1276" w:type="dxa"/>
          </w:tcPr>
          <w:p w14:paraId="0A605710" w14:textId="2E19AADC"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cstheme="minorHAnsi"/>
                <w:lang w:eastAsia="pl-PL"/>
              </w:rPr>
              <w:t>19,13</w:t>
            </w:r>
          </w:p>
        </w:tc>
        <w:tc>
          <w:tcPr>
            <w:tcW w:w="1134" w:type="dxa"/>
          </w:tcPr>
          <w:p w14:paraId="2CF8AD19" w14:textId="29BC7C4F"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cstheme="minorHAnsi"/>
                <w:lang w:eastAsia="pl-PL"/>
              </w:rPr>
              <w:t>18,34</w:t>
            </w:r>
          </w:p>
        </w:tc>
        <w:tc>
          <w:tcPr>
            <w:tcW w:w="1134" w:type="dxa"/>
          </w:tcPr>
          <w:p w14:paraId="5B1558F8" w14:textId="3EF9B9FE"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cstheme="minorHAnsi"/>
                <w:lang w:eastAsia="pl-PL"/>
              </w:rPr>
              <w:t>18,11</w:t>
            </w:r>
          </w:p>
        </w:tc>
        <w:tc>
          <w:tcPr>
            <w:tcW w:w="1134" w:type="dxa"/>
          </w:tcPr>
          <w:p w14:paraId="5D030778" w14:textId="0D611035"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cstheme="minorHAnsi"/>
                <w:lang w:eastAsia="pl-PL"/>
              </w:rPr>
              <w:t>9,93</w:t>
            </w:r>
          </w:p>
        </w:tc>
        <w:tc>
          <w:tcPr>
            <w:tcW w:w="1134" w:type="dxa"/>
          </w:tcPr>
          <w:p w14:paraId="58427D94" w14:textId="5FB766F1"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cstheme="minorHAnsi"/>
                <w:lang w:eastAsia="pl-PL"/>
              </w:rPr>
              <w:t>18,68</w:t>
            </w:r>
          </w:p>
        </w:tc>
        <w:tc>
          <w:tcPr>
            <w:tcW w:w="1275" w:type="dxa"/>
          </w:tcPr>
          <w:p w14:paraId="09D881B1" w14:textId="19F51367"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t>16,84</w:t>
            </w:r>
          </w:p>
        </w:tc>
      </w:tr>
      <w:tr w:rsidR="00142622" w14:paraId="3D5474D4" w14:textId="77777777" w:rsidTr="00142622">
        <w:tc>
          <w:tcPr>
            <w:cnfStyle w:val="001000000000" w:firstRow="0" w:lastRow="0" w:firstColumn="1" w:lastColumn="0" w:oddVBand="0" w:evenVBand="0" w:oddHBand="0" w:evenHBand="0" w:firstRowFirstColumn="0" w:firstRowLastColumn="0" w:lastRowFirstColumn="0" w:lastRowLastColumn="0"/>
            <w:tcW w:w="1980" w:type="dxa"/>
          </w:tcPr>
          <w:p w14:paraId="1D42B4A6" w14:textId="69F626D0" w:rsidR="00142622" w:rsidRPr="0053183F" w:rsidRDefault="00142622" w:rsidP="003E51EB">
            <w:pPr>
              <w:spacing w:line="259" w:lineRule="auto"/>
              <w:ind w:left="0"/>
              <w:contextualSpacing/>
              <w:rPr>
                <w:b w:val="0"/>
                <w:bCs/>
                <w:lang w:val="pl-PL"/>
              </w:rPr>
            </w:pPr>
            <w:r w:rsidRPr="0053183F">
              <w:rPr>
                <w:rFonts w:cstheme="minorHAnsi"/>
                <w:b w:val="0"/>
                <w:bCs/>
                <w:lang w:eastAsia="pl-PL"/>
              </w:rPr>
              <w:t>Rozogi</w:t>
            </w:r>
          </w:p>
        </w:tc>
        <w:tc>
          <w:tcPr>
            <w:tcW w:w="1276" w:type="dxa"/>
          </w:tcPr>
          <w:p w14:paraId="2318F4DC" w14:textId="233BF5F2"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cstheme="minorHAnsi"/>
                <w:lang w:eastAsia="pl-PL"/>
              </w:rPr>
              <w:t>13,47</w:t>
            </w:r>
          </w:p>
        </w:tc>
        <w:tc>
          <w:tcPr>
            <w:tcW w:w="1134" w:type="dxa"/>
          </w:tcPr>
          <w:p w14:paraId="0F766A60" w14:textId="4E570C78"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cstheme="minorHAnsi"/>
                <w:lang w:eastAsia="pl-PL"/>
              </w:rPr>
              <w:t>8,44</w:t>
            </w:r>
          </w:p>
        </w:tc>
        <w:tc>
          <w:tcPr>
            <w:tcW w:w="1134" w:type="dxa"/>
          </w:tcPr>
          <w:p w14:paraId="4CDB9F2B" w14:textId="7C864356"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cstheme="minorHAnsi"/>
                <w:lang w:eastAsia="pl-PL"/>
              </w:rPr>
              <w:t>4,89</w:t>
            </w:r>
          </w:p>
        </w:tc>
        <w:tc>
          <w:tcPr>
            <w:tcW w:w="1134" w:type="dxa"/>
          </w:tcPr>
          <w:p w14:paraId="20761A9A" w14:textId="45D24216"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cstheme="minorHAnsi"/>
                <w:lang w:eastAsia="pl-PL"/>
              </w:rPr>
              <w:t>4,04</w:t>
            </w:r>
          </w:p>
        </w:tc>
        <w:tc>
          <w:tcPr>
            <w:tcW w:w="1134" w:type="dxa"/>
          </w:tcPr>
          <w:p w14:paraId="6DE74196" w14:textId="2E3E2BF9"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cstheme="minorHAnsi"/>
                <w:lang w:eastAsia="pl-PL"/>
              </w:rPr>
              <w:t>3,99</w:t>
            </w:r>
          </w:p>
        </w:tc>
        <w:tc>
          <w:tcPr>
            <w:tcW w:w="1275" w:type="dxa"/>
          </w:tcPr>
          <w:p w14:paraId="5BCC07CF" w14:textId="2229AB1A"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t>6,97</w:t>
            </w:r>
          </w:p>
        </w:tc>
      </w:tr>
      <w:tr w:rsidR="00142622" w14:paraId="49BB6A82" w14:textId="77777777" w:rsidTr="00142622">
        <w:tc>
          <w:tcPr>
            <w:cnfStyle w:val="001000000000" w:firstRow="0" w:lastRow="0" w:firstColumn="1" w:lastColumn="0" w:oddVBand="0" w:evenVBand="0" w:oddHBand="0" w:evenHBand="0" w:firstRowFirstColumn="0" w:firstRowLastColumn="0" w:lastRowFirstColumn="0" w:lastRowLastColumn="0"/>
            <w:tcW w:w="1980" w:type="dxa"/>
          </w:tcPr>
          <w:p w14:paraId="6C12C0AE" w14:textId="3395CE67" w:rsidR="00142622" w:rsidRPr="0053183F" w:rsidRDefault="00142622" w:rsidP="003E51EB">
            <w:pPr>
              <w:spacing w:line="259" w:lineRule="auto"/>
              <w:ind w:left="0"/>
              <w:contextualSpacing/>
              <w:rPr>
                <w:b w:val="0"/>
                <w:bCs/>
                <w:lang w:val="pl-PL"/>
              </w:rPr>
            </w:pPr>
            <w:r w:rsidRPr="0053183F">
              <w:rPr>
                <w:rFonts w:cstheme="minorHAnsi"/>
                <w:b w:val="0"/>
                <w:bCs/>
                <w:lang w:eastAsia="pl-PL"/>
              </w:rPr>
              <w:t>Ruciane-Nida</w:t>
            </w:r>
          </w:p>
        </w:tc>
        <w:tc>
          <w:tcPr>
            <w:tcW w:w="1276" w:type="dxa"/>
          </w:tcPr>
          <w:p w14:paraId="2676C0FC" w14:textId="151C039D"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cstheme="minorHAnsi"/>
                <w:lang w:eastAsia="pl-PL"/>
              </w:rPr>
              <w:t>3,67</w:t>
            </w:r>
          </w:p>
        </w:tc>
        <w:tc>
          <w:tcPr>
            <w:tcW w:w="1134" w:type="dxa"/>
          </w:tcPr>
          <w:p w14:paraId="34D63B12" w14:textId="6EC3485E"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cstheme="minorHAnsi"/>
                <w:lang w:eastAsia="pl-PL"/>
              </w:rPr>
              <w:t>21,25</w:t>
            </w:r>
          </w:p>
        </w:tc>
        <w:tc>
          <w:tcPr>
            <w:tcW w:w="1134" w:type="dxa"/>
          </w:tcPr>
          <w:p w14:paraId="19A4EBDF" w14:textId="54BC300A"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cstheme="minorHAnsi"/>
                <w:lang w:eastAsia="pl-PL"/>
              </w:rPr>
              <w:t>13,63</w:t>
            </w:r>
          </w:p>
        </w:tc>
        <w:tc>
          <w:tcPr>
            <w:tcW w:w="1134" w:type="dxa"/>
          </w:tcPr>
          <w:p w14:paraId="66F984AE" w14:textId="528BCD11"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cstheme="minorHAnsi"/>
                <w:lang w:eastAsia="pl-PL"/>
              </w:rPr>
              <w:t>12,47</w:t>
            </w:r>
          </w:p>
        </w:tc>
        <w:tc>
          <w:tcPr>
            <w:tcW w:w="1134" w:type="dxa"/>
          </w:tcPr>
          <w:p w14:paraId="0D63E9AC" w14:textId="5846F26C"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cstheme="minorHAnsi"/>
                <w:lang w:eastAsia="pl-PL"/>
              </w:rPr>
              <w:t>19,54</w:t>
            </w:r>
          </w:p>
        </w:tc>
        <w:tc>
          <w:tcPr>
            <w:tcW w:w="1275" w:type="dxa"/>
          </w:tcPr>
          <w:p w14:paraId="4D081286" w14:textId="34CEECA1"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t>14,11</w:t>
            </w:r>
          </w:p>
        </w:tc>
      </w:tr>
      <w:tr w:rsidR="00142622" w14:paraId="3002EBE0" w14:textId="77777777" w:rsidTr="00142622">
        <w:tc>
          <w:tcPr>
            <w:cnfStyle w:val="001000000000" w:firstRow="0" w:lastRow="0" w:firstColumn="1" w:lastColumn="0" w:oddVBand="0" w:evenVBand="0" w:oddHBand="0" w:evenHBand="0" w:firstRowFirstColumn="0" w:firstRowLastColumn="0" w:lastRowFirstColumn="0" w:lastRowLastColumn="0"/>
            <w:tcW w:w="1980" w:type="dxa"/>
          </w:tcPr>
          <w:p w14:paraId="35F1D02C" w14:textId="0158BCB3" w:rsidR="00142622" w:rsidRPr="0053183F" w:rsidRDefault="00142622" w:rsidP="003E51EB">
            <w:pPr>
              <w:spacing w:line="259" w:lineRule="auto"/>
              <w:ind w:left="0"/>
              <w:contextualSpacing/>
              <w:rPr>
                <w:b w:val="0"/>
                <w:bCs/>
                <w:lang w:val="pl-PL"/>
              </w:rPr>
            </w:pPr>
            <w:r w:rsidRPr="0053183F">
              <w:rPr>
                <w:rFonts w:cstheme="minorHAnsi"/>
                <w:b w:val="0"/>
                <w:bCs/>
                <w:lang w:eastAsia="pl-PL"/>
              </w:rPr>
              <w:t>Rybno</w:t>
            </w:r>
          </w:p>
        </w:tc>
        <w:tc>
          <w:tcPr>
            <w:tcW w:w="1276" w:type="dxa"/>
          </w:tcPr>
          <w:p w14:paraId="18CC04C0" w14:textId="444BDB32"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cstheme="minorHAnsi"/>
                <w:lang w:eastAsia="pl-PL"/>
              </w:rPr>
              <w:t>8,86</w:t>
            </w:r>
          </w:p>
        </w:tc>
        <w:tc>
          <w:tcPr>
            <w:tcW w:w="1134" w:type="dxa"/>
          </w:tcPr>
          <w:p w14:paraId="65DEE847" w14:textId="2D24E189"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cstheme="minorHAnsi"/>
                <w:lang w:eastAsia="pl-PL"/>
              </w:rPr>
              <w:t>5,37</w:t>
            </w:r>
          </w:p>
        </w:tc>
        <w:tc>
          <w:tcPr>
            <w:tcW w:w="1134" w:type="dxa"/>
          </w:tcPr>
          <w:p w14:paraId="3381E447" w14:textId="7AED17F0"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cstheme="minorHAnsi"/>
                <w:lang w:eastAsia="pl-PL"/>
              </w:rPr>
              <w:t>5,12</w:t>
            </w:r>
          </w:p>
        </w:tc>
        <w:tc>
          <w:tcPr>
            <w:tcW w:w="1134" w:type="dxa"/>
          </w:tcPr>
          <w:p w14:paraId="191F54A2" w14:textId="74BC43DA"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cstheme="minorHAnsi"/>
                <w:lang w:eastAsia="pl-PL"/>
              </w:rPr>
              <w:t>5,11</w:t>
            </w:r>
          </w:p>
        </w:tc>
        <w:tc>
          <w:tcPr>
            <w:tcW w:w="1134" w:type="dxa"/>
          </w:tcPr>
          <w:p w14:paraId="61FE8059" w14:textId="7583F129"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cstheme="minorHAnsi"/>
                <w:lang w:eastAsia="pl-PL"/>
              </w:rPr>
              <w:t>6,60</w:t>
            </w:r>
          </w:p>
        </w:tc>
        <w:tc>
          <w:tcPr>
            <w:tcW w:w="1275" w:type="dxa"/>
          </w:tcPr>
          <w:p w14:paraId="7B8ECAB1" w14:textId="61C7B28B"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t>6,21</w:t>
            </w:r>
          </w:p>
        </w:tc>
      </w:tr>
      <w:tr w:rsidR="00142622" w14:paraId="6105C057" w14:textId="77777777" w:rsidTr="00142622">
        <w:tc>
          <w:tcPr>
            <w:cnfStyle w:val="001000000000" w:firstRow="0" w:lastRow="0" w:firstColumn="1" w:lastColumn="0" w:oddVBand="0" w:evenVBand="0" w:oddHBand="0" w:evenHBand="0" w:firstRowFirstColumn="0" w:firstRowLastColumn="0" w:lastRowFirstColumn="0" w:lastRowLastColumn="0"/>
            <w:tcW w:w="1980" w:type="dxa"/>
          </w:tcPr>
          <w:p w14:paraId="7B1FC8B6" w14:textId="45197A0E" w:rsidR="00142622" w:rsidRPr="0053183F" w:rsidRDefault="00142622" w:rsidP="003E51EB">
            <w:pPr>
              <w:spacing w:line="259" w:lineRule="auto"/>
              <w:ind w:left="0"/>
              <w:contextualSpacing/>
              <w:rPr>
                <w:b w:val="0"/>
                <w:bCs/>
                <w:lang w:val="pl-PL"/>
              </w:rPr>
            </w:pPr>
            <w:r w:rsidRPr="0053183F">
              <w:rPr>
                <w:rFonts w:cstheme="minorHAnsi"/>
                <w:b w:val="0"/>
                <w:bCs/>
                <w:lang w:eastAsia="pl-PL"/>
              </w:rPr>
              <w:t xml:space="preserve">Szczytno – gmina miejska </w:t>
            </w:r>
          </w:p>
        </w:tc>
        <w:tc>
          <w:tcPr>
            <w:tcW w:w="1276" w:type="dxa"/>
          </w:tcPr>
          <w:p w14:paraId="0D63F43E" w14:textId="7D6C32B7"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cstheme="minorHAnsi"/>
                <w:lang w:eastAsia="pl-PL"/>
              </w:rPr>
              <w:t>9,03</w:t>
            </w:r>
          </w:p>
        </w:tc>
        <w:tc>
          <w:tcPr>
            <w:tcW w:w="1134" w:type="dxa"/>
          </w:tcPr>
          <w:p w14:paraId="4E9DA765" w14:textId="3AE28932"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cstheme="minorHAnsi"/>
                <w:lang w:eastAsia="pl-PL"/>
              </w:rPr>
              <w:t>6,78</w:t>
            </w:r>
          </w:p>
        </w:tc>
        <w:tc>
          <w:tcPr>
            <w:tcW w:w="1134" w:type="dxa"/>
          </w:tcPr>
          <w:p w14:paraId="112BA25D" w14:textId="1FB6209A"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cstheme="minorHAnsi"/>
                <w:lang w:eastAsia="pl-PL"/>
              </w:rPr>
              <w:t>5,47</w:t>
            </w:r>
          </w:p>
        </w:tc>
        <w:tc>
          <w:tcPr>
            <w:tcW w:w="1134" w:type="dxa"/>
          </w:tcPr>
          <w:p w14:paraId="52008700" w14:textId="290D7AD4"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cstheme="minorHAnsi"/>
                <w:lang w:eastAsia="pl-PL"/>
              </w:rPr>
              <w:t>6,56</w:t>
            </w:r>
          </w:p>
        </w:tc>
        <w:tc>
          <w:tcPr>
            <w:tcW w:w="1134" w:type="dxa"/>
          </w:tcPr>
          <w:p w14:paraId="7947F432" w14:textId="052DEA6A"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cstheme="minorHAnsi"/>
                <w:lang w:eastAsia="pl-PL"/>
              </w:rPr>
              <w:t>5,45</w:t>
            </w:r>
          </w:p>
        </w:tc>
        <w:tc>
          <w:tcPr>
            <w:tcW w:w="1275" w:type="dxa"/>
          </w:tcPr>
          <w:p w14:paraId="58702344" w14:textId="4D869E5A"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t>6,66</w:t>
            </w:r>
          </w:p>
        </w:tc>
      </w:tr>
      <w:tr w:rsidR="00142622" w14:paraId="667B6813" w14:textId="77777777" w:rsidTr="00142622">
        <w:tc>
          <w:tcPr>
            <w:cnfStyle w:val="001000000000" w:firstRow="0" w:lastRow="0" w:firstColumn="1" w:lastColumn="0" w:oddVBand="0" w:evenVBand="0" w:oddHBand="0" w:evenHBand="0" w:firstRowFirstColumn="0" w:firstRowLastColumn="0" w:lastRowFirstColumn="0" w:lastRowLastColumn="0"/>
            <w:tcW w:w="1980" w:type="dxa"/>
          </w:tcPr>
          <w:p w14:paraId="34B0C53D" w14:textId="4075C53A" w:rsidR="00142622" w:rsidRPr="0053183F" w:rsidRDefault="00142622" w:rsidP="003E51EB">
            <w:pPr>
              <w:spacing w:line="259" w:lineRule="auto"/>
              <w:ind w:left="0"/>
              <w:contextualSpacing/>
              <w:rPr>
                <w:b w:val="0"/>
                <w:bCs/>
                <w:lang w:val="pl-PL"/>
              </w:rPr>
            </w:pPr>
            <w:r w:rsidRPr="0053183F">
              <w:rPr>
                <w:rFonts w:cstheme="minorHAnsi"/>
                <w:b w:val="0"/>
                <w:bCs/>
                <w:lang w:eastAsia="pl-PL"/>
              </w:rPr>
              <w:t>Szczytno – gmina wiejska</w:t>
            </w:r>
          </w:p>
        </w:tc>
        <w:tc>
          <w:tcPr>
            <w:tcW w:w="1276" w:type="dxa"/>
          </w:tcPr>
          <w:p w14:paraId="7C8B83C2" w14:textId="011C1672"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cstheme="minorHAnsi"/>
                <w:lang w:eastAsia="pl-PL"/>
              </w:rPr>
              <w:t>14,27</w:t>
            </w:r>
          </w:p>
        </w:tc>
        <w:tc>
          <w:tcPr>
            <w:tcW w:w="1134" w:type="dxa"/>
          </w:tcPr>
          <w:p w14:paraId="0F4A9813" w14:textId="2D95B4C2"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cstheme="minorHAnsi"/>
                <w:lang w:eastAsia="pl-PL"/>
              </w:rPr>
              <w:t>12,02</w:t>
            </w:r>
          </w:p>
        </w:tc>
        <w:tc>
          <w:tcPr>
            <w:tcW w:w="1134" w:type="dxa"/>
          </w:tcPr>
          <w:p w14:paraId="3BB8C846" w14:textId="634449CC"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cstheme="minorHAnsi"/>
                <w:lang w:eastAsia="pl-PL"/>
              </w:rPr>
              <w:t>10,24</w:t>
            </w:r>
          </w:p>
        </w:tc>
        <w:tc>
          <w:tcPr>
            <w:tcW w:w="1134" w:type="dxa"/>
          </w:tcPr>
          <w:p w14:paraId="3AE80830" w14:textId="4DCFFBDA"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cstheme="minorHAnsi"/>
                <w:lang w:eastAsia="pl-PL"/>
              </w:rPr>
              <w:t>9,18</w:t>
            </w:r>
          </w:p>
        </w:tc>
        <w:tc>
          <w:tcPr>
            <w:tcW w:w="1134" w:type="dxa"/>
          </w:tcPr>
          <w:p w14:paraId="728EDC59" w14:textId="3EFDA92C"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cstheme="minorHAnsi"/>
                <w:lang w:eastAsia="pl-PL"/>
              </w:rPr>
              <w:t>14,24</w:t>
            </w:r>
          </w:p>
        </w:tc>
        <w:tc>
          <w:tcPr>
            <w:tcW w:w="1275" w:type="dxa"/>
          </w:tcPr>
          <w:p w14:paraId="6DA82409" w14:textId="244FC1B2"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t>11,99</w:t>
            </w:r>
          </w:p>
        </w:tc>
      </w:tr>
      <w:tr w:rsidR="00142622" w14:paraId="33A9985F" w14:textId="77777777" w:rsidTr="00142622">
        <w:tc>
          <w:tcPr>
            <w:cnfStyle w:val="001000000000" w:firstRow="0" w:lastRow="0" w:firstColumn="1" w:lastColumn="0" w:oddVBand="0" w:evenVBand="0" w:oddHBand="0" w:evenHBand="0" w:firstRowFirstColumn="0" w:firstRowLastColumn="0" w:lastRowFirstColumn="0" w:lastRowLastColumn="0"/>
            <w:tcW w:w="1980" w:type="dxa"/>
          </w:tcPr>
          <w:p w14:paraId="27549604" w14:textId="22C692CC" w:rsidR="00142622" w:rsidRPr="0053183F" w:rsidRDefault="00142622" w:rsidP="003E51EB">
            <w:pPr>
              <w:spacing w:line="259" w:lineRule="auto"/>
              <w:ind w:left="0"/>
              <w:contextualSpacing/>
              <w:rPr>
                <w:b w:val="0"/>
                <w:bCs/>
                <w:lang w:val="pl-PL"/>
              </w:rPr>
            </w:pPr>
            <w:r w:rsidRPr="0053183F">
              <w:rPr>
                <w:rFonts w:cstheme="minorHAnsi"/>
                <w:b w:val="0"/>
                <w:bCs/>
                <w:lang w:eastAsia="pl-PL"/>
              </w:rPr>
              <w:t>Wielbark</w:t>
            </w:r>
          </w:p>
        </w:tc>
        <w:tc>
          <w:tcPr>
            <w:tcW w:w="1276" w:type="dxa"/>
          </w:tcPr>
          <w:p w14:paraId="730BED9E" w14:textId="36FA5A60"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cstheme="minorHAnsi"/>
                <w:lang w:eastAsia="pl-PL"/>
              </w:rPr>
              <w:t>15,71</w:t>
            </w:r>
          </w:p>
        </w:tc>
        <w:tc>
          <w:tcPr>
            <w:tcW w:w="1134" w:type="dxa"/>
          </w:tcPr>
          <w:p w14:paraId="2BA7C242" w14:textId="3D69EC8B"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cstheme="minorHAnsi"/>
                <w:lang w:eastAsia="pl-PL"/>
              </w:rPr>
              <w:t>12,96</w:t>
            </w:r>
          </w:p>
        </w:tc>
        <w:tc>
          <w:tcPr>
            <w:tcW w:w="1134" w:type="dxa"/>
          </w:tcPr>
          <w:p w14:paraId="5DD41B31" w14:textId="23A457E8"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cstheme="minorHAnsi"/>
                <w:lang w:eastAsia="pl-PL"/>
              </w:rPr>
              <w:t>14,32</w:t>
            </w:r>
          </w:p>
        </w:tc>
        <w:tc>
          <w:tcPr>
            <w:tcW w:w="1134" w:type="dxa"/>
          </w:tcPr>
          <w:p w14:paraId="2D241000" w14:textId="72CD16BA"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cstheme="minorHAnsi"/>
                <w:lang w:eastAsia="pl-PL"/>
              </w:rPr>
              <w:t>12,14</w:t>
            </w:r>
          </w:p>
        </w:tc>
        <w:tc>
          <w:tcPr>
            <w:tcW w:w="1134" w:type="dxa"/>
          </w:tcPr>
          <w:p w14:paraId="5B86AABD" w14:textId="40EDC74B"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cstheme="minorHAnsi"/>
                <w:lang w:eastAsia="pl-PL"/>
              </w:rPr>
              <w:t>12,95</w:t>
            </w:r>
          </w:p>
        </w:tc>
        <w:tc>
          <w:tcPr>
            <w:tcW w:w="1275" w:type="dxa"/>
          </w:tcPr>
          <w:p w14:paraId="5850ED39" w14:textId="7D036D79"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t>13,62</w:t>
            </w:r>
          </w:p>
        </w:tc>
      </w:tr>
      <w:tr w:rsidR="00142622" w14:paraId="19263519" w14:textId="77777777" w:rsidTr="00142622">
        <w:tc>
          <w:tcPr>
            <w:cnfStyle w:val="001000000000" w:firstRow="0" w:lastRow="0" w:firstColumn="1" w:lastColumn="0" w:oddVBand="0" w:evenVBand="0" w:oddHBand="0" w:evenHBand="0" w:firstRowFirstColumn="0" w:firstRowLastColumn="0" w:lastRowFirstColumn="0" w:lastRowLastColumn="0"/>
            <w:tcW w:w="1980" w:type="dxa"/>
          </w:tcPr>
          <w:p w14:paraId="0C47473C" w14:textId="078BA403" w:rsidR="00142622" w:rsidRPr="0053183F" w:rsidRDefault="00142622" w:rsidP="003E51EB">
            <w:pPr>
              <w:spacing w:line="259" w:lineRule="auto"/>
              <w:ind w:left="0"/>
              <w:contextualSpacing/>
              <w:rPr>
                <w:b w:val="0"/>
                <w:bCs/>
                <w:lang w:val="pl-PL"/>
              </w:rPr>
            </w:pPr>
            <w:r w:rsidRPr="0053183F">
              <w:rPr>
                <w:rFonts w:cstheme="minorHAnsi"/>
                <w:b w:val="0"/>
                <w:bCs/>
                <w:lang w:eastAsia="pl-PL"/>
              </w:rPr>
              <w:t>Świętajno</w:t>
            </w:r>
          </w:p>
        </w:tc>
        <w:tc>
          <w:tcPr>
            <w:tcW w:w="1276" w:type="dxa"/>
          </w:tcPr>
          <w:p w14:paraId="258490A8" w14:textId="131FADAE"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cstheme="minorHAnsi"/>
                <w:lang w:eastAsia="pl-PL"/>
              </w:rPr>
              <w:t>10,57</w:t>
            </w:r>
          </w:p>
        </w:tc>
        <w:tc>
          <w:tcPr>
            <w:tcW w:w="1134" w:type="dxa"/>
          </w:tcPr>
          <w:p w14:paraId="69AE37EC" w14:textId="4156B498"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cstheme="minorHAnsi"/>
                <w:lang w:eastAsia="pl-PL"/>
              </w:rPr>
              <w:t>10,57</w:t>
            </w:r>
          </w:p>
        </w:tc>
        <w:tc>
          <w:tcPr>
            <w:tcW w:w="1134" w:type="dxa"/>
          </w:tcPr>
          <w:p w14:paraId="5BA45018" w14:textId="365AF087"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cstheme="minorHAnsi"/>
                <w:lang w:eastAsia="pl-PL"/>
              </w:rPr>
              <w:t>6,01</w:t>
            </w:r>
          </w:p>
        </w:tc>
        <w:tc>
          <w:tcPr>
            <w:tcW w:w="1134" w:type="dxa"/>
          </w:tcPr>
          <w:p w14:paraId="49A1901F" w14:textId="59CA458E"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cstheme="minorHAnsi"/>
                <w:lang w:eastAsia="pl-PL"/>
              </w:rPr>
              <w:t>5,48</w:t>
            </w:r>
          </w:p>
        </w:tc>
        <w:tc>
          <w:tcPr>
            <w:tcW w:w="1134" w:type="dxa"/>
          </w:tcPr>
          <w:p w14:paraId="5622C236" w14:textId="3FDB429C"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cstheme="minorHAnsi"/>
                <w:lang w:eastAsia="pl-PL"/>
              </w:rPr>
              <w:t>3,72</w:t>
            </w:r>
          </w:p>
        </w:tc>
        <w:tc>
          <w:tcPr>
            <w:tcW w:w="1275" w:type="dxa"/>
          </w:tcPr>
          <w:p w14:paraId="0E81805D" w14:textId="59973555"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t>7,27</w:t>
            </w:r>
          </w:p>
        </w:tc>
      </w:tr>
      <w:tr w:rsidR="00142622" w14:paraId="7272FD50" w14:textId="77777777" w:rsidTr="00142622">
        <w:tc>
          <w:tcPr>
            <w:cnfStyle w:val="001000000000" w:firstRow="0" w:lastRow="0" w:firstColumn="1" w:lastColumn="0" w:oddVBand="0" w:evenVBand="0" w:oddHBand="0" w:evenHBand="0" w:firstRowFirstColumn="0" w:firstRowLastColumn="0" w:lastRowFirstColumn="0" w:lastRowLastColumn="0"/>
            <w:tcW w:w="1980" w:type="dxa"/>
          </w:tcPr>
          <w:p w14:paraId="69CFB43B" w14:textId="18E5F5D8" w:rsidR="00142622" w:rsidRPr="0053183F" w:rsidRDefault="00142622" w:rsidP="003E51EB">
            <w:pPr>
              <w:spacing w:line="259" w:lineRule="auto"/>
              <w:ind w:left="0"/>
              <w:contextualSpacing/>
              <w:rPr>
                <w:b w:val="0"/>
                <w:bCs/>
                <w:lang w:val="pl-PL"/>
              </w:rPr>
            </w:pPr>
            <w:r w:rsidRPr="0053183F">
              <w:rPr>
                <w:b w:val="0"/>
                <w:bCs/>
                <w:lang w:eastAsia="pl-PL"/>
              </w:rPr>
              <w:t xml:space="preserve">Powiat działdowski </w:t>
            </w:r>
          </w:p>
        </w:tc>
        <w:tc>
          <w:tcPr>
            <w:tcW w:w="1276" w:type="dxa"/>
          </w:tcPr>
          <w:p w14:paraId="60422575" w14:textId="49150B87"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t>10,50</w:t>
            </w:r>
          </w:p>
        </w:tc>
        <w:tc>
          <w:tcPr>
            <w:tcW w:w="1134" w:type="dxa"/>
          </w:tcPr>
          <w:p w14:paraId="64A3D42A" w14:textId="47680C64"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t>11,87</w:t>
            </w:r>
          </w:p>
        </w:tc>
        <w:tc>
          <w:tcPr>
            <w:tcW w:w="1134" w:type="dxa"/>
          </w:tcPr>
          <w:p w14:paraId="7C0F4737" w14:textId="7DB023B4"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t>14,18</w:t>
            </w:r>
          </w:p>
        </w:tc>
        <w:tc>
          <w:tcPr>
            <w:tcW w:w="1134" w:type="dxa"/>
          </w:tcPr>
          <w:p w14:paraId="712C01C3" w14:textId="6956A640"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t>15,28</w:t>
            </w:r>
          </w:p>
        </w:tc>
        <w:tc>
          <w:tcPr>
            <w:tcW w:w="1134" w:type="dxa"/>
          </w:tcPr>
          <w:p w14:paraId="404C8E8D" w14:textId="3C34DAD0"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t>16,34</w:t>
            </w:r>
          </w:p>
        </w:tc>
        <w:tc>
          <w:tcPr>
            <w:tcW w:w="1275" w:type="dxa"/>
          </w:tcPr>
          <w:p w14:paraId="540582AD" w14:textId="52BB372D"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t>11,87</w:t>
            </w:r>
          </w:p>
        </w:tc>
      </w:tr>
      <w:tr w:rsidR="00142622" w14:paraId="30E30E5D" w14:textId="77777777" w:rsidTr="00142622">
        <w:tc>
          <w:tcPr>
            <w:cnfStyle w:val="001000000000" w:firstRow="0" w:lastRow="0" w:firstColumn="1" w:lastColumn="0" w:oddVBand="0" w:evenVBand="0" w:oddHBand="0" w:evenHBand="0" w:firstRowFirstColumn="0" w:firstRowLastColumn="0" w:lastRowFirstColumn="0" w:lastRowLastColumn="0"/>
            <w:tcW w:w="1980" w:type="dxa"/>
          </w:tcPr>
          <w:p w14:paraId="406CD76E" w14:textId="73409C7A" w:rsidR="00142622" w:rsidRPr="0053183F" w:rsidRDefault="00142622" w:rsidP="003E51EB">
            <w:pPr>
              <w:spacing w:line="259" w:lineRule="auto"/>
              <w:ind w:left="0"/>
              <w:contextualSpacing/>
              <w:rPr>
                <w:b w:val="0"/>
                <w:bCs/>
                <w:lang w:val="pl-PL"/>
              </w:rPr>
            </w:pPr>
            <w:r w:rsidRPr="0053183F">
              <w:rPr>
                <w:b w:val="0"/>
                <w:bCs/>
                <w:lang w:eastAsia="pl-PL"/>
              </w:rPr>
              <w:t xml:space="preserve">Powiat szczycieński </w:t>
            </w:r>
          </w:p>
        </w:tc>
        <w:tc>
          <w:tcPr>
            <w:tcW w:w="1276" w:type="dxa"/>
          </w:tcPr>
          <w:p w14:paraId="2A916A0F" w14:textId="10BFDA13"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t>8,80</w:t>
            </w:r>
          </w:p>
        </w:tc>
        <w:tc>
          <w:tcPr>
            <w:tcW w:w="1134" w:type="dxa"/>
          </w:tcPr>
          <w:p w14:paraId="279E85C9" w14:textId="2B1DD828"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t>8,42</w:t>
            </w:r>
          </w:p>
        </w:tc>
        <w:tc>
          <w:tcPr>
            <w:tcW w:w="1134" w:type="dxa"/>
          </w:tcPr>
          <w:p w14:paraId="077F3CAD" w14:textId="32FA346C"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t>4,74</w:t>
            </w:r>
          </w:p>
        </w:tc>
        <w:tc>
          <w:tcPr>
            <w:tcW w:w="1134" w:type="dxa"/>
          </w:tcPr>
          <w:p w14:paraId="3747655B" w14:textId="43B9EE6C"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t>3,56</w:t>
            </w:r>
          </w:p>
        </w:tc>
        <w:tc>
          <w:tcPr>
            <w:tcW w:w="1134" w:type="dxa"/>
          </w:tcPr>
          <w:p w14:paraId="490829DA" w14:textId="4EFC813F"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t>6,74</w:t>
            </w:r>
          </w:p>
        </w:tc>
        <w:tc>
          <w:tcPr>
            <w:tcW w:w="1275" w:type="dxa"/>
          </w:tcPr>
          <w:p w14:paraId="593A6935" w14:textId="47F729D3"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t>8,42</w:t>
            </w:r>
          </w:p>
        </w:tc>
      </w:tr>
      <w:tr w:rsidR="00142622" w14:paraId="7A4AA9D6" w14:textId="77777777" w:rsidTr="00142622">
        <w:tc>
          <w:tcPr>
            <w:cnfStyle w:val="001000000000" w:firstRow="0" w:lastRow="0" w:firstColumn="1" w:lastColumn="0" w:oddVBand="0" w:evenVBand="0" w:oddHBand="0" w:evenHBand="0" w:firstRowFirstColumn="0" w:firstRowLastColumn="0" w:lastRowFirstColumn="0" w:lastRowLastColumn="0"/>
            <w:tcW w:w="1980" w:type="dxa"/>
          </w:tcPr>
          <w:p w14:paraId="11AAE625" w14:textId="700C589E" w:rsidR="00142622" w:rsidRPr="0053183F" w:rsidRDefault="00142622" w:rsidP="003E51EB">
            <w:pPr>
              <w:spacing w:line="259" w:lineRule="auto"/>
              <w:ind w:left="0"/>
              <w:contextualSpacing/>
              <w:rPr>
                <w:b w:val="0"/>
                <w:bCs/>
                <w:lang w:val="pl-PL"/>
              </w:rPr>
            </w:pPr>
            <w:r w:rsidRPr="0053183F">
              <w:rPr>
                <w:b w:val="0"/>
                <w:bCs/>
                <w:lang w:eastAsia="pl-PL"/>
              </w:rPr>
              <w:t>Powiat piski</w:t>
            </w:r>
          </w:p>
        </w:tc>
        <w:tc>
          <w:tcPr>
            <w:tcW w:w="1276" w:type="dxa"/>
          </w:tcPr>
          <w:p w14:paraId="644BE38B" w14:textId="24B0A4DA"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t>7,58</w:t>
            </w:r>
          </w:p>
        </w:tc>
        <w:tc>
          <w:tcPr>
            <w:tcW w:w="1134" w:type="dxa"/>
          </w:tcPr>
          <w:p w14:paraId="4E653DFC" w14:textId="27B117FD"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t>10,55</w:t>
            </w:r>
          </w:p>
        </w:tc>
        <w:tc>
          <w:tcPr>
            <w:tcW w:w="1134" w:type="dxa"/>
          </w:tcPr>
          <w:p w14:paraId="1D07DB5E" w14:textId="4FF201C0"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t>9,40</w:t>
            </w:r>
          </w:p>
        </w:tc>
        <w:tc>
          <w:tcPr>
            <w:tcW w:w="1134" w:type="dxa"/>
          </w:tcPr>
          <w:p w14:paraId="5177716D" w14:textId="123A0F79"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t>12,34</w:t>
            </w:r>
          </w:p>
        </w:tc>
        <w:tc>
          <w:tcPr>
            <w:tcW w:w="1134" w:type="dxa"/>
          </w:tcPr>
          <w:p w14:paraId="6E4738FD" w14:textId="58705DF0"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t>6,30</w:t>
            </w:r>
          </w:p>
        </w:tc>
        <w:tc>
          <w:tcPr>
            <w:tcW w:w="1275" w:type="dxa"/>
          </w:tcPr>
          <w:p w14:paraId="3D622C4F" w14:textId="69D096E1"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t>10,55</w:t>
            </w:r>
          </w:p>
        </w:tc>
      </w:tr>
      <w:tr w:rsidR="00142622" w14:paraId="13A8E6CE" w14:textId="77777777" w:rsidTr="00142622">
        <w:tc>
          <w:tcPr>
            <w:cnfStyle w:val="001000000000" w:firstRow="0" w:lastRow="0" w:firstColumn="1" w:lastColumn="0" w:oddVBand="0" w:evenVBand="0" w:oddHBand="0" w:evenHBand="0" w:firstRowFirstColumn="0" w:firstRowLastColumn="0" w:lastRowFirstColumn="0" w:lastRowLastColumn="0"/>
            <w:tcW w:w="1980" w:type="dxa"/>
          </w:tcPr>
          <w:p w14:paraId="1D628076" w14:textId="023915A7" w:rsidR="00142622" w:rsidRPr="0053183F" w:rsidRDefault="00142622" w:rsidP="003E51EB">
            <w:pPr>
              <w:spacing w:line="259" w:lineRule="auto"/>
              <w:ind w:left="0"/>
              <w:contextualSpacing/>
              <w:rPr>
                <w:b w:val="0"/>
                <w:bCs/>
                <w:lang w:val="pl-PL"/>
              </w:rPr>
            </w:pPr>
            <w:r w:rsidRPr="0053183F">
              <w:rPr>
                <w:b w:val="0"/>
                <w:bCs/>
                <w:lang w:eastAsia="pl-PL"/>
              </w:rPr>
              <w:t xml:space="preserve">Powiat nidzicki </w:t>
            </w:r>
          </w:p>
        </w:tc>
        <w:tc>
          <w:tcPr>
            <w:tcW w:w="1276" w:type="dxa"/>
          </w:tcPr>
          <w:p w14:paraId="66E7034F" w14:textId="630047F6"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t>4,63</w:t>
            </w:r>
          </w:p>
        </w:tc>
        <w:tc>
          <w:tcPr>
            <w:tcW w:w="1134" w:type="dxa"/>
          </w:tcPr>
          <w:p w14:paraId="4776E2BD" w14:textId="1CD58D3A"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t>7,64</w:t>
            </w:r>
          </w:p>
        </w:tc>
        <w:tc>
          <w:tcPr>
            <w:tcW w:w="1134" w:type="dxa"/>
          </w:tcPr>
          <w:p w14:paraId="36E53BDC" w14:textId="4797A0EB"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t>6,79</w:t>
            </w:r>
          </w:p>
        </w:tc>
        <w:tc>
          <w:tcPr>
            <w:tcW w:w="1134" w:type="dxa"/>
          </w:tcPr>
          <w:p w14:paraId="1336408A" w14:textId="1F052FB7"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t>4,69</w:t>
            </w:r>
          </w:p>
        </w:tc>
        <w:tc>
          <w:tcPr>
            <w:tcW w:w="1134" w:type="dxa"/>
          </w:tcPr>
          <w:p w14:paraId="2356AAE7" w14:textId="250438E1"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t>6,28</w:t>
            </w:r>
          </w:p>
        </w:tc>
        <w:tc>
          <w:tcPr>
            <w:tcW w:w="1275" w:type="dxa"/>
          </w:tcPr>
          <w:p w14:paraId="4EE71F4F" w14:textId="2E06C876"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t>7,64</w:t>
            </w:r>
          </w:p>
        </w:tc>
      </w:tr>
      <w:tr w:rsidR="00142622" w14:paraId="0C11C496" w14:textId="77777777" w:rsidTr="00142622">
        <w:tc>
          <w:tcPr>
            <w:cnfStyle w:val="001000000000" w:firstRow="0" w:lastRow="0" w:firstColumn="1" w:lastColumn="0" w:oddVBand="0" w:evenVBand="0" w:oddHBand="0" w:evenHBand="0" w:firstRowFirstColumn="0" w:firstRowLastColumn="0" w:lastRowFirstColumn="0" w:lastRowLastColumn="0"/>
            <w:tcW w:w="1980" w:type="dxa"/>
          </w:tcPr>
          <w:p w14:paraId="51AB1CCA" w14:textId="55451D99" w:rsidR="00142622" w:rsidRPr="0053183F" w:rsidRDefault="00142622" w:rsidP="003E51EB">
            <w:pPr>
              <w:spacing w:line="259" w:lineRule="auto"/>
              <w:ind w:left="0"/>
              <w:contextualSpacing/>
              <w:rPr>
                <w:b w:val="0"/>
                <w:bCs/>
                <w:lang w:val="pl-PL"/>
              </w:rPr>
            </w:pPr>
            <w:r w:rsidRPr="0053183F">
              <w:rPr>
                <w:rFonts w:cs="Calibri"/>
                <w:b w:val="0"/>
                <w:bCs/>
              </w:rPr>
              <w:t xml:space="preserve">Średnia </w:t>
            </w:r>
          </w:p>
        </w:tc>
        <w:tc>
          <w:tcPr>
            <w:tcW w:w="1276" w:type="dxa"/>
          </w:tcPr>
          <w:p w14:paraId="2C7C54D0" w14:textId="578D6267"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ascii="Calibri" w:hAnsi="Calibri"/>
              </w:rPr>
              <w:t>9,44</w:t>
            </w:r>
          </w:p>
        </w:tc>
        <w:tc>
          <w:tcPr>
            <w:tcW w:w="1134" w:type="dxa"/>
          </w:tcPr>
          <w:p w14:paraId="38CE8AD3" w14:textId="6604F1DE"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ascii="Calibri" w:hAnsi="Calibri"/>
              </w:rPr>
              <w:t>9,65</w:t>
            </w:r>
          </w:p>
        </w:tc>
        <w:tc>
          <w:tcPr>
            <w:tcW w:w="1134" w:type="dxa"/>
          </w:tcPr>
          <w:p w14:paraId="66B0A3A1" w14:textId="66BFB36E"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ascii="Calibri" w:hAnsi="Calibri"/>
              </w:rPr>
              <w:t>8,54</w:t>
            </w:r>
          </w:p>
        </w:tc>
        <w:tc>
          <w:tcPr>
            <w:tcW w:w="1134" w:type="dxa"/>
          </w:tcPr>
          <w:p w14:paraId="218255AB" w14:textId="63535E5F"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ascii="Calibri" w:hAnsi="Calibri"/>
              </w:rPr>
              <w:t>7,49</w:t>
            </w:r>
          </w:p>
        </w:tc>
        <w:tc>
          <w:tcPr>
            <w:tcW w:w="1134" w:type="dxa"/>
          </w:tcPr>
          <w:p w14:paraId="201D5677" w14:textId="1058536F"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ascii="Calibri" w:hAnsi="Calibri"/>
              </w:rPr>
              <w:t>8,76</w:t>
            </w:r>
          </w:p>
        </w:tc>
        <w:tc>
          <w:tcPr>
            <w:tcW w:w="1275" w:type="dxa"/>
          </w:tcPr>
          <w:p w14:paraId="208AE8CD" w14:textId="27857289"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ascii="Calibri" w:hAnsi="Calibri"/>
              </w:rPr>
              <w:t>8,90</w:t>
            </w:r>
          </w:p>
        </w:tc>
      </w:tr>
    </w:tbl>
    <w:p w14:paraId="5C071C3A" w14:textId="084F8182" w:rsidR="00797E0C" w:rsidRPr="001F2F4D" w:rsidRDefault="003C7BFF" w:rsidP="001F2F4D">
      <w:pPr>
        <w:pStyle w:val="podpiselementu"/>
        <w:spacing w:after="240"/>
        <w:rPr>
          <w:rFonts w:asciiTheme="minorHAnsi" w:hAnsiTheme="minorHAnsi"/>
          <w:lang w:val="pl-PL"/>
        </w:rPr>
      </w:pPr>
      <w:r w:rsidRPr="00733091">
        <w:rPr>
          <w:lang w:val="pl-PL"/>
        </w:rPr>
        <w:t>Źródło: opracowanie ZMP na podstawie https://analizy.monitorrozwoju.pl</w:t>
      </w:r>
    </w:p>
    <w:p w14:paraId="514693C4" w14:textId="70C5B7B9" w:rsidR="003C7BFF" w:rsidRPr="00703D43" w:rsidRDefault="003C7BFF" w:rsidP="00703D43">
      <w:pPr>
        <w:rPr>
          <w:shd w:val="clear" w:color="auto" w:fill="FFFFFF"/>
          <w:lang w:val="pl-PL"/>
        </w:rPr>
      </w:pPr>
      <w:r w:rsidRPr="00733091">
        <w:rPr>
          <w:b/>
          <w:bCs/>
          <w:shd w:val="clear" w:color="auto" w:fill="FFFFFF"/>
          <w:lang w:val="pl-PL"/>
        </w:rPr>
        <w:t>Nie wszystkim gminom obszaru Partnerstwa wygenerowana w 2019 r. nadwyżka operacyjna pozwoliła na spłatę długu i sfinansowanie inwestycji</w:t>
      </w:r>
      <w:r w:rsidRPr="00733091">
        <w:rPr>
          <w:shd w:val="clear" w:color="auto" w:fill="FFFFFF"/>
          <w:lang w:val="pl-PL"/>
        </w:rPr>
        <w:t xml:space="preserve">. W 23 jednostkach samorządu terytorialnego, w których relacja kwoty nadwyżki </w:t>
      </w:r>
      <w:r w:rsidRPr="00733091">
        <w:rPr>
          <w:shd w:val="clear" w:color="auto" w:fill="FFFFFF"/>
          <w:lang w:val="pl-PL"/>
        </w:rPr>
        <w:lastRenderedPageBreak/>
        <w:t xml:space="preserve">operacyjnej pomniejszonej o spłaty długu do dochodów bieżących była dodatnia istniały potencjalne możliwości sfinansowania realizacji inwestycji. Jednakże wskaźnik </w:t>
      </w:r>
      <w:r w:rsidRPr="00733091">
        <w:rPr>
          <w:rStyle w:val="Tytu2"/>
          <w:lang w:val="pl-PL"/>
        </w:rPr>
        <w:t xml:space="preserve">relacji kwoty nadwyżki operacyjnej pomniejszonej o spłaty długu do dochodów bieżących </w:t>
      </w:r>
      <w:r w:rsidR="00A33A7C">
        <w:rPr>
          <w:rStyle w:val="Tytu2"/>
          <w:lang w:val="pl-PL"/>
        </w:rPr>
        <w:t xml:space="preserve">(tabela 24) </w:t>
      </w:r>
      <w:r w:rsidRPr="00733091">
        <w:rPr>
          <w:shd w:val="clear" w:color="auto" w:fill="FFFFFF"/>
          <w:lang w:val="pl-PL"/>
        </w:rPr>
        <w:t xml:space="preserve">kształtujący się w wartościach bliskich lub nie przekraczających 1-2% znacznie to utrudniał lub uniemożliwiał. </w:t>
      </w:r>
    </w:p>
    <w:p w14:paraId="65007AAA" w14:textId="62378C0C" w:rsidR="003C7BFF" w:rsidRDefault="003C7BFF" w:rsidP="002E24A9">
      <w:pPr>
        <w:pStyle w:val="Legenda"/>
        <w:rPr>
          <w:rStyle w:val="Tytu2"/>
          <w:lang w:val="pl-PL"/>
        </w:rPr>
      </w:pPr>
      <w:bookmarkStart w:id="131" w:name="_Toc69723273"/>
      <w:r w:rsidRPr="00733091">
        <w:rPr>
          <w:lang w:val="pl-PL"/>
        </w:rPr>
        <w:t xml:space="preserve">Tabela </w:t>
      </w:r>
      <w:r w:rsidR="00733091">
        <w:fldChar w:fldCharType="begin"/>
      </w:r>
      <w:r w:rsidR="00733091" w:rsidRPr="00733091">
        <w:rPr>
          <w:lang w:val="pl-PL"/>
        </w:rPr>
        <w:instrText xml:space="preserve"> SEQ Tabela \* ARABIC </w:instrText>
      </w:r>
      <w:r w:rsidR="00733091">
        <w:fldChar w:fldCharType="separate"/>
      </w:r>
      <w:r w:rsidR="00B14787">
        <w:rPr>
          <w:noProof/>
          <w:lang w:val="pl-PL"/>
        </w:rPr>
        <w:t>24</w:t>
      </w:r>
      <w:r w:rsidR="00733091">
        <w:rPr>
          <w:noProof/>
        </w:rPr>
        <w:fldChar w:fldCharType="end"/>
      </w:r>
      <w:r w:rsidRPr="00733091">
        <w:rPr>
          <w:lang w:val="pl-PL"/>
        </w:rPr>
        <w:t xml:space="preserve">: </w:t>
      </w:r>
      <w:r w:rsidRPr="00733091">
        <w:rPr>
          <w:rStyle w:val="Tytu2"/>
          <w:lang w:val="pl-PL"/>
        </w:rPr>
        <w:t xml:space="preserve">Relacja kwoty nadwyżki operacyjnej netto pomniejszonej o spłaty długu do dochodów bieżących </w:t>
      </w:r>
      <w:r w:rsidR="00142622">
        <w:rPr>
          <w:rStyle w:val="Tytu2"/>
          <w:lang w:val="pl-PL"/>
        </w:rPr>
        <w:br/>
      </w:r>
      <w:r w:rsidRPr="00733091">
        <w:rPr>
          <w:rStyle w:val="Tytu2"/>
          <w:lang w:val="pl-PL"/>
        </w:rPr>
        <w:t>[w %] w latach 2015-2019</w:t>
      </w:r>
      <w:bookmarkEnd w:id="131"/>
    </w:p>
    <w:tbl>
      <w:tblPr>
        <w:tblStyle w:val="CWD"/>
        <w:tblW w:w="8928" w:type="dxa"/>
        <w:tblLook w:val="04A0" w:firstRow="1" w:lastRow="0" w:firstColumn="1" w:lastColumn="0" w:noHBand="0" w:noVBand="1"/>
      </w:tblPr>
      <w:tblGrid>
        <w:gridCol w:w="1980"/>
        <w:gridCol w:w="1134"/>
        <w:gridCol w:w="1134"/>
        <w:gridCol w:w="1134"/>
        <w:gridCol w:w="1134"/>
        <w:gridCol w:w="1134"/>
        <w:gridCol w:w="1278"/>
      </w:tblGrid>
      <w:tr w:rsidR="00142622" w14:paraId="0627E859" w14:textId="77777777" w:rsidTr="00142622">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980" w:type="dxa"/>
          </w:tcPr>
          <w:p w14:paraId="1EC3AB10" w14:textId="14660472" w:rsidR="00142622" w:rsidRDefault="00142622" w:rsidP="003E51EB">
            <w:pPr>
              <w:spacing w:line="259" w:lineRule="auto"/>
              <w:ind w:left="0"/>
              <w:contextualSpacing/>
              <w:rPr>
                <w:lang w:val="pl-PL"/>
              </w:rPr>
            </w:pPr>
            <w:r>
              <w:rPr>
                <w:lang w:eastAsia="pl-PL"/>
              </w:rPr>
              <w:t>Nazwa JST</w:t>
            </w:r>
          </w:p>
        </w:tc>
        <w:tc>
          <w:tcPr>
            <w:tcW w:w="1134" w:type="dxa"/>
          </w:tcPr>
          <w:p w14:paraId="538657C2" w14:textId="28C5565E" w:rsidR="00142622" w:rsidRDefault="00142622" w:rsidP="003E51EB">
            <w:pPr>
              <w:spacing w:line="259" w:lineRule="auto"/>
              <w:ind w:left="0"/>
              <w:contextualSpacing/>
              <w:jc w:val="right"/>
              <w:cnfStyle w:val="100000000000" w:firstRow="1" w:lastRow="0" w:firstColumn="0" w:lastColumn="0" w:oddVBand="0" w:evenVBand="0" w:oddHBand="0" w:evenHBand="0" w:firstRowFirstColumn="0" w:firstRowLastColumn="0" w:lastRowFirstColumn="0" w:lastRowLastColumn="0"/>
              <w:rPr>
                <w:lang w:val="pl-PL"/>
              </w:rPr>
            </w:pPr>
            <w:r>
              <w:rPr>
                <w:lang w:eastAsia="pl-PL"/>
              </w:rPr>
              <w:t>2015</w:t>
            </w:r>
          </w:p>
        </w:tc>
        <w:tc>
          <w:tcPr>
            <w:tcW w:w="1134" w:type="dxa"/>
          </w:tcPr>
          <w:p w14:paraId="63E18A3C" w14:textId="358F1C88" w:rsidR="00142622" w:rsidRDefault="00142622" w:rsidP="003E51EB">
            <w:pPr>
              <w:spacing w:line="259" w:lineRule="auto"/>
              <w:ind w:left="0"/>
              <w:contextualSpacing/>
              <w:jc w:val="right"/>
              <w:cnfStyle w:val="100000000000" w:firstRow="1" w:lastRow="0" w:firstColumn="0" w:lastColumn="0" w:oddVBand="0" w:evenVBand="0" w:oddHBand="0" w:evenHBand="0" w:firstRowFirstColumn="0" w:firstRowLastColumn="0" w:lastRowFirstColumn="0" w:lastRowLastColumn="0"/>
              <w:rPr>
                <w:lang w:val="pl-PL"/>
              </w:rPr>
            </w:pPr>
            <w:r>
              <w:rPr>
                <w:lang w:eastAsia="pl-PL"/>
              </w:rPr>
              <w:t>2016</w:t>
            </w:r>
          </w:p>
        </w:tc>
        <w:tc>
          <w:tcPr>
            <w:tcW w:w="1134" w:type="dxa"/>
          </w:tcPr>
          <w:p w14:paraId="5E811B0D" w14:textId="4E4652B7" w:rsidR="00142622" w:rsidRDefault="00142622" w:rsidP="003E51EB">
            <w:pPr>
              <w:spacing w:line="259" w:lineRule="auto"/>
              <w:ind w:left="0"/>
              <w:contextualSpacing/>
              <w:jc w:val="right"/>
              <w:cnfStyle w:val="100000000000" w:firstRow="1" w:lastRow="0" w:firstColumn="0" w:lastColumn="0" w:oddVBand="0" w:evenVBand="0" w:oddHBand="0" w:evenHBand="0" w:firstRowFirstColumn="0" w:firstRowLastColumn="0" w:lastRowFirstColumn="0" w:lastRowLastColumn="0"/>
              <w:rPr>
                <w:lang w:val="pl-PL"/>
              </w:rPr>
            </w:pPr>
            <w:r>
              <w:rPr>
                <w:lang w:eastAsia="pl-PL"/>
              </w:rPr>
              <w:t>2017</w:t>
            </w:r>
          </w:p>
        </w:tc>
        <w:tc>
          <w:tcPr>
            <w:tcW w:w="1134" w:type="dxa"/>
          </w:tcPr>
          <w:p w14:paraId="19F7BA36" w14:textId="7AE010FE" w:rsidR="00142622" w:rsidRDefault="00142622" w:rsidP="003E51EB">
            <w:pPr>
              <w:spacing w:line="259" w:lineRule="auto"/>
              <w:ind w:left="0"/>
              <w:contextualSpacing/>
              <w:jc w:val="right"/>
              <w:cnfStyle w:val="100000000000" w:firstRow="1" w:lastRow="0" w:firstColumn="0" w:lastColumn="0" w:oddVBand="0" w:evenVBand="0" w:oddHBand="0" w:evenHBand="0" w:firstRowFirstColumn="0" w:firstRowLastColumn="0" w:lastRowFirstColumn="0" w:lastRowLastColumn="0"/>
              <w:rPr>
                <w:lang w:val="pl-PL"/>
              </w:rPr>
            </w:pPr>
            <w:r>
              <w:rPr>
                <w:lang w:eastAsia="pl-PL"/>
              </w:rPr>
              <w:t>2018</w:t>
            </w:r>
          </w:p>
        </w:tc>
        <w:tc>
          <w:tcPr>
            <w:tcW w:w="1134" w:type="dxa"/>
          </w:tcPr>
          <w:p w14:paraId="4FAF6017" w14:textId="00F8CA4D" w:rsidR="00142622" w:rsidRDefault="00142622" w:rsidP="003E51EB">
            <w:pPr>
              <w:spacing w:line="259" w:lineRule="auto"/>
              <w:ind w:left="0"/>
              <w:contextualSpacing/>
              <w:jc w:val="right"/>
              <w:cnfStyle w:val="100000000000" w:firstRow="1" w:lastRow="0" w:firstColumn="0" w:lastColumn="0" w:oddVBand="0" w:evenVBand="0" w:oddHBand="0" w:evenHBand="0" w:firstRowFirstColumn="0" w:firstRowLastColumn="0" w:lastRowFirstColumn="0" w:lastRowLastColumn="0"/>
              <w:rPr>
                <w:lang w:val="pl-PL"/>
              </w:rPr>
            </w:pPr>
            <w:r>
              <w:rPr>
                <w:lang w:eastAsia="pl-PL"/>
              </w:rPr>
              <w:t>2019</w:t>
            </w:r>
          </w:p>
        </w:tc>
        <w:tc>
          <w:tcPr>
            <w:tcW w:w="1278" w:type="dxa"/>
          </w:tcPr>
          <w:p w14:paraId="16062E38" w14:textId="6375A058" w:rsidR="00142622" w:rsidRDefault="00142622" w:rsidP="003E51EB">
            <w:pPr>
              <w:spacing w:line="259" w:lineRule="auto"/>
              <w:ind w:left="0"/>
              <w:contextualSpacing/>
              <w:jc w:val="right"/>
              <w:cnfStyle w:val="100000000000" w:firstRow="1" w:lastRow="0" w:firstColumn="0" w:lastColumn="0" w:oddVBand="0" w:evenVBand="0" w:oddHBand="0" w:evenHBand="0" w:firstRowFirstColumn="0" w:firstRowLastColumn="0" w:lastRowFirstColumn="0" w:lastRowLastColumn="0"/>
              <w:rPr>
                <w:lang w:val="pl-PL"/>
              </w:rPr>
            </w:pPr>
            <w:r>
              <w:rPr>
                <w:lang w:eastAsia="pl-PL"/>
              </w:rPr>
              <w:t>Średnia</w:t>
            </w:r>
          </w:p>
        </w:tc>
      </w:tr>
      <w:tr w:rsidR="00142622" w14:paraId="0F3429EE" w14:textId="77777777" w:rsidTr="00142622">
        <w:tc>
          <w:tcPr>
            <w:cnfStyle w:val="001000000000" w:firstRow="0" w:lastRow="0" w:firstColumn="1" w:lastColumn="0" w:oddVBand="0" w:evenVBand="0" w:oddHBand="0" w:evenHBand="0" w:firstRowFirstColumn="0" w:firstRowLastColumn="0" w:lastRowFirstColumn="0" w:lastRowLastColumn="0"/>
            <w:tcW w:w="1980" w:type="dxa"/>
          </w:tcPr>
          <w:p w14:paraId="4409552E" w14:textId="10F7A7D2" w:rsidR="00142622" w:rsidRDefault="00142622" w:rsidP="003E51EB">
            <w:pPr>
              <w:spacing w:line="259" w:lineRule="auto"/>
              <w:ind w:left="0"/>
              <w:contextualSpacing/>
              <w:rPr>
                <w:lang w:val="pl-PL"/>
              </w:rPr>
            </w:pPr>
            <w:r>
              <w:rPr>
                <w:lang w:eastAsia="pl-PL"/>
              </w:rPr>
              <w:t>Biała Piska</w:t>
            </w:r>
          </w:p>
        </w:tc>
        <w:tc>
          <w:tcPr>
            <w:tcW w:w="1134" w:type="dxa"/>
          </w:tcPr>
          <w:p w14:paraId="35159E0D" w14:textId="07EDEF92"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-0,23</w:t>
            </w:r>
          </w:p>
        </w:tc>
        <w:tc>
          <w:tcPr>
            <w:tcW w:w="1134" w:type="dxa"/>
          </w:tcPr>
          <w:p w14:paraId="195D387C" w14:textId="4E0C6411"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0,91</w:t>
            </w:r>
          </w:p>
        </w:tc>
        <w:tc>
          <w:tcPr>
            <w:tcW w:w="1134" w:type="dxa"/>
          </w:tcPr>
          <w:p w14:paraId="284CA5C5" w14:textId="4C67CA93"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2,18</w:t>
            </w:r>
          </w:p>
        </w:tc>
        <w:tc>
          <w:tcPr>
            <w:tcW w:w="1134" w:type="dxa"/>
          </w:tcPr>
          <w:p w14:paraId="1F803D4D" w14:textId="44D3408B"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-2,27</w:t>
            </w:r>
          </w:p>
        </w:tc>
        <w:tc>
          <w:tcPr>
            <w:tcW w:w="1134" w:type="dxa"/>
          </w:tcPr>
          <w:p w14:paraId="15BC786F" w14:textId="775FF7D9"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0,00</w:t>
            </w:r>
          </w:p>
        </w:tc>
        <w:tc>
          <w:tcPr>
            <w:tcW w:w="1278" w:type="dxa"/>
          </w:tcPr>
          <w:p w14:paraId="7A64FC68" w14:textId="37B43A7E"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ascii="Calibri" w:hAnsi="Calibri"/>
              </w:rPr>
              <w:t>0,12</w:t>
            </w:r>
          </w:p>
        </w:tc>
      </w:tr>
      <w:tr w:rsidR="00142622" w14:paraId="373C37CF" w14:textId="77777777" w:rsidTr="00142622">
        <w:tc>
          <w:tcPr>
            <w:cnfStyle w:val="001000000000" w:firstRow="0" w:lastRow="0" w:firstColumn="1" w:lastColumn="0" w:oddVBand="0" w:evenVBand="0" w:oddHBand="0" w:evenHBand="0" w:firstRowFirstColumn="0" w:firstRowLastColumn="0" w:lastRowFirstColumn="0" w:lastRowLastColumn="0"/>
            <w:tcW w:w="1980" w:type="dxa"/>
          </w:tcPr>
          <w:p w14:paraId="5F394495" w14:textId="1834B497" w:rsidR="00142622" w:rsidRDefault="00142622" w:rsidP="003E51EB">
            <w:pPr>
              <w:spacing w:line="259" w:lineRule="auto"/>
              <w:ind w:left="0"/>
              <w:contextualSpacing/>
              <w:rPr>
                <w:lang w:val="pl-PL"/>
              </w:rPr>
            </w:pPr>
            <w:r>
              <w:rPr>
                <w:lang w:eastAsia="pl-PL"/>
              </w:rPr>
              <w:t>Działdowo – gmina miejska</w:t>
            </w:r>
          </w:p>
        </w:tc>
        <w:tc>
          <w:tcPr>
            <w:tcW w:w="1134" w:type="dxa"/>
          </w:tcPr>
          <w:p w14:paraId="33090004" w14:textId="3900BCE7"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9,86</w:t>
            </w:r>
          </w:p>
        </w:tc>
        <w:tc>
          <w:tcPr>
            <w:tcW w:w="1134" w:type="dxa"/>
          </w:tcPr>
          <w:p w14:paraId="7B5264E7" w14:textId="6C5BBEA9"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12,25</w:t>
            </w:r>
          </w:p>
        </w:tc>
        <w:tc>
          <w:tcPr>
            <w:tcW w:w="1134" w:type="dxa"/>
          </w:tcPr>
          <w:p w14:paraId="22F5EEC0" w14:textId="16AE43F2"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11,56</w:t>
            </w:r>
          </w:p>
        </w:tc>
        <w:tc>
          <w:tcPr>
            <w:tcW w:w="1134" w:type="dxa"/>
          </w:tcPr>
          <w:p w14:paraId="4FD506E7" w14:textId="367159C8"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7,31</w:t>
            </w:r>
          </w:p>
        </w:tc>
        <w:tc>
          <w:tcPr>
            <w:tcW w:w="1134" w:type="dxa"/>
          </w:tcPr>
          <w:p w14:paraId="3A76ACE0" w14:textId="358E1058"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7,49</w:t>
            </w:r>
          </w:p>
        </w:tc>
        <w:tc>
          <w:tcPr>
            <w:tcW w:w="1278" w:type="dxa"/>
          </w:tcPr>
          <w:p w14:paraId="75D2E8DC" w14:textId="2615CCC6"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ascii="Calibri" w:hAnsi="Calibri"/>
              </w:rPr>
              <w:t>9,69</w:t>
            </w:r>
          </w:p>
        </w:tc>
      </w:tr>
      <w:tr w:rsidR="00142622" w14:paraId="1BE27511" w14:textId="77777777" w:rsidTr="00142622">
        <w:tc>
          <w:tcPr>
            <w:cnfStyle w:val="001000000000" w:firstRow="0" w:lastRow="0" w:firstColumn="1" w:lastColumn="0" w:oddVBand="0" w:evenVBand="0" w:oddHBand="0" w:evenHBand="0" w:firstRowFirstColumn="0" w:firstRowLastColumn="0" w:lastRowFirstColumn="0" w:lastRowLastColumn="0"/>
            <w:tcW w:w="1980" w:type="dxa"/>
          </w:tcPr>
          <w:p w14:paraId="1C35CBA8" w14:textId="2D5D8260" w:rsidR="00142622" w:rsidRDefault="00142622" w:rsidP="003E51EB">
            <w:pPr>
              <w:spacing w:line="259" w:lineRule="auto"/>
              <w:ind w:left="0"/>
              <w:contextualSpacing/>
              <w:rPr>
                <w:lang w:val="pl-PL"/>
              </w:rPr>
            </w:pPr>
            <w:r>
              <w:rPr>
                <w:lang w:eastAsia="pl-PL"/>
              </w:rPr>
              <w:t>Działdowo – gmina wiejskaa</w:t>
            </w:r>
          </w:p>
        </w:tc>
        <w:tc>
          <w:tcPr>
            <w:tcW w:w="1134" w:type="dxa"/>
          </w:tcPr>
          <w:p w14:paraId="56D29C22" w14:textId="775F6A6C"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4,69</w:t>
            </w:r>
          </w:p>
        </w:tc>
        <w:tc>
          <w:tcPr>
            <w:tcW w:w="1134" w:type="dxa"/>
          </w:tcPr>
          <w:p w14:paraId="68BCB5B7" w14:textId="2282B15D"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7,24</w:t>
            </w:r>
          </w:p>
        </w:tc>
        <w:tc>
          <w:tcPr>
            <w:tcW w:w="1134" w:type="dxa"/>
          </w:tcPr>
          <w:p w14:paraId="2A9426DE" w14:textId="0ADB07A4"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1,44</w:t>
            </w:r>
          </w:p>
        </w:tc>
        <w:tc>
          <w:tcPr>
            <w:tcW w:w="1134" w:type="dxa"/>
          </w:tcPr>
          <w:p w14:paraId="10A3D005" w14:textId="0FC0E3AA"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5,89</w:t>
            </w:r>
          </w:p>
        </w:tc>
        <w:tc>
          <w:tcPr>
            <w:tcW w:w="1134" w:type="dxa"/>
          </w:tcPr>
          <w:p w14:paraId="776FFA39" w14:textId="75EAB65D"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7,46</w:t>
            </w:r>
          </w:p>
        </w:tc>
        <w:tc>
          <w:tcPr>
            <w:tcW w:w="1278" w:type="dxa"/>
          </w:tcPr>
          <w:p w14:paraId="1DDF5592" w14:textId="4863042C"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ascii="Calibri" w:hAnsi="Calibri"/>
              </w:rPr>
              <w:t>5,34</w:t>
            </w:r>
          </w:p>
        </w:tc>
      </w:tr>
      <w:tr w:rsidR="00142622" w14:paraId="4F54A9A7" w14:textId="77777777" w:rsidTr="00142622">
        <w:tc>
          <w:tcPr>
            <w:cnfStyle w:val="001000000000" w:firstRow="0" w:lastRow="0" w:firstColumn="1" w:lastColumn="0" w:oddVBand="0" w:evenVBand="0" w:oddHBand="0" w:evenHBand="0" w:firstRowFirstColumn="0" w:firstRowLastColumn="0" w:lastRowFirstColumn="0" w:lastRowLastColumn="0"/>
            <w:tcW w:w="1980" w:type="dxa"/>
          </w:tcPr>
          <w:p w14:paraId="59B1DB66" w14:textId="19A3E587" w:rsidR="00142622" w:rsidRDefault="00142622" w:rsidP="003E51EB">
            <w:pPr>
              <w:spacing w:line="259" w:lineRule="auto"/>
              <w:ind w:left="0"/>
              <w:contextualSpacing/>
              <w:rPr>
                <w:lang w:val="pl-PL"/>
              </w:rPr>
            </w:pPr>
            <w:r>
              <w:rPr>
                <w:lang w:eastAsia="pl-PL"/>
              </w:rPr>
              <w:t>Dźwierzuty</w:t>
            </w:r>
          </w:p>
        </w:tc>
        <w:tc>
          <w:tcPr>
            <w:tcW w:w="1134" w:type="dxa"/>
          </w:tcPr>
          <w:p w14:paraId="173ACA2C" w14:textId="3FA921D8"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2,84</w:t>
            </w:r>
          </w:p>
        </w:tc>
        <w:tc>
          <w:tcPr>
            <w:tcW w:w="1134" w:type="dxa"/>
          </w:tcPr>
          <w:p w14:paraId="456AC5F6" w14:textId="56841EFA"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4,07</w:t>
            </w:r>
          </w:p>
        </w:tc>
        <w:tc>
          <w:tcPr>
            <w:tcW w:w="1134" w:type="dxa"/>
          </w:tcPr>
          <w:p w14:paraId="2C394F40" w14:textId="25A54FE9"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4,74</w:t>
            </w:r>
          </w:p>
        </w:tc>
        <w:tc>
          <w:tcPr>
            <w:tcW w:w="1134" w:type="dxa"/>
          </w:tcPr>
          <w:p w14:paraId="2DA21EC5" w14:textId="51F7777C"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3,48</w:t>
            </w:r>
          </w:p>
        </w:tc>
        <w:tc>
          <w:tcPr>
            <w:tcW w:w="1134" w:type="dxa"/>
          </w:tcPr>
          <w:p w14:paraId="3F834136" w14:textId="1DAFA1B9"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5,58</w:t>
            </w:r>
          </w:p>
        </w:tc>
        <w:tc>
          <w:tcPr>
            <w:tcW w:w="1278" w:type="dxa"/>
          </w:tcPr>
          <w:p w14:paraId="29697FB2" w14:textId="75DBE93B"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ascii="Calibri" w:hAnsi="Calibri"/>
              </w:rPr>
              <w:t>4,14</w:t>
            </w:r>
          </w:p>
        </w:tc>
      </w:tr>
      <w:tr w:rsidR="00142622" w14:paraId="4DEAFC5F" w14:textId="77777777" w:rsidTr="00142622">
        <w:tc>
          <w:tcPr>
            <w:cnfStyle w:val="001000000000" w:firstRow="0" w:lastRow="0" w:firstColumn="1" w:lastColumn="0" w:oddVBand="0" w:evenVBand="0" w:oddHBand="0" w:evenHBand="0" w:firstRowFirstColumn="0" w:firstRowLastColumn="0" w:lastRowFirstColumn="0" w:lastRowLastColumn="0"/>
            <w:tcW w:w="1980" w:type="dxa"/>
          </w:tcPr>
          <w:p w14:paraId="7DFD4B46" w14:textId="108F7106" w:rsidR="00142622" w:rsidRDefault="00142622" w:rsidP="003E51EB">
            <w:pPr>
              <w:spacing w:line="259" w:lineRule="auto"/>
              <w:ind w:left="0"/>
              <w:contextualSpacing/>
              <w:rPr>
                <w:lang w:val="pl-PL"/>
              </w:rPr>
            </w:pPr>
            <w:r>
              <w:rPr>
                <w:lang w:eastAsia="pl-PL"/>
              </w:rPr>
              <w:t>Iłowo-Osada</w:t>
            </w:r>
          </w:p>
        </w:tc>
        <w:tc>
          <w:tcPr>
            <w:tcW w:w="1134" w:type="dxa"/>
          </w:tcPr>
          <w:p w14:paraId="793DB3F0" w14:textId="69EFBEEE"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2,83</w:t>
            </w:r>
          </w:p>
        </w:tc>
        <w:tc>
          <w:tcPr>
            <w:tcW w:w="1134" w:type="dxa"/>
          </w:tcPr>
          <w:p w14:paraId="4F2CF399" w14:textId="2D7CA2CE"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8,58</w:t>
            </w:r>
          </w:p>
        </w:tc>
        <w:tc>
          <w:tcPr>
            <w:tcW w:w="1134" w:type="dxa"/>
          </w:tcPr>
          <w:p w14:paraId="0A8A26B4" w14:textId="217E735B"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4,12</w:t>
            </w:r>
          </w:p>
        </w:tc>
        <w:tc>
          <w:tcPr>
            <w:tcW w:w="1134" w:type="dxa"/>
          </w:tcPr>
          <w:p w14:paraId="70FB6D01" w14:textId="0B1C3E95"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3,19</w:t>
            </w:r>
          </w:p>
        </w:tc>
        <w:tc>
          <w:tcPr>
            <w:tcW w:w="1134" w:type="dxa"/>
          </w:tcPr>
          <w:p w14:paraId="7891A03E" w14:textId="55998968"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7,54</w:t>
            </w:r>
          </w:p>
        </w:tc>
        <w:tc>
          <w:tcPr>
            <w:tcW w:w="1278" w:type="dxa"/>
          </w:tcPr>
          <w:p w14:paraId="05BD657C" w14:textId="7E394C38"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ascii="Calibri" w:hAnsi="Calibri"/>
              </w:rPr>
              <w:t>5,25</w:t>
            </w:r>
          </w:p>
        </w:tc>
      </w:tr>
      <w:tr w:rsidR="00142622" w14:paraId="48BDBDE3" w14:textId="77777777" w:rsidTr="00142622">
        <w:tc>
          <w:tcPr>
            <w:cnfStyle w:val="001000000000" w:firstRow="0" w:lastRow="0" w:firstColumn="1" w:lastColumn="0" w:oddVBand="0" w:evenVBand="0" w:oddHBand="0" w:evenHBand="0" w:firstRowFirstColumn="0" w:firstRowLastColumn="0" w:lastRowFirstColumn="0" w:lastRowLastColumn="0"/>
            <w:tcW w:w="1980" w:type="dxa"/>
          </w:tcPr>
          <w:p w14:paraId="4AE09670" w14:textId="772E00B1" w:rsidR="00142622" w:rsidRDefault="00142622" w:rsidP="003E51EB">
            <w:pPr>
              <w:spacing w:line="259" w:lineRule="auto"/>
              <w:ind w:left="0"/>
              <w:contextualSpacing/>
              <w:rPr>
                <w:lang w:val="pl-PL"/>
              </w:rPr>
            </w:pPr>
            <w:r>
              <w:rPr>
                <w:lang w:eastAsia="pl-PL"/>
              </w:rPr>
              <w:t>Janowiec Kościelny</w:t>
            </w:r>
          </w:p>
        </w:tc>
        <w:tc>
          <w:tcPr>
            <w:tcW w:w="1134" w:type="dxa"/>
          </w:tcPr>
          <w:p w14:paraId="24F81CEF" w14:textId="3ADD8C59"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1,99</w:t>
            </w:r>
          </w:p>
        </w:tc>
        <w:tc>
          <w:tcPr>
            <w:tcW w:w="1134" w:type="dxa"/>
          </w:tcPr>
          <w:p w14:paraId="5D7AB2EC" w14:textId="605E0A85"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4,34</w:t>
            </w:r>
          </w:p>
        </w:tc>
        <w:tc>
          <w:tcPr>
            <w:tcW w:w="1134" w:type="dxa"/>
          </w:tcPr>
          <w:p w14:paraId="472EE71E" w14:textId="12C68881"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6,97</w:t>
            </w:r>
          </w:p>
        </w:tc>
        <w:tc>
          <w:tcPr>
            <w:tcW w:w="1134" w:type="dxa"/>
          </w:tcPr>
          <w:p w14:paraId="6D654C80" w14:textId="656F7DD3"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2,72</w:t>
            </w:r>
          </w:p>
        </w:tc>
        <w:tc>
          <w:tcPr>
            <w:tcW w:w="1134" w:type="dxa"/>
          </w:tcPr>
          <w:p w14:paraId="6234CC33" w14:textId="013AF401"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3,07</w:t>
            </w:r>
          </w:p>
        </w:tc>
        <w:tc>
          <w:tcPr>
            <w:tcW w:w="1278" w:type="dxa"/>
          </w:tcPr>
          <w:p w14:paraId="1E8AAA8E" w14:textId="4DAF7080"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ascii="Calibri" w:hAnsi="Calibri"/>
              </w:rPr>
              <w:t>3,82</w:t>
            </w:r>
          </w:p>
        </w:tc>
      </w:tr>
      <w:tr w:rsidR="00142622" w14:paraId="7B720B42" w14:textId="77777777" w:rsidTr="00142622">
        <w:tc>
          <w:tcPr>
            <w:cnfStyle w:val="001000000000" w:firstRow="0" w:lastRow="0" w:firstColumn="1" w:lastColumn="0" w:oddVBand="0" w:evenVBand="0" w:oddHBand="0" w:evenHBand="0" w:firstRowFirstColumn="0" w:firstRowLastColumn="0" w:lastRowFirstColumn="0" w:lastRowLastColumn="0"/>
            <w:tcW w:w="1980" w:type="dxa"/>
          </w:tcPr>
          <w:p w14:paraId="322A7F10" w14:textId="5E7BC9CC" w:rsidR="00142622" w:rsidRDefault="00142622" w:rsidP="003E51EB">
            <w:pPr>
              <w:spacing w:line="259" w:lineRule="auto"/>
              <w:ind w:left="0"/>
              <w:contextualSpacing/>
              <w:rPr>
                <w:lang w:val="pl-PL"/>
              </w:rPr>
            </w:pPr>
            <w:r>
              <w:rPr>
                <w:lang w:eastAsia="pl-PL"/>
              </w:rPr>
              <w:t>Janowo</w:t>
            </w:r>
          </w:p>
        </w:tc>
        <w:tc>
          <w:tcPr>
            <w:tcW w:w="1134" w:type="dxa"/>
          </w:tcPr>
          <w:p w14:paraId="23595B3C" w14:textId="4DF9809C"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6,00</w:t>
            </w:r>
          </w:p>
        </w:tc>
        <w:tc>
          <w:tcPr>
            <w:tcW w:w="1134" w:type="dxa"/>
          </w:tcPr>
          <w:p w14:paraId="360DDF25" w14:textId="77C7B0EB"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0,69</w:t>
            </w:r>
          </w:p>
        </w:tc>
        <w:tc>
          <w:tcPr>
            <w:tcW w:w="1134" w:type="dxa"/>
          </w:tcPr>
          <w:p w14:paraId="4D3659D2" w14:textId="42DB15D1"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-3,66</w:t>
            </w:r>
          </w:p>
        </w:tc>
        <w:tc>
          <w:tcPr>
            <w:tcW w:w="1134" w:type="dxa"/>
          </w:tcPr>
          <w:p w14:paraId="39209CCA" w14:textId="69E0C2DF"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-1,88</w:t>
            </w:r>
          </w:p>
        </w:tc>
        <w:tc>
          <w:tcPr>
            <w:tcW w:w="1134" w:type="dxa"/>
          </w:tcPr>
          <w:p w14:paraId="332BC082" w14:textId="6EA0DDF2"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0,42</w:t>
            </w:r>
          </w:p>
        </w:tc>
        <w:tc>
          <w:tcPr>
            <w:tcW w:w="1278" w:type="dxa"/>
          </w:tcPr>
          <w:p w14:paraId="30850DE0" w14:textId="2C6F6D33"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ascii="Calibri" w:hAnsi="Calibri"/>
              </w:rPr>
              <w:t>0,31</w:t>
            </w:r>
          </w:p>
        </w:tc>
      </w:tr>
      <w:tr w:rsidR="00142622" w14:paraId="464B9C46" w14:textId="77777777" w:rsidTr="00142622">
        <w:tc>
          <w:tcPr>
            <w:cnfStyle w:val="001000000000" w:firstRow="0" w:lastRow="0" w:firstColumn="1" w:lastColumn="0" w:oddVBand="0" w:evenVBand="0" w:oddHBand="0" w:evenHBand="0" w:firstRowFirstColumn="0" w:firstRowLastColumn="0" w:lastRowFirstColumn="0" w:lastRowLastColumn="0"/>
            <w:tcW w:w="1980" w:type="dxa"/>
          </w:tcPr>
          <w:p w14:paraId="6126EEB7" w14:textId="49BD00BD" w:rsidR="00142622" w:rsidRDefault="00142622" w:rsidP="003E51EB">
            <w:pPr>
              <w:spacing w:line="259" w:lineRule="auto"/>
              <w:ind w:left="0"/>
              <w:contextualSpacing/>
              <w:rPr>
                <w:lang w:val="pl-PL"/>
              </w:rPr>
            </w:pPr>
            <w:r>
              <w:rPr>
                <w:lang w:eastAsia="pl-PL"/>
              </w:rPr>
              <w:t>Jedwabno</w:t>
            </w:r>
          </w:p>
        </w:tc>
        <w:tc>
          <w:tcPr>
            <w:tcW w:w="1134" w:type="dxa"/>
          </w:tcPr>
          <w:p w14:paraId="2DA0D98B" w14:textId="72D229E0"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-1,76</w:t>
            </w:r>
          </w:p>
        </w:tc>
        <w:tc>
          <w:tcPr>
            <w:tcW w:w="1134" w:type="dxa"/>
          </w:tcPr>
          <w:p w14:paraId="0EC67507" w14:textId="039D60B4"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4,35</w:t>
            </w:r>
          </w:p>
        </w:tc>
        <w:tc>
          <w:tcPr>
            <w:tcW w:w="1134" w:type="dxa"/>
          </w:tcPr>
          <w:p w14:paraId="6E84449D" w14:textId="47938347"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3,61</w:t>
            </w:r>
          </w:p>
        </w:tc>
        <w:tc>
          <w:tcPr>
            <w:tcW w:w="1134" w:type="dxa"/>
          </w:tcPr>
          <w:p w14:paraId="63492847" w14:textId="012002E1"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2,92</w:t>
            </w:r>
          </w:p>
        </w:tc>
        <w:tc>
          <w:tcPr>
            <w:tcW w:w="1134" w:type="dxa"/>
          </w:tcPr>
          <w:p w14:paraId="089B25B4" w14:textId="441B1B2C"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3,62</w:t>
            </w:r>
          </w:p>
        </w:tc>
        <w:tc>
          <w:tcPr>
            <w:tcW w:w="1278" w:type="dxa"/>
          </w:tcPr>
          <w:p w14:paraId="4302322C" w14:textId="5EEE51FB"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ascii="Calibri" w:hAnsi="Calibri"/>
              </w:rPr>
              <w:t>2,55</w:t>
            </w:r>
          </w:p>
        </w:tc>
      </w:tr>
      <w:tr w:rsidR="00142622" w14:paraId="3A9A2F10" w14:textId="77777777" w:rsidTr="00142622">
        <w:tc>
          <w:tcPr>
            <w:cnfStyle w:val="001000000000" w:firstRow="0" w:lastRow="0" w:firstColumn="1" w:lastColumn="0" w:oddVBand="0" w:evenVBand="0" w:oddHBand="0" w:evenHBand="0" w:firstRowFirstColumn="0" w:firstRowLastColumn="0" w:lastRowFirstColumn="0" w:lastRowLastColumn="0"/>
            <w:tcW w:w="1980" w:type="dxa"/>
          </w:tcPr>
          <w:p w14:paraId="5DB6FE8C" w14:textId="77CBFE2B" w:rsidR="00142622" w:rsidRDefault="00142622" w:rsidP="003E51EB">
            <w:pPr>
              <w:spacing w:line="259" w:lineRule="auto"/>
              <w:ind w:left="0"/>
              <w:contextualSpacing/>
              <w:rPr>
                <w:lang w:val="pl-PL"/>
              </w:rPr>
            </w:pPr>
            <w:r>
              <w:rPr>
                <w:lang w:eastAsia="pl-PL"/>
              </w:rPr>
              <w:t>Kozłowo</w:t>
            </w:r>
          </w:p>
        </w:tc>
        <w:tc>
          <w:tcPr>
            <w:tcW w:w="1134" w:type="dxa"/>
          </w:tcPr>
          <w:p w14:paraId="505027E3" w14:textId="67E2BEB7"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-5,38</w:t>
            </w:r>
          </w:p>
        </w:tc>
        <w:tc>
          <w:tcPr>
            <w:tcW w:w="1134" w:type="dxa"/>
          </w:tcPr>
          <w:p w14:paraId="2E16FFF0" w14:textId="00BB5F81"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2,47</w:t>
            </w:r>
          </w:p>
        </w:tc>
        <w:tc>
          <w:tcPr>
            <w:tcW w:w="1134" w:type="dxa"/>
          </w:tcPr>
          <w:p w14:paraId="4365772C" w14:textId="2F4B965B"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6,63</w:t>
            </w:r>
          </w:p>
        </w:tc>
        <w:tc>
          <w:tcPr>
            <w:tcW w:w="1134" w:type="dxa"/>
          </w:tcPr>
          <w:p w14:paraId="2699BCC9" w14:textId="01D3E746"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2,54</w:t>
            </w:r>
          </w:p>
        </w:tc>
        <w:tc>
          <w:tcPr>
            <w:tcW w:w="1134" w:type="dxa"/>
          </w:tcPr>
          <w:p w14:paraId="72EC30C6" w14:textId="395C089D"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2,66</w:t>
            </w:r>
          </w:p>
        </w:tc>
        <w:tc>
          <w:tcPr>
            <w:tcW w:w="1278" w:type="dxa"/>
          </w:tcPr>
          <w:p w14:paraId="6A182040" w14:textId="1AC33642"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ascii="Calibri" w:hAnsi="Calibri"/>
              </w:rPr>
              <w:t>1,78</w:t>
            </w:r>
          </w:p>
        </w:tc>
      </w:tr>
      <w:tr w:rsidR="00142622" w14:paraId="1280FB06" w14:textId="77777777" w:rsidTr="00142622">
        <w:tc>
          <w:tcPr>
            <w:cnfStyle w:val="001000000000" w:firstRow="0" w:lastRow="0" w:firstColumn="1" w:lastColumn="0" w:oddVBand="0" w:evenVBand="0" w:oddHBand="0" w:evenHBand="0" w:firstRowFirstColumn="0" w:firstRowLastColumn="0" w:lastRowFirstColumn="0" w:lastRowLastColumn="0"/>
            <w:tcW w:w="1980" w:type="dxa"/>
          </w:tcPr>
          <w:p w14:paraId="480C3D4C" w14:textId="4E055226" w:rsidR="00142622" w:rsidRDefault="00142622" w:rsidP="003E51EB">
            <w:pPr>
              <w:spacing w:line="259" w:lineRule="auto"/>
              <w:ind w:left="0"/>
              <w:contextualSpacing/>
              <w:rPr>
                <w:lang w:val="pl-PL"/>
              </w:rPr>
            </w:pPr>
            <w:r>
              <w:rPr>
                <w:lang w:eastAsia="pl-PL"/>
              </w:rPr>
              <w:t>Lidzbark</w:t>
            </w:r>
          </w:p>
        </w:tc>
        <w:tc>
          <w:tcPr>
            <w:tcW w:w="1134" w:type="dxa"/>
          </w:tcPr>
          <w:p w14:paraId="18986733" w14:textId="3D2D6348"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10,9</w:t>
            </w:r>
          </w:p>
        </w:tc>
        <w:tc>
          <w:tcPr>
            <w:tcW w:w="1134" w:type="dxa"/>
          </w:tcPr>
          <w:p w14:paraId="29BBDA28" w14:textId="11469514"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7,54</w:t>
            </w:r>
          </w:p>
        </w:tc>
        <w:tc>
          <w:tcPr>
            <w:tcW w:w="1134" w:type="dxa"/>
          </w:tcPr>
          <w:p w14:paraId="26AD0713" w14:textId="5BD1E486"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6,71</w:t>
            </w:r>
          </w:p>
        </w:tc>
        <w:tc>
          <w:tcPr>
            <w:tcW w:w="1134" w:type="dxa"/>
          </w:tcPr>
          <w:p w14:paraId="56F535DF" w14:textId="1E38D4BB"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7,24</w:t>
            </w:r>
          </w:p>
        </w:tc>
        <w:tc>
          <w:tcPr>
            <w:tcW w:w="1134" w:type="dxa"/>
          </w:tcPr>
          <w:p w14:paraId="1820A147" w14:textId="0545BA91"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4,69</w:t>
            </w:r>
          </w:p>
        </w:tc>
        <w:tc>
          <w:tcPr>
            <w:tcW w:w="1278" w:type="dxa"/>
          </w:tcPr>
          <w:p w14:paraId="36D7DE89" w14:textId="5F12FBBB"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ascii="Calibri" w:hAnsi="Calibri"/>
              </w:rPr>
              <w:t>7,42</w:t>
            </w:r>
          </w:p>
        </w:tc>
      </w:tr>
      <w:tr w:rsidR="00142622" w14:paraId="4E34C9FA" w14:textId="77777777" w:rsidTr="00142622">
        <w:tc>
          <w:tcPr>
            <w:cnfStyle w:val="001000000000" w:firstRow="0" w:lastRow="0" w:firstColumn="1" w:lastColumn="0" w:oddVBand="0" w:evenVBand="0" w:oddHBand="0" w:evenHBand="0" w:firstRowFirstColumn="0" w:firstRowLastColumn="0" w:lastRowFirstColumn="0" w:lastRowLastColumn="0"/>
            <w:tcW w:w="1980" w:type="dxa"/>
          </w:tcPr>
          <w:p w14:paraId="792AD311" w14:textId="76501178" w:rsidR="00142622" w:rsidRDefault="00142622" w:rsidP="003E51EB">
            <w:pPr>
              <w:spacing w:line="259" w:lineRule="auto"/>
              <w:ind w:left="0"/>
              <w:contextualSpacing/>
              <w:rPr>
                <w:lang w:val="pl-PL"/>
              </w:rPr>
            </w:pPr>
            <w:r>
              <w:rPr>
                <w:lang w:eastAsia="pl-PL"/>
              </w:rPr>
              <w:t>Nidzica</w:t>
            </w:r>
          </w:p>
        </w:tc>
        <w:tc>
          <w:tcPr>
            <w:tcW w:w="1134" w:type="dxa"/>
          </w:tcPr>
          <w:p w14:paraId="7AF034B9" w14:textId="78BB0EF1"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7,61</w:t>
            </w:r>
          </w:p>
        </w:tc>
        <w:tc>
          <w:tcPr>
            <w:tcW w:w="1134" w:type="dxa"/>
          </w:tcPr>
          <w:p w14:paraId="6C239FA8" w14:textId="3B39388D"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7,36</w:t>
            </w:r>
          </w:p>
        </w:tc>
        <w:tc>
          <w:tcPr>
            <w:tcW w:w="1134" w:type="dxa"/>
          </w:tcPr>
          <w:p w14:paraId="2DB0D303" w14:textId="1D3B3C96"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2,43</w:t>
            </w:r>
          </w:p>
        </w:tc>
        <w:tc>
          <w:tcPr>
            <w:tcW w:w="1134" w:type="dxa"/>
          </w:tcPr>
          <w:p w14:paraId="739BF1FA" w14:textId="04900549"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1,39</w:t>
            </w:r>
          </w:p>
        </w:tc>
        <w:tc>
          <w:tcPr>
            <w:tcW w:w="1134" w:type="dxa"/>
          </w:tcPr>
          <w:p w14:paraId="409F067F" w14:textId="24277D3D"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3,05</w:t>
            </w:r>
          </w:p>
        </w:tc>
        <w:tc>
          <w:tcPr>
            <w:tcW w:w="1278" w:type="dxa"/>
          </w:tcPr>
          <w:p w14:paraId="2FC90796" w14:textId="19FC5E16"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ascii="Calibri" w:hAnsi="Calibri"/>
              </w:rPr>
              <w:t>4,37</w:t>
            </w:r>
          </w:p>
        </w:tc>
      </w:tr>
      <w:tr w:rsidR="00142622" w14:paraId="78228664" w14:textId="77777777" w:rsidTr="00142622">
        <w:tc>
          <w:tcPr>
            <w:cnfStyle w:val="001000000000" w:firstRow="0" w:lastRow="0" w:firstColumn="1" w:lastColumn="0" w:oddVBand="0" w:evenVBand="0" w:oddHBand="0" w:evenHBand="0" w:firstRowFirstColumn="0" w:firstRowLastColumn="0" w:lastRowFirstColumn="0" w:lastRowLastColumn="0"/>
            <w:tcW w:w="1980" w:type="dxa"/>
          </w:tcPr>
          <w:p w14:paraId="5A355668" w14:textId="01B22C11" w:rsidR="00142622" w:rsidRDefault="00142622" w:rsidP="003E51EB">
            <w:pPr>
              <w:spacing w:line="259" w:lineRule="auto"/>
              <w:ind w:left="0"/>
              <w:contextualSpacing/>
              <w:rPr>
                <w:lang w:val="pl-PL"/>
              </w:rPr>
            </w:pPr>
            <w:r>
              <w:rPr>
                <w:lang w:eastAsia="pl-PL"/>
              </w:rPr>
              <w:t>Orzysz</w:t>
            </w:r>
          </w:p>
        </w:tc>
        <w:tc>
          <w:tcPr>
            <w:tcW w:w="1134" w:type="dxa"/>
          </w:tcPr>
          <w:p w14:paraId="4B40C4C6" w14:textId="2B5132E3"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0,48</w:t>
            </w:r>
          </w:p>
        </w:tc>
        <w:tc>
          <w:tcPr>
            <w:tcW w:w="1134" w:type="dxa"/>
          </w:tcPr>
          <w:p w14:paraId="0EC9B67A" w14:textId="6519F679"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1,02</w:t>
            </w:r>
          </w:p>
        </w:tc>
        <w:tc>
          <w:tcPr>
            <w:tcW w:w="1134" w:type="dxa"/>
          </w:tcPr>
          <w:p w14:paraId="6B6A11ED" w14:textId="30115FCB"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1,91</w:t>
            </w:r>
          </w:p>
        </w:tc>
        <w:tc>
          <w:tcPr>
            <w:tcW w:w="1134" w:type="dxa"/>
          </w:tcPr>
          <w:p w14:paraId="5F3EA65C" w14:textId="2594AE70"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1,06</w:t>
            </w:r>
          </w:p>
        </w:tc>
        <w:tc>
          <w:tcPr>
            <w:tcW w:w="1134" w:type="dxa"/>
          </w:tcPr>
          <w:p w14:paraId="0180FB9B" w14:textId="53F4C14C"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5,27</w:t>
            </w:r>
          </w:p>
        </w:tc>
        <w:tc>
          <w:tcPr>
            <w:tcW w:w="1278" w:type="dxa"/>
          </w:tcPr>
          <w:p w14:paraId="4C41172A" w14:textId="6FA86CCE"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ascii="Calibri" w:hAnsi="Calibri"/>
              </w:rPr>
              <w:t>1,95</w:t>
            </w:r>
          </w:p>
        </w:tc>
      </w:tr>
      <w:tr w:rsidR="00142622" w14:paraId="7D71EC8D" w14:textId="77777777" w:rsidTr="00142622">
        <w:tc>
          <w:tcPr>
            <w:cnfStyle w:val="001000000000" w:firstRow="0" w:lastRow="0" w:firstColumn="1" w:lastColumn="0" w:oddVBand="0" w:evenVBand="0" w:oddHBand="0" w:evenHBand="0" w:firstRowFirstColumn="0" w:firstRowLastColumn="0" w:lastRowFirstColumn="0" w:lastRowLastColumn="0"/>
            <w:tcW w:w="1980" w:type="dxa"/>
          </w:tcPr>
          <w:p w14:paraId="5F8A915A" w14:textId="2B62FFC4" w:rsidR="00142622" w:rsidRDefault="00142622" w:rsidP="003E51EB">
            <w:pPr>
              <w:spacing w:line="259" w:lineRule="auto"/>
              <w:ind w:left="0"/>
              <w:contextualSpacing/>
              <w:rPr>
                <w:lang w:val="pl-PL"/>
              </w:rPr>
            </w:pPr>
            <w:r>
              <w:rPr>
                <w:lang w:eastAsia="pl-PL"/>
              </w:rPr>
              <w:t>Pasym</w:t>
            </w:r>
          </w:p>
        </w:tc>
        <w:tc>
          <w:tcPr>
            <w:tcW w:w="1134" w:type="dxa"/>
          </w:tcPr>
          <w:p w14:paraId="61F7209B" w14:textId="0FFACF75"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5,23</w:t>
            </w:r>
          </w:p>
        </w:tc>
        <w:tc>
          <w:tcPr>
            <w:tcW w:w="1134" w:type="dxa"/>
          </w:tcPr>
          <w:p w14:paraId="60AABE43" w14:textId="23F57966"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9,95</w:t>
            </w:r>
          </w:p>
        </w:tc>
        <w:tc>
          <w:tcPr>
            <w:tcW w:w="1134" w:type="dxa"/>
          </w:tcPr>
          <w:p w14:paraId="1151F605" w14:textId="1B3EF2E2"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11,49</w:t>
            </w:r>
          </w:p>
        </w:tc>
        <w:tc>
          <w:tcPr>
            <w:tcW w:w="1134" w:type="dxa"/>
          </w:tcPr>
          <w:p w14:paraId="1057E3F4" w14:textId="58F87DC0"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6,83</w:t>
            </w:r>
          </w:p>
        </w:tc>
        <w:tc>
          <w:tcPr>
            <w:tcW w:w="1134" w:type="dxa"/>
          </w:tcPr>
          <w:p w14:paraId="16D0BBB8" w14:textId="4FFD0AB0"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-33,15</w:t>
            </w:r>
          </w:p>
        </w:tc>
        <w:tc>
          <w:tcPr>
            <w:tcW w:w="1278" w:type="dxa"/>
          </w:tcPr>
          <w:p w14:paraId="60BE3E89" w14:textId="398FD6E8"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ascii="Calibri" w:hAnsi="Calibri"/>
              </w:rPr>
              <w:t>0,07</w:t>
            </w:r>
          </w:p>
        </w:tc>
      </w:tr>
      <w:tr w:rsidR="00142622" w14:paraId="1F484C31" w14:textId="77777777" w:rsidTr="00142622">
        <w:tc>
          <w:tcPr>
            <w:cnfStyle w:val="001000000000" w:firstRow="0" w:lastRow="0" w:firstColumn="1" w:lastColumn="0" w:oddVBand="0" w:evenVBand="0" w:oddHBand="0" w:evenHBand="0" w:firstRowFirstColumn="0" w:firstRowLastColumn="0" w:lastRowFirstColumn="0" w:lastRowLastColumn="0"/>
            <w:tcW w:w="1980" w:type="dxa"/>
          </w:tcPr>
          <w:p w14:paraId="168CD4D0" w14:textId="5E345B5F" w:rsidR="00142622" w:rsidRDefault="00142622" w:rsidP="003E51EB">
            <w:pPr>
              <w:spacing w:line="259" w:lineRule="auto"/>
              <w:ind w:left="0"/>
              <w:contextualSpacing/>
              <w:rPr>
                <w:lang w:val="pl-PL"/>
              </w:rPr>
            </w:pPr>
            <w:r>
              <w:rPr>
                <w:lang w:eastAsia="pl-PL"/>
              </w:rPr>
              <w:t>Pisz</w:t>
            </w:r>
          </w:p>
        </w:tc>
        <w:tc>
          <w:tcPr>
            <w:tcW w:w="1134" w:type="dxa"/>
          </w:tcPr>
          <w:p w14:paraId="33CCDF25" w14:textId="19A2243B"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-3,38</w:t>
            </w:r>
          </w:p>
        </w:tc>
        <w:tc>
          <w:tcPr>
            <w:tcW w:w="1134" w:type="dxa"/>
          </w:tcPr>
          <w:p w14:paraId="55994F07" w14:textId="7C54A14E"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0,38</w:t>
            </w:r>
          </w:p>
        </w:tc>
        <w:tc>
          <w:tcPr>
            <w:tcW w:w="1134" w:type="dxa"/>
          </w:tcPr>
          <w:p w14:paraId="7579AF68" w14:textId="55BD1E2D"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2,06</w:t>
            </w:r>
          </w:p>
        </w:tc>
        <w:tc>
          <w:tcPr>
            <w:tcW w:w="1134" w:type="dxa"/>
          </w:tcPr>
          <w:p w14:paraId="584B3040" w14:textId="533B9377"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5,21</w:t>
            </w:r>
          </w:p>
        </w:tc>
        <w:tc>
          <w:tcPr>
            <w:tcW w:w="1134" w:type="dxa"/>
          </w:tcPr>
          <w:p w14:paraId="5786F0AC" w14:textId="2F952462"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7,68</w:t>
            </w:r>
          </w:p>
        </w:tc>
        <w:tc>
          <w:tcPr>
            <w:tcW w:w="1278" w:type="dxa"/>
          </w:tcPr>
          <w:p w14:paraId="6ECBE620" w14:textId="07A18983"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ascii="Calibri" w:hAnsi="Calibri"/>
              </w:rPr>
              <w:t>2,39</w:t>
            </w:r>
          </w:p>
        </w:tc>
      </w:tr>
      <w:tr w:rsidR="00142622" w14:paraId="060E7079" w14:textId="77777777" w:rsidTr="00142622">
        <w:tc>
          <w:tcPr>
            <w:cnfStyle w:val="001000000000" w:firstRow="0" w:lastRow="0" w:firstColumn="1" w:lastColumn="0" w:oddVBand="0" w:evenVBand="0" w:oddHBand="0" w:evenHBand="0" w:firstRowFirstColumn="0" w:firstRowLastColumn="0" w:lastRowFirstColumn="0" w:lastRowLastColumn="0"/>
            <w:tcW w:w="1980" w:type="dxa"/>
          </w:tcPr>
          <w:p w14:paraId="339FC34D" w14:textId="5B252C1F" w:rsidR="00142622" w:rsidRDefault="00142622" w:rsidP="003E51EB">
            <w:pPr>
              <w:spacing w:line="259" w:lineRule="auto"/>
              <w:ind w:left="0"/>
              <w:contextualSpacing/>
              <w:rPr>
                <w:lang w:val="pl-PL"/>
              </w:rPr>
            </w:pPr>
            <w:r>
              <w:rPr>
                <w:lang w:eastAsia="pl-PL"/>
              </w:rPr>
              <w:t>Płośnica</w:t>
            </w:r>
          </w:p>
        </w:tc>
        <w:tc>
          <w:tcPr>
            <w:tcW w:w="1134" w:type="dxa"/>
          </w:tcPr>
          <w:p w14:paraId="1314301A" w14:textId="3C1A90AE"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15,36</w:t>
            </w:r>
          </w:p>
        </w:tc>
        <w:tc>
          <w:tcPr>
            <w:tcW w:w="1134" w:type="dxa"/>
          </w:tcPr>
          <w:p w14:paraId="088601BB" w14:textId="622D40DF"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16,66</w:t>
            </w:r>
          </w:p>
        </w:tc>
        <w:tc>
          <w:tcPr>
            <w:tcW w:w="1134" w:type="dxa"/>
          </w:tcPr>
          <w:p w14:paraId="17FD23D3" w14:textId="7D1E86CC"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16,8</w:t>
            </w:r>
          </w:p>
        </w:tc>
        <w:tc>
          <w:tcPr>
            <w:tcW w:w="1134" w:type="dxa"/>
          </w:tcPr>
          <w:p w14:paraId="655414AA" w14:textId="17262D82"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8,55</w:t>
            </w:r>
          </w:p>
        </w:tc>
        <w:tc>
          <w:tcPr>
            <w:tcW w:w="1134" w:type="dxa"/>
          </w:tcPr>
          <w:p w14:paraId="65A9B4BE" w14:textId="2EAC8F32"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11,92</w:t>
            </w:r>
          </w:p>
        </w:tc>
        <w:tc>
          <w:tcPr>
            <w:tcW w:w="1278" w:type="dxa"/>
          </w:tcPr>
          <w:p w14:paraId="3A87C7F2" w14:textId="2CFE4922"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ascii="Calibri" w:hAnsi="Calibri"/>
              </w:rPr>
              <w:t>13,86</w:t>
            </w:r>
          </w:p>
        </w:tc>
      </w:tr>
      <w:tr w:rsidR="00142622" w14:paraId="038F9364" w14:textId="77777777" w:rsidTr="00142622">
        <w:tc>
          <w:tcPr>
            <w:cnfStyle w:val="001000000000" w:firstRow="0" w:lastRow="0" w:firstColumn="1" w:lastColumn="0" w:oddVBand="0" w:evenVBand="0" w:oddHBand="0" w:evenHBand="0" w:firstRowFirstColumn="0" w:firstRowLastColumn="0" w:lastRowFirstColumn="0" w:lastRowLastColumn="0"/>
            <w:tcW w:w="1980" w:type="dxa"/>
          </w:tcPr>
          <w:p w14:paraId="72FD9876" w14:textId="32485A45" w:rsidR="00142622" w:rsidRDefault="00142622" w:rsidP="003E51EB">
            <w:pPr>
              <w:spacing w:line="259" w:lineRule="auto"/>
              <w:ind w:left="0"/>
              <w:contextualSpacing/>
              <w:rPr>
                <w:lang w:val="pl-PL"/>
              </w:rPr>
            </w:pPr>
            <w:r>
              <w:rPr>
                <w:lang w:eastAsia="pl-PL"/>
              </w:rPr>
              <w:t>Rozogi</w:t>
            </w:r>
          </w:p>
        </w:tc>
        <w:tc>
          <w:tcPr>
            <w:tcW w:w="1134" w:type="dxa"/>
          </w:tcPr>
          <w:p w14:paraId="05CEE427" w14:textId="1CBBD665"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9,11</w:t>
            </w:r>
          </w:p>
        </w:tc>
        <w:tc>
          <w:tcPr>
            <w:tcW w:w="1134" w:type="dxa"/>
          </w:tcPr>
          <w:p w14:paraId="6D135441" w14:textId="6D1CA58C"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4,52</w:t>
            </w:r>
          </w:p>
        </w:tc>
        <w:tc>
          <w:tcPr>
            <w:tcW w:w="1134" w:type="dxa"/>
          </w:tcPr>
          <w:p w14:paraId="19942246" w14:textId="7F07E949"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0,85</w:t>
            </w:r>
          </w:p>
        </w:tc>
        <w:tc>
          <w:tcPr>
            <w:tcW w:w="1134" w:type="dxa"/>
          </w:tcPr>
          <w:p w14:paraId="62F39731" w14:textId="6D8D986B"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-3,26</w:t>
            </w:r>
          </w:p>
        </w:tc>
        <w:tc>
          <w:tcPr>
            <w:tcW w:w="1134" w:type="dxa"/>
          </w:tcPr>
          <w:p w14:paraId="35FC22BF" w14:textId="6C1D274C"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-0,65</w:t>
            </w:r>
          </w:p>
        </w:tc>
        <w:tc>
          <w:tcPr>
            <w:tcW w:w="1278" w:type="dxa"/>
          </w:tcPr>
          <w:p w14:paraId="24CDBB1A" w14:textId="35797423"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ascii="Calibri" w:hAnsi="Calibri"/>
              </w:rPr>
              <w:t>2,11</w:t>
            </w:r>
          </w:p>
        </w:tc>
      </w:tr>
      <w:tr w:rsidR="00142622" w14:paraId="2A8FB6EA" w14:textId="77777777" w:rsidTr="00142622">
        <w:tc>
          <w:tcPr>
            <w:cnfStyle w:val="001000000000" w:firstRow="0" w:lastRow="0" w:firstColumn="1" w:lastColumn="0" w:oddVBand="0" w:evenVBand="0" w:oddHBand="0" w:evenHBand="0" w:firstRowFirstColumn="0" w:firstRowLastColumn="0" w:lastRowFirstColumn="0" w:lastRowLastColumn="0"/>
            <w:tcW w:w="1980" w:type="dxa"/>
          </w:tcPr>
          <w:p w14:paraId="3616069F" w14:textId="0F69415A" w:rsidR="00142622" w:rsidRDefault="00142622" w:rsidP="003E51EB">
            <w:pPr>
              <w:spacing w:line="259" w:lineRule="auto"/>
              <w:ind w:left="0"/>
              <w:contextualSpacing/>
              <w:rPr>
                <w:lang w:val="pl-PL"/>
              </w:rPr>
            </w:pPr>
            <w:r>
              <w:rPr>
                <w:lang w:eastAsia="pl-PL"/>
              </w:rPr>
              <w:t>Ruciane-Nida</w:t>
            </w:r>
          </w:p>
        </w:tc>
        <w:tc>
          <w:tcPr>
            <w:tcW w:w="1134" w:type="dxa"/>
          </w:tcPr>
          <w:p w14:paraId="0608CA72" w14:textId="53FCDCFB"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0,04</w:t>
            </w:r>
          </w:p>
        </w:tc>
        <w:tc>
          <w:tcPr>
            <w:tcW w:w="1134" w:type="dxa"/>
          </w:tcPr>
          <w:p w14:paraId="1A4B323C" w14:textId="26B6675F"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4,89</w:t>
            </w:r>
          </w:p>
        </w:tc>
        <w:tc>
          <w:tcPr>
            <w:tcW w:w="1134" w:type="dxa"/>
          </w:tcPr>
          <w:p w14:paraId="51D2F1D3" w14:textId="3EA8675A"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12,27</w:t>
            </w:r>
          </w:p>
        </w:tc>
        <w:tc>
          <w:tcPr>
            <w:tcW w:w="1134" w:type="dxa"/>
          </w:tcPr>
          <w:p w14:paraId="2494172D" w14:textId="5D91B83E"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10,31</w:t>
            </w:r>
          </w:p>
        </w:tc>
        <w:tc>
          <w:tcPr>
            <w:tcW w:w="1134" w:type="dxa"/>
          </w:tcPr>
          <w:p w14:paraId="6049E5EC" w14:textId="3A56067A"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16,51</w:t>
            </w:r>
          </w:p>
        </w:tc>
        <w:tc>
          <w:tcPr>
            <w:tcW w:w="1278" w:type="dxa"/>
          </w:tcPr>
          <w:p w14:paraId="0E068101" w14:textId="11435C00"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ascii="Calibri" w:hAnsi="Calibri"/>
              </w:rPr>
              <w:t>8,80</w:t>
            </w:r>
          </w:p>
        </w:tc>
      </w:tr>
      <w:tr w:rsidR="00142622" w14:paraId="26D3CF2E" w14:textId="77777777" w:rsidTr="00142622">
        <w:tc>
          <w:tcPr>
            <w:cnfStyle w:val="001000000000" w:firstRow="0" w:lastRow="0" w:firstColumn="1" w:lastColumn="0" w:oddVBand="0" w:evenVBand="0" w:oddHBand="0" w:evenHBand="0" w:firstRowFirstColumn="0" w:firstRowLastColumn="0" w:lastRowFirstColumn="0" w:lastRowLastColumn="0"/>
            <w:tcW w:w="1980" w:type="dxa"/>
          </w:tcPr>
          <w:p w14:paraId="666907A5" w14:textId="602D3222" w:rsidR="00142622" w:rsidRDefault="00142622" w:rsidP="003E51EB">
            <w:pPr>
              <w:spacing w:line="259" w:lineRule="auto"/>
              <w:ind w:left="0"/>
              <w:contextualSpacing/>
              <w:rPr>
                <w:lang w:val="pl-PL"/>
              </w:rPr>
            </w:pPr>
            <w:r>
              <w:rPr>
                <w:lang w:eastAsia="pl-PL"/>
              </w:rPr>
              <w:t>Rybno</w:t>
            </w:r>
          </w:p>
        </w:tc>
        <w:tc>
          <w:tcPr>
            <w:tcW w:w="1134" w:type="dxa"/>
          </w:tcPr>
          <w:p w14:paraId="66574092" w14:textId="40E91CCA"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4,65</w:t>
            </w:r>
          </w:p>
        </w:tc>
        <w:tc>
          <w:tcPr>
            <w:tcW w:w="1134" w:type="dxa"/>
          </w:tcPr>
          <w:p w14:paraId="3C551601" w14:textId="4A025470"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2,1</w:t>
            </w:r>
          </w:p>
        </w:tc>
        <w:tc>
          <w:tcPr>
            <w:tcW w:w="1134" w:type="dxa"/>
          </w:tcPr>
          <w:p w14:paraId="2739EC99" w14:textId="566E2B79"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2,24</w:t>
            </w:r>
          </w:p>
        </w:tc>
        <w:tc>
          <w:tcPr>
            <w:tcW w:w="1134" w:type="dxa"/>
          </w:tcPr>
          <w:p w14:paraId="743660F4" w14:textId="5B86922E"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2,46</w:t>
            </w:r>
          </w:p>
        </w:tc>
        <w:tc>
          <w:tcPr>
            <w:tcW w:w="1134" w:type="dxa"/>
          </w:tcPr>
          <w:p w14:paraId="65325365" w14:textId="54A2C4A7"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5,01</w:t>
            </w:r>
          </w:p>
        </w:tc>
        <w:tc>
          <w:tcPr>
            <w:tcW w:w="1278" w:type="dxa"/>
          </w:tcPr>
          <w:p w14:paraId="56B6331D" w14:textId="035F21A0"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ascii="Calibri" w:hAnsi="Calibri"/>
              </w:rPr>
              <w:t>3,29</w:t>
            </w:r>
          </w:p>
        </w:tc>
      </w:tr>
      <w:tr w:rsidR="00142622" w14:paraId="419490F8" w14:textId="77777777" w:rsidTr="00142622">
        <w:tc>
          <w:tcPr>
            <w:cnfStyle w:val="001000000000" w:firstRow="0" w:lastRow="0" w:firstColumn="1" w:lastColumn="0" w:oddVBand="0" w:evenVBand="0" w:oddHBand="0" w:evenHBand="0" w:firstRowFirstColumn="0" w:firstRowLastColumn="0" w:lastRowFirstColumn="0" w:lastRowLastColumn="0"/>
            <w:tcW w:w="1980" w:type="dxa"/>
          </w:tcPr>
          <w:p w14:paraId="26BFE3EA" w14:textId="73999A43" w:rsidR="00142622" w:rsidRDefault="00142622" w:rsidP="003E51EB">
            <w:pPr>
              <w:spacing w:line="259" w:lineRule="auto"/>
              <w:ind w:left="0"/>
              <w:contextualSpacing/>
              <w:rPr>
                <w:lang w:val="pl-PL"/>
              </w:rPr>
            </w:pPr>
            <w:r>
              <w:rPr>
                <w:lang w:eastAsia="pl-PL"/>
              </w:rPr>
              <w:t xml:space="preserve">Szczytno – gmina miejska </w:t>
            </w:r>
          </w:p>
        </w:tc>
        <w:tc>
          <w:tcPr>
            <w:tcW w:w="1134" w:type="dxa"/>
          </w:tcPr>
          <w:p w14:paraId="2A97576F" w14:textId="66C003CF"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5,39</w:t>
            </w:r>
          </w:p>
        </w:tc>
        <w:tc>
          <w:tcPr>
            <w:tcW w:w="1134" w:type="dxa"/>
          </w:tcPr>
          <w:p w14:paraId="0B02057C" w14:textId="6F5F059F"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3,53</w:t>
            </w:r>
          </w:p>
        </w:tc>
        <w:tc>
          <w:tcPr>
            <w:tcW w:w="1134" w:type="dxa"/>
          </w:tcPr>
          <w:p w14:paraId="67991673" w14:textId="2B679468"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2,3</w:t>
            </w:r>
          </w:p>
        </w:tc>
        <w:tc>
          <w:tcPr>
            <w:tcW w:w="1134" w:type="dxa"/>
          </w:tcPr>
          <w:p w14:paraId="76FF20A7" w14:textId="3FB52622"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2,99</w:t>
            </w:r>
          </w:p>
        </w:tc>
        <w:tc>
          <w:tcPr>
            <w:tcW w:w="1134" w:type="dxa"/>
          </w:tcPr>
          <w:p w14:paraId="34948F92" w14:textId="2384C3B7"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2,05</w:t>
            </w:r>
          </w:p>
        </w:tc>
        <w:tc>
          <w:tcPr>
            <w:tcW w:w="1278" w:type="dxa"/>
          </w:tcPr>
          <w:p w14:paraId="425492E7" w14:textId="37550365"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ascii="Calibri" w:hAnsi="Calibri"/>
              </w:rPr>
              <w:t>3,25</w:t>
            </w:r>
          </w:p>
        </w:tc>
      </w:tr>
      <w:tr w:rsidR="00142622" w14:paraId="5A8C8447" w14:textId="77777777" w:rsidTr="00142622">
        <w:tc>
          <w:tcPr>
            <w:cnfStyle w:val="001000000000" w:firstRow="0" w:lastRow="0" w:firstColumn="1" w:lastColumn="0" w:oddVBand="0" w:evenVBand="0" w:oddHBand="0" w:evenHBand="0" w:firstRowFirstColumn="0" w:firstRowLastColumn="0" w:lastRowFirstColumn="0" w:lastRowLastColumn="0"/>
            <w:tcW w:w="1980" w:type="dxa"/>
          </w:tcPr>
          <w:p w14:paraId="7B8A46E4" w14:textId="53701135" w:rsidR="00142622" w:rsidRDefault="00142622" w:rsidP="003E51EB">
            <w:pPr>
              <w:spacing w:line="259" w:lineRule="auto"/>
              <w:ind w:left="0"/>
              <w:contextualSpacing/>
              <w:rPr>
                <w:lang w:val="pl-PL"/>
              </w:rPr>
            </w:pPr>
            <w:r>
              <w:rPr>
                <w:lang w:eastAsia="pl-PL"/>
              </w:rPr>
              <w:t>Szczytno – gmina wiejska</w:t>
            </w:r>
          </w:p>
        </w:tc>
        <w:tc>
          <w:tcPr>
            <w:tcW w:w="1134" w:type="dxa"/>
          </w:tcPr>
          <w:p w14:paraId="02CEA001" w14:textId="0D50FE17"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1,27</w:t>
            </w:r>
          </w:p>
        </w:tc>
        <w:tc>
          <w:tcPr>
            <w:tcW w:w="1134" w:type="dxa"/>
          </w:tcPr>
          <w:p w14:paraId="4BDCED8D" w14:textId="7730780B"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10,21</w:t>
            </w:r>
          </w:p>
        </w:tc>
        <w:tc>
          <w:tcPr>
            <w:tcW w:w="1134" w:type="dxa"/>
          </w:tcPr>
          <w:p w14:paraId="759213FC" w14:textId="197A26F9"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8,32</w:t>
            </w:r>
          </w:p>
        </w:tc>
        <w:tc>
          <w:tcPr>
            <w:tcW w:w="1134" w:type="dxa"/>
          </w:tcPr>
          <w:p w14:paraId="0015B29F" w14:textId="7E35E45D"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7,05</w:t>
            </w:r>
          </w:p>
        </w:tc>
        <w:tc>
          <w:tcPr>
            <w:tcW w:w="1134" w:type="dxa"/>
          </w:tcPr>
          <w:p w14:paraId="5B722BD7" w14:textId="7486AFAE"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11,59</w:t>
            </w:r>
          </w:p>
        </w:tc>
        <w:tc>
          <w:tcPr>
            <w:tcW w:w="1278" w:type="dxa"/>
          </w:tcPr>
          <w:p w14:paraId="4608CC25" w14:textId="6E0E95A0"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ascii="Calibri" w:hAnsi="Calibri"/>
              </w:rPr>
              <w:t>7,69</w:t>
            </w:r>
          </w:p>
        </w:tc>
      </w:tr>
      <w:tr w:rsidR="00142622" w14:paraId="6608BA9E" w14:textId="77777777" w:rsidTr="00142622">
        <w:tc>
          <w:tcPr>
            <w:cnfStyle w:val="001000000000" w:firstRow="0" w:lastRow="0" w:firstColumn="1" w:lastColumn="0" w:oddVBand="0" w:evenVBand="0" w:oddHBand="0" w:evenHBand="0" w:firstRowFirstColumn="0" w:firstRowLastColumn="0" w:lastRowFirstColumn="0" w:lastRowLastColumn="0"/>
            <w:tcW w:w="1980" w:type="dxa"/>
          </w:tcPr>
          <w:p w14:paraId="5BBB73A7" w14:textId="408F1F39" w:rsidR="00142622" w:rsidRDefault="00142622" w:rsidP="003E51EB">
            <w:pPr>
              <w:spacing w:line="259" w:lineRule="auto"/>
              <w:ind w:left="0"/>
              <w:contextualSpacing/>
              <w:rPr>
                <w:lang w:val="pl-PL"/>
              </w:rPr>
            </w:pPr>
            <w:r>
              <w:rPr>
                <w:lang w:eastAsia="pl-PL"/>
              </w:rPr>
              <w:t>Wielbark</w:t>
            </w:r>
          </w:p>
        </w:tc>
        <w:tc>
          <w:tcPr>
            <w:tcW w:w="1134" w:type="dxa"/>
          </w:tcPr>
          <w:p w14:paraId="4150C208" w14:textId="4DADB089"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11,13</w:t>
            </w:r>
          </w:p>
        </w:tc>
        <w:tc>
          <w:tcPr>
            <w:tcW w:w="1134" w:type="dxa"/>
          </w:tcPr>
          <w:p w14:paraId="52308A1E" w14:textId="1B5A6804"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10,11</w:t>
            </w:r>
          </w:p>
        </w:tc>
        <w:tc>
          <w:tcPr>
            <w:tcW w:w="1134" w:type="dxa"/>
          </w:tcPr>
          <w:p w14:paraId="2B2F793E" w14:textId="765518AC"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9,44</w:t>
            </w:r>
          </w:p>
        </w:tc>
        <w:tc>
          <w:tcPr>
            <w:tcW w:w="1134" w:type="dxa"/>
          </w:tcPr>
          <w:p w14:paraId="574AF8EB" w14:textId="39A079AB"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4,47</w:t>
            </w:r>
          </w:p>
        </w:tc>
        <w:tc>
          <w:tcPr>
            <w:tcW w:w="1134" w:type="dxa"/>
          </w:tcPr>
          <w:p w14:paraId="723C2E74" w14:textId="5C686046"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6,97</w:t>
            </w:r>
          </w:p>
        </w:tc>
        <w:tc>
          <w:tcPr>
            <w:tcW w:w="1278" w:type="dxa"/>
          </w:tcPr>
          <w:p w14:paraId="09CF053D" w14:textId="2B423E63"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ascii="Calibri" w:hAnsi="Calibri"/>
              </w:rPr>
              <w:t>8,42</w:t>
            </w:r>
          </w:p>
        </w:tc>
      </w:tr>
      <w:tr w:rsidR="00142622" w14:paraId="64F4CD10" w14:textId="77777777" w:rsidTr="00142622">
        <w:tc>
          <w:tcPr>
            <w:cnfStyle w:val="001000000000" w:firstRow="0" w:lastRow="0" w:firstColumn="1" w:lastColumn="0" w:oddVBand="0" w:evenVBand="0" w:oddHBand="0" w:evenHBand="0" w:firstRowFirstColumn="0" w:firstRowLastColumn="0" w:lastRowFirstColumn="0" w:lastRowLastColumn="0"/>
            <w:tcW w:w="1980" w:type="dxa"/>
          </w:tcPr>
          <w:p w14:paraId="77EC27D8" w14:textId="27603774" w:rsidR="00142622" w:rsidRDefault="00142622" w:rsidP="003E51EB">
            <w:pPr>
              <w:spacing w:line="259" w:lineRule="auto"/>
              <w:ind w:left="0"/>
              <w:contextualSpacing/>
              <w:rPr>
                <w:lang w:val="pl-PL"/>
              </w:rPr>
            </w:pPr>
            <w:r>
              <w:rPr>
                <w:lang w:eastAsia="pl-PL"/>
              </w:rPr>
              <w:t>Świętajno</w:t>
            </w:r>
          </w:p>
        </w:tc>
        <w:tc>
          <w:tcPr>
            <w:tcW w:w="1134" w:type="dxa"/>
          </w:tcPr>
          <w:p w14:paraId="39C1919D" w14:textId="313C2EAA"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8,11</w:t>
            </w:r>
          </w:p>
        </w:tc>
        <w:tc>
          <w:tcPr>
            <w:tcW w:w="1134" w:type="dxa"/>
          </w:tcPr>
          <w:p w14:paraId="51FC0F86" w14:textId="6CD6FB35"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8,37</w:t>
            </w:r>
          </w:p>
        </w:tc>
        <w:tc>
          <w:tcPr>
            <w:tcW w:w="1134" w:type="dxa"/>
          </w:tcPr>
          <w:p w14:paraId="4DEC5933" w14:textId="0E701D16"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3,19</w:t>
            </w:r>
          </w:p>
        </w:tc>
        <w:tc>
          <w:tcPr>
            <w:tcW w:w="1134" w:type="dxa"/>
          </w:tcPr>
          <w:p w14:paraId="7F26EB57" w14:textId="7E18A024"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-0,42</w:t>
            </w:r>
          </w:p>
        </w:tc>
        <w:tc>
          <w:tcPr>
            <w:tcW w:w="1134" w:type="dxa"/>
          </w:tcPr>
          <w:p w14:paraId="131F6570" w14:textId="11C48C67"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lang w:eastAsia="pl-PL"/>
              </w:rPr>
              <w:t>-1,86</w:t>
            </w:r>
          </w:p>
        </w:tc>
        <w:tc>
          <w:tcPr>
            <w:tcW w:w="1278" w:type="dxa"/>
          </w:tcPr>
          <w:p w14:paraId="368344D7" w14:textId="3C4B00B1"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ascii="Calibri" w:hAnsi="Calibri"/>
              </w:rPr>
              <w:t>3,48</w:t>
            </w:r>
          </w:p>
        </w:tc>
      </w:tr>
      <w:tr w:rsidR="00142622" w14:paraId="1C9AB86A" w14:textId="77777777" w:rsidTr="00142622">
        <w:tc>
          <w:tcPr>
            <w:cnfStyle w:val="001000000000" w:firstRow="0" w:lastRow="0" w:firstColumn="1" w:lastColumn="0" w:oddVBand="0" w:evenVBand="0" w:oddHBand="0" w:evenHBand="0" w:firstRowFirstColumn="0" w:firstRowLastColumn="0" w:lastRowFirstColumn="0" w:lastRowLastColumn="0"/>
            <w:tcW w:w="1980" w:type="dxa"/>
          </w:tcPr>
          <w:p w14:paraId="1E6BBA4D" w14:textId="246665C3" w:rsidR="00142622" w:rsidRDefault="00142622" w:rsidP="003E51EB">
            <w:pPr>
              <w:spacing w:line="259" w:lineRule="auto"/>
              <w:ind w:left="0"/>
              <w:contextualSpacing/>
              <w:rPr>
                <w:lang w:val="pl-PL"/>
              </w:rPr>
            </w:pPr>
            <w:r>
              <w:rPr>
                <w:lang w:eastAsia="pl-PL"/>
              </w:rPr>
              <w:t xml:space="preserve">Powiat działdowski </w:t>
            </w:r>
          </w:p>
        </w:tc>
        <w:tc>
          <w:tcPr>
            <w:tcW w:w="1134" w:type="dxa"/>
          </w:tcPr>
          <w:p w14:paraId="25D6ED7F" w14:textId="075AAD0E"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t>9,91</w:t>
            </w:r>
          </w:p>
        </w:tc>
        <w:tc>
          <w:tcPr>
            <w:tcW w:w="1134" w:type="dxa"/>
          </w:tcPr>
          <w:p w14:paraId="4161EC97" w14:textId="3CADA2F1"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t>11,53</w:t>
            </w:r>
          </w:p>
        </w:tc>
        <w:tc>
          <w:tcPr>
            <w:tcW w:w="1134" w:type="dxa"/>
          </w:tcPr>
          <w:p w14:paraId="64BE3352" w14:textId="6C50BB82"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t>13,85</w:t>
            </w:r>
          </w:p>
        </w:tc>
        <w:tc>
          <w:tcPr>
            <w:tcW w:w="1134" w:type="dxa"/>
          </w:tcPr>
          <w:p w14:paraId="6FC3C227" w14:textId="703660C3"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t>14,97</w:t>
            </w:r>
          </w:p>
        </w:tc>
        <w:tc>
          <w:tcPr>
            <w:tcW w:w="1134" w:type="dxa"/>
          </w:tcPr>
          <w:p w14:paraId="43FC4B8D" w14:textId="712B0077"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t>16,34</w:t>
            </w:r>
          </w:p>
        </w:tc>
        <w:tc>
          <w:tcPr>
            <w:tcW w:w="1278" w:type="dxa"/>
          </w:tcPr>
          <w:p w14:paraId="40EB43F4" w14:textId="19BDB72A"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ascii="Calibri" w:hAnsi="Calibri"/>
              </w:rPr>
              <w:t>13,32</w:t>
            </w:r>
          </w:p>
        </w:tc>
      </w:tr>
      <w:tr w:rsidR="00142622" w14:paraId="2A1154A7" w14:textId="77777777" w:rsidTr="00142622">
        <w:tc>
          <w:tcPr>
            <w:cnfStyle w:val="001000000000" w:firstRow="0" w:lastRow="0" w:firstColumn="1" w:lastColumn="0" w:oddVBand="0" w:evenVBand="0" w:oddHBand="0" w:evenHBand="0" w:firstRowFirstColumn="0" w:firstRowLastColumn="0" w:lastRowFirstColumn="0" w:lastRowLastColumn="0"/>
            <w:tcW w:w="1980" w:type="dxa"/>
          </w:tcPr>
          <w:p w14:paraId="76A18D00" w14:textId="1E288952" w:rsidR="00142622" w:rsidRDefault="00142622" w:rsidP="003E51EB">
            <w:pPr>
              <w:spacing w:line="259" w:lineRule="auto"/>
              <w:ind w:left="0"/>
              <w:contextualSpacing/>
              <w:rPr>
                <w:lang w:val="pl-PL"/>
              </w:rPr>
            </w:pPr>
            <w:r>
              <w:rPr>
                <w:lang w:eastAsia="pl-PL"/>
              </w:rPr>
              <w:t xml:space="preserve">Powiat szczycieński </w:t>
            </w:r>
          </w:p>
        </w:tc>
        <w:tc>
          <w:tcPr>
            <w:tcW w:w="1134" w:type="dxa"/>
          </w:tcPr>
          <w:p w14:paraId="2EAB38AE" w14:textId="1428D812"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t>7,67</w:t>
            </w:r>
          </w:p>
        </w:tc>
        <w:tc>
          <w:tcPr>
            <w:tcW w:w="1134" w:type="dxa"/>
          </w:tcPr>
          <w:p w14:paraId="79AA3277" w14:textId="7DF5F6BD"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t>7,32</w:t>
            </w:r>
          </w:p>
        </w:tc>
        <w:tc>
          <w:tcPr>
            <w:tcW w:w="1134" w:type="dxa"/>
          </w:tcPr>
          <w:p w14:paraId="115EF578" w14:textId="6007A672"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t>3,65</w:t>
            </w:r>
          </w:p>
        </w:tc>
        <w:tc>
          <w:tcPr>
            <w:tcW w:w="1134" w:type="dxa"/>
          </w:tcPr>
          <w:p w14:paraId="02FBC85A" w14:textId="208951EF"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t>1,82</w:t>
            </w:r>
          </w:p>
        </w:tc>
        <w:tc>
          <w:tcPr>
            <w:tcW w:w="1134" w:type="dxa"/>
          </w:tcPr>
          <w:p w14:paraId="1041CA50" w14:textId="4F191497"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t>3,64</w:t>
            </w:r>
          </w:p>
        </w:tc>
        <w:tc>
          <w:tcPr>
            <w:tcW w:w="1278" w:type="dxa"/>
          </w:tcPr>
          <w:p w14:paraId="46FB1995" w14:textId="1037CBBC"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ascii="Calibri" w:hAnsi="Calibri"/>
              </w:rPr>
              <w:t>4,82</w:t>
            </w:r>
          </w:p>
        </w:tc>
      </w:tr>
      <w:tr w:rsidR="00142622" w14:paraId="20E1BBCE" w14:textId="77777777" w:rsidTr="00142622">
        <w:tc>
          <w:tcPr>
            <w:cnfStyle w:val="001000000000" w:firstRow="0" w:lastRow="0" w:firstColumn="1" w:lastColumn="0" w:oddVBand="0" w:evenVBand="0" w:oddHBand="0" w:evenHBand="0" w:firstRowFirstColumn="0" w:firstRowLastColumn="0" w:lastRowFirstColumn="0" w:lastRowLastColumn="0"/>
            <w:tcW w:w="1980" w:type="dxa"/>
          </w:tcPr>
          <w:p w14:paraId="75E9573E" w14:textId="478FADD5" w:rsidR="00142622" w:rsidRDefault="00142622" w:rsidP="003E51EB">
            <w:pPr>
              <w:spacing w:line="259" w:lineRule="auto"/>
              <w:ind w:left="0"/>
              <w:contextualSpacing/>
              <w:rPr>
                <w:lang w:val="pl-PL"/>
              </w:rPr>
            </w:pPr>
            <w:r>
              <w:rPr>
                <w:lang w:eastAsia="pl-PL"/>
              </w:rPr>
              <w:t>Powiat piski</w:t>
            </w:r>
          </w:p>
        </w:tc>
        <w:tc>
          <w:tcPr>
            <w:tcW w:w="1134" w:type="dxa"/>
          </w:tcPr>
          <w:p w14:paraId="13C4D7CB" w14:textId="6E0CA99B"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t>2,61</w:t>
            </w:r>
          </w:p>
        </w:tc>
        <w:tc>
          <w:tcPr>
            <w:tcW w:w="1134" w:type="dxa"/>
          </w:tcPr>
          <w:p w14:paraId="01973A60" w14:textId="76D3885B"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t>5,78</w:t>
            </w:r>
          </w:p>
        </w:tc>
        <w:tc>
          <w:tcPr>
            <w:tcW w:w="1134" w:type="dxa"/>
          </w:tcPr>
          <w:p w14:paraId="21A72E1F" w14:textId="2C22FE60"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t>5,62</w:t>
            </w:r>
          </w:p>
        </w:tc>
        <w:tc>
          <w:tcPr>
            <w:tcW w:w="1134" w:type="dxa"/>
          </w:tcPr>
          <w:p w14:paraId="25A12C6A" w14:textId="55857154"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t>8,01</w:t>
            </w:r>
          </w:p>
        </w:tc>
        <w:tc>
          <w:tcPr>
            <w:tcW w:w="1134" w:type="dxa"/>
          </w:tcPr>
          <w:p w14:paraId="3331929F" w14:textId="7B599627"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t>1,71</w:t>
            </w:r>
          </w:p>
        </w:tc>
        <w:tc>
          <w:tcPr>
            <w:tcW w:w="1278" w:type="dxa"/>
          </w:tcPr>
          <w:p w14:paraId="0FD2B11F" w14:textId="36E252ED"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ascii="Calibri" w:hAnsi="Calibri"/>
              </w:rPr>
              <w:t>4,75</w:t>
            </w:r>
          </w:p>
        </w:tc>
      </w:tr>
      <w:tr w:rsidR="00142622" w14:paraId="1252F6AD" w14:textId="77777777" w:rsidTr="00142622">
        <w:tc>
          <w:tcPr>
            <w:cnfStyle w:val="001000000000" w:firstRow="0" w:lastRow="0" w:firstColumn="1" w:lastColumn="0" w:oddVBand="0" w:evenVBand="0" w:oddHBand="0" w:evenHBand="0" w:firstRowFirstColumn="0" w:firstRowLastColumn="0" w:lastRowFirstColumn="0" w:lastRowLastColumn="0"/>
            <w:tcW w:w="1980" w:type="dxa"/>
          </w:tcPr>
          <w:p w14:paraId="0EEE9F40" w14:textId="23941236" w:rsidR="00142622" w:rsidRDefault="00142622" w:rsidP="003E51EB">
            <w:pPr>
              <w:spacing w:line="259" w:lineRule="auto"/>
              <w:ind w:left="0"/>
              <w:contextualSpacing/>
              <w:rPr>
                <w:lang w:val="pl-PL"/>
              </w:rPr>
            </w:pPr>
            <w:r>
              <w:rPr>
                <w:lang w:eastAsia="pl-PL"/>
              </w:rPr>
              <w:lastRenderedPageBreak/>
              <w:t xml:space="preserve">Powiat nidzicki </w:t>
            </w:r>
          </w:p>
        </w:tc>
        <w:tc>
          <w:tcPr>
            <w:tcW w:w="1134" w:type="dxa"/>
          </w:tcPr>
          <w:p w14:paraId="73600811" w14:textId="028B595E"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t>3,02</w:t>
            </w:r>
          </w:p>
        </w:tc>
        <w:tc>
          <w:tcPr>
            <w:tcW w:w="1134" w:type="dxa"/>
          </w:tcPr>
          <w:p w14:paraId="46226402" w14:textId="36F02405"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t>5,31</w:t>
            </w:r>
          </w:p>
        </w:tc>
        <w:tc>
          <w:tcPr>
            <w:tcW w:w="1134" w:type="dxa"/>
          </w:tcPr>
          <w:p w14:paraId="30636B48" w14:textId="35A2A87D"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t>3,02</w:t>
            </w:r>
          </w:p>
        </w:tc>
        <w:tc>
          <w:tcPr>
            <w:tcW w:w="1134" w:type="dxa"/>
          </w:tcPr>
          <w:p w14:paraId="711778BA" w14:textId="3C2697A1"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t>1,84</w:t>
            </w:r>
          </w:p>
        </w:tc>
        <w:tc>
          <w:tcPr>
            <w:tcW w:w="1134" w:type="dxa"/>
          </w:tcPr>
          <w:p w14:paraId="2C7F7407" w14:textId="2F93DB9F"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t>3,02</w:t>
            </w:r>
          </w:p>
        </w:tc>
        <w:tc>
          <w:tcPr>
            <w:tcW w:w="1278" w:type="dxa"/>
          </w:tcPr>
          <w:p w14:paraId="3092FF25" w14:textId="565D3E53"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ascii="Calibri" w:hAnsi="Calibri"/>
              </w:rPr>
              <w:t>3,24</w:t>
            </w:r>
          </w:p>
        </w:tc>
      </w:tr>
      <w:tr w:rsidR="00142622" w14:paraId="3F00C737" w14:textId="77777777" w:rsidTr="00142622">
        <w:tc>
          <w:tcPr>
            <w:cnfStyle w:val="001000000000" w:firstRow="0" w:lastRow="0" w:firstColumn="1" w:lastColumn="0" w:oddVBand="0" w:evenVBand="0" w:oddHBand="0" w:evenHBand="0" w:firstRowFirstColumn="0" w:firstRowLastColumn="0" w:lastRowFirstColumn="0" w:lastRowLastColumn="0"/>
            <w:tcW w:w="1980" w:type="dxa"/>
          </w:tcPr>
          <w:p w14:paraId="13CE0239" w14:textId="522CCEA4" w:rsidR="00142622" w:rsidRDefault="00142622" w:rsidP="003E51EB">
            <w:pPr>
              <w:spacing w:line="259" w:lineRule="auto"/>
              <w:ind w:left="0"/>
              <w:contextualSpacing/>
              <w:rPr>
                <w:lang w:val="pl-PL"/>
              </w:rPr>
            </w:pPr>
            <w:r>
              <w:rPr>
                <w:lang w:eastAsia="pl-PL"/>
              </w:rPr>
              <w:t xml:space="preserve">Średnia </w:t>
            </w:r>
          </w:p>
        </w:tc>
        <w:tc>
          <w:tcPr>
            <w:tcW w:w="1134" w:type="dxa"/>
          </w:tcPr>
          <w:p w14:paraId="61380119" w14:textId="1C005747"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ascii="Calibri" w:hAnsi="Calibri"/>
                <w:b/>
              </w:rPr>
              <w:t>4,61</w:t>
            </w:r>
          </w:p>
        </w:tc>
        <w:tc>
          <w:tcPr>
            <w:tcW w:w="1134" w:type="dxa"/>
          </w:tcPr>
          <w:p w14:paraId="3C8F055B" w14:textId="5420EF45"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ascii="Calibri" w:hAnsi="Calibri"/>
                <w:b/>
              </w:rPr>
              <w:t>6,21</w:t>
            </w:r>
          </w:p>
        </w:tc>
        <w:tc>
          <w:tcPr>
            <w:tcW w:w="1134" w:type="dxa"/>
          </w:tcPr>
          <w:p w14:paraId="55CD55C4" w14:textId="0E8817EA"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ascii="Calibri" w:hAnsi="Calibri"/>
                <w:b/>
              </w:rPr>
              <w:t>5,53</w:t>
            </w:r>
          </w:p>
        </w:tc>
        <w:tc>
          <w:tcPr>
            <w:tcW w:w="1134" w:type="dxa"/>
          </w:tcPr>
          <w:p w14:paraId="416014A6" w14:textId="160A2A6D"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ascii="Calibri" w:hAnsi="Calibri"/>
                <w:b/>
              </w:rPr>
              <w:t>4,02</w:t>
            </w:r>
          </w:p>
        </w:tc>
        <w:tc>
          <w:tcPr>
            <w:tcW w:w="1134" w:type="dxa"/>
          </w:tcPr>
          <w:p w14:paraId="1E04F2FB" w14:textId="1F0A56D7"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ascii="Calibri" w:hAnsi="Calibri"/>
                <w:b/>
              </w:rPr>
              <w:t>3,91</w:t>
            </w:r>
          </w:p>
        </w:tc>
        <w:tc>
          <w:tcPr>
            <w:tcW w:w="1278" w:type="dxa"/>
          </w:tcPr>
          <w:p w14:paraId="3EEA5662" w14:textId="6AB23545" w:rsidR="00142622" w:rsidRDefault="00142622" w:rsidP="003E51EB">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Pr>
                <w:rFonts w:ascii="Calibri" w:hAnsi="Calibri"/>
                <w:b/>
              </w:rPr>
              <w:t>4,86</w:t>
            </w:r>
          </w:p>
        </w:tc>
      </w:tr>
    </w:tbl>
    <w:p w14:paraId="355E3E2A" w14:textId="68DCFA50" w:rsidR="001F2F4D" w:rsidRDefault="003C7BFF" w:rsidP="001F2F4D">
      <w:pPr>
        <w:pStyle w:val="podpiselementu"/>
        <w:spacing w:after="240"/>
        <w:rPr>
          <w:lang w:val="pl-PL"/>
        </w:rPr>
      </w:pPr>
      <w:r w:rsidRPr="00733091">
        <w:rPr>
          <w:lang w:val="pl-PL"/>
        </w:rPr>
        <w:t xml:space="preserve">Źródło: opracowanie ZMP na podstawie </w:t>
      </w:r>
      <w:hyperlink r:id="rId133" w:history="1">
        <w:r w:rsidRPr="00733091">
          <w:rPr>
            <w:rStyle w:val="Hipercze"/>
            <w:color w:val="auto"/>
            <w:u w:val="none"/>
            <w:lang w:val="pl-PL"/>
          </w:rPr>
          <w:t>https://analizy.monitorrozwoju.pl</w:t>
        </w:r>
      </w:hyperlink>
      <w:r w:rsidR="001F2F4D" w:rsidRPr="002907DD">
        <w:rPr>
          <w:rStyle w:val="Hipercze"/>
          <w:lang w:val="pl-PL"/>
        </w:rPr>
        <w:br/>
      </w:r>
    </w:p>
    <w:p w14:paraId="219D3BCD" w14:textId="007BC514" w:rsidR="003C7BFF" w:rsidRPr="00C16CB1" w:rsidRDefault="003C7BFF" w:rsidP="00C16CB1">
      <w:pPr>
        <w:rPr>
          <w:szCs w:val="24"/>
          <w:lang w:val="pl-PL"/>
        </w:rPr>
      </w:pPr>
      <w:r w:rsidRPr="00703D43">
        <w:rPr>
          <w:lang w:val="pl-PL"/>
        </w:rPr>
        <w:t>Zależność między średnim wskaźnikiem</w:t>
      </w:r>
      <w:r w:rsidRPr="00703D43">
        <w:rPr>
          <w:rStyle w:val="Tytu2"/>
          <w:szCs w:val="24"/>
          <w:lang w:val="pl-PL"/>
        </w:rPr>
        <w:t xml:space="preserve"> relacji kwoty nadwyżki operacyjnej do kwoty dochodów bieżących w latach 2015-2019 i relacji kwoty nadwyżki operacyjnej netto pomniejszonej o spłaty długu do dochodów bieżących w latach 2015-2019 prezentuje poniższy wykres.</w:t>
      </w:r>
      <w:r w:rsidR="001F2F4D">
        <w:rPr>
          <w:rStyle w:val="Tytu2"/>
          <w:szCs w:val="24"/>
          <w:lang w:val="pl-PL"/>
        </w:rPr>
        <w:br/>
      </w:r>
    </w:p>
    <w:p w14:paraId="0A09C384" w14:textId="26BB9D03" w:rsidR="00142622" w:rsidRPr="00142622" w:rsidRDefault="00480473" w:rsidP="002E24A9">
      <w:pPr>
        <w:pStyle w:val="Legenda"/>
        <w:rPr>
          <w:lang w:val="pl-PL"/>
        </w:rPr>
      </w:pPr>
      <w:bookmarkStart w:id="132" w:name="_Toc69723206"/>
      <w:r w:rsidRPr="00733091">
        <w:rPr>
          <w:lang w:val="pl-PL"/>
        </w:rPr>
        <w:t xml:space="preserve">Wykres </w:t>
      </w:r>
      <w:r w:rsidR="00733091">
        <w:fldChar w:fldCharType="begin"/>
      </w:r>
      <w:r w:rsidR="00733091" w:rsidRPr="00733091">
        <w:rPr>
          <w:lang w:val="pl-PL"/>
        </w:rPr>
        <w:instrText xml:space="preserve"> SEQ Wykres \* ARABIC </w:instrText>
      </w:r>
      <w:r w:rsidR="00733091">
        <w:fldChar w:fldCharType="separate"/>
      </w:r>
      <w:r w:rsidR="00B14787">
        <w:rPr>
          <w:noProof/>
          <w:lang w:val="pl-PL"/>
        </w:rPr>
        <w:t>48</w:t>
      </w:r>
      <w:r w:rsidR="00733091">
        <w:rPr>
          <w:noProof/>
        </w:rPr>
        <w:fldChar w:fldCharType="end"/>
      </w:r>
      <w:r w:rsidRPr="00733091">
        <w:rPr>
          <w:lang w:val="pl-PL"/>
        </w:rPr>
        <w:t xml:space="preserve">: </w:t>
      </w:r>
      <w:r w:rsidR="003C7BFF" w:rsidRPr="00733091">
        <w:rPr>
          <w:rStyle w:val="Tytu2"/>
          <w:lang w:val="pl-PL"/>
        </w:rPr>
        <w:t>Relacja kwoty nadwyżki operacyjnej do kwoty dochodów bieżących i relacja kwoty nadwyżki operacyjnej netto pomniejszonej o spłaty długu do dochodów bieżących w latach 2015-2019</w:t>
      </w:r>
      <w:bookmarkEnd w:id="132"/>
    </w:p>
    <w:p w14:paraId="355135BC" w14:textId="4A9667C0" w:rsidR="00797E0C" w:rsidRDefault="003C7BFF" w:rsidP="0048506E">
      <w:pPr>
        <w:pStyle w:val="podpiselementu"/>
        <w:spacing w:after="240"/>
        <w:rPr>
          <w:noProof/>
          <w:lang w:val="pl-PL"/>
        </w:rPr>
      </w:pPr>
      <w:r>
        <w:rPr>
          <w:noProof/>
        </w:rPr>
        <w:drawing>
          <wp:inline distT="0" distB="0" distL="0" distR="0" wp14:anchorId="646323CA" wp14:editId="2D6E67DD">
            <wp:extent cx="5771515" cy="3300761"/>
            <wp:effectExtent l="0" t="0" r="635" b="13970"/>
            <wp:docPr id="137" name="Wykres 137" descr="wykres liniowy obrazujący relację kwoty nadwyżki operacyjnej do kwoty dochodów bieżących (linia niebieska) i relację kwoty nadwyżki operacyjnej netto pomniejszonej o spłaty długu do dochodów bieżących (linia zielona) w latach 2015-2019">
              <a:extLst xmlns:a="http://schemas.openxmlformats.org/drawingml/2006/main">
                <a:ext uri="{FF2B5EF4-FFF2-40B4-BE49-F238E27FC236}">
                  <a16:creationId xmlns:a16="http://schemas.microsoft.com/office/drawing/2014/main" id="{9E78B84B-5621-458E-980A-92BF9787EA6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4"/>
              </a:graphicData>
            </a:graphic>
          </wp:inline>
        </w:drawing>
      </w:r>
      <w:r w:rsidRPr="00733091">
        <w:rPr>
          <w:rStyle w:val="podpiselementuZnak"/>
          <w:lang w:val="pl-PL"/>
        </w:rPr>
        <w:t xml:space="preserve">Źródło: opracowanie własne na podstawie </w:t>
      </w:r>
      <w:hyperlink r:id="rId135" w:history="1">
        <w:r w:rsidRPr="00733091">
          <w:rPr>
            <w:rStyle w:val="podpiselementuZnak"/>
            <w:lang w:val="pl-PL"/>
          </w:rPr>
          <w:t>https://analizy.monitorrozwoju.pl</w:t>
        </w:r>
      </w:hyperlink>
    </w:p>
    <w:p w14:paraId="362E0A6F" w14:textId="3BB7495F" w:rsidR="00703D43" w:rsidRDefault="001F2F4D" w:rsidP="001F2F4D">
      <w:pPr>
        <w:rPr>
          <w:lang w:val="pl-PL"/>
        </w:rPr>
      </w:pPr>
      <w:r>
        <w:rPr>
          <w:lang w:val="pl-PL"/>
        </w:rPr>
        <w:br/>
      </w:r>
      <w:r w:rsidR="003C7BFF" w:rsidRPr="00733091">
        <w:rPr>
          <w:lang w:val="pl-PL"/>
        </w:rPr>
        <w:t xml:space="preserve">Z uwagi na pogłębiający się deficyt budżetowy, niskie i obniżające się możliwości finansowania rozwoju oraz wysokość zadłużenia niektórych jednostek samorządu terytorialnego wchodzących w skład Partnerstwa finansowanie działań rozwojowych ze środków własnych będzie utrudnione i wymagać będzie </w:t>
      </w:r>
      <w:r w:rsidR="003C7BFF" w:rsidRPr="00733091">
        <w:rPr>
          <w:b/>
          <w:bCs/>
          <w:lang w:val="pl-PL"/>
        </w:rPr>
        <w:t>pozyskania finansowania zewnętrznego</w:t>
      </w:r>
      <w:r w:rsidR="003C7BFF" w:rsidRPr="00733091">
        <w:rPr>
          <w:lang w:val="pl-PL"/>
        </w:rPr>
        <w:t xml:space="preserve">. </w:t>
      </w:r>
    </w:p>
    <w:p w14:paraId="01869775" w14:textId="77777777" w:rsidR="00142622" w:rsidRPr="00733091" w:rsidRDefault="00142622" w:rsidP="001F2F4D">
      <w:pPr>
        <w:rPr>
          <w:lang w:val="pl-PL"/>
        </w:rPr>
      </w:pPr>
    </w:p>
    <w:p w14:paraId="6D890D00" w14:textId="20AC379F" w:rsidR="001E162D" w:rsidRPr="00690E7F" w:rsidRDefault="0078327D" w:rsidP="00733091">
      <w:pPr>
        <w:pStyle w:val="Nagwek3"/>
        <w:spacing w:after="240"/>
        <w:rPr>
          <w:lang w:val="en-US"/>
        </w:rPr>
      </w:pPr>
      <w:bookmarkStart w:id="133" w:name="_Toc69725447"/>
      <w:r w:rsidRPr="0078327D">
        <w:rPr>
          <w:lang w:val="en-US"/>
        </w:rPr>
        <w:lastRenderedPageBreak/>
        <w:t>Podsumowanie</w:t>
      </w:r>
      <w:bookmarkEnd w:id="133"/>
    </w:p>
    <w:p w14:paraId="3EBBAE37" w14:textId="0F8B18C7" w:rsidR="00142622" w:rsidRDefault="00577383" w:rsidP="003E51EB">
      <w:pPr>
        <w:contextualSpacing/>
        <w:textAlignment w:val="baseline"/>
        <w:rPr>
          <w:rFonts w:eastAsia="Times New Roman" w:cstheme="minorHAnsi"/>
          <w:color w:val="333333"/>
          <w:lang w:val="pl-PL" w:eastAsia="pl-PL"/>
        </w:rPr>
      </w:pPr>
      <w:r w:rsidRPr="00733091">
        <w:rPr>
          <w:rFonts w:eastAsia="Times New Roman" w:cstheme="minorHAnsi"/>
          <w:color w:val="333333"/>
          <w:lang w:val="pl-PL" w:eastAsia="pl-PL"/>
        </w:rPr>
        <w:t>Pogłębiona analiza poszczególnych obszarów, tworzących wymiar gospodarczy wykazała</w:t>
      </w:r>
      <w:r w:rsidRPr="00733091">
        <w:rPr>
          <w:rFonts w:eastAsia="Times New Roman" w:cstheme="minorHAnsi"/>
          <w:lang w:val="pl-PL" w:eastAsia="pl-PL"/>
        </w:rPr>
        <w:t xml:space="preserve"> istnienie zestawionych w tabeli poniżej zjawisk, potencjałów, mocnych stron i deficytów Południowych Mazur.</w:t>
      </w:r>
      <w:r w:rsidR="001F2F4D">
        <w:rPr>
          <w:rFonts w:eastAsia="Times New Roman" w:cstheme="minorHAnsi"/>
          <w:lang w:val="pl-PL" w:eastAsia="pl-PL"/>
        </w:rPr>
        <w:t xml:space="preserve"> </w:t>
      </w:r>
      <w:r w:rsidRPr="00733091">
        <w:rPr>
          <w:rFonts w:eastAsia="Times New Roman" w:cstheme="minorHAnsi"/>
          <w:color w:val="333333"/>
          <w:lang w:val="pl-PL" w:eastAsia="pl-PL"/>
        </w:rPr>
        <w:t>Wyniki analizy w obszarze instytucjonalnym wyróżniono w tabeli kolorem niebieskim.</w:t>
      </w:r>
    </w:p>
    <w:p w14:paraId="487E5748" w14:textId="262BEB22" w:rsidR="00A2132A" w:rsidRDefault="00142622" w:rsidP="002E24A9">
      <w:pPr>
        <w:pStyle w:val="Legenda"/>
        <w:rPr>
          <w:lang w:val="pl-PL"/>
        </w:rPr>
      </w:pPr>
      <w:bookmarkStart w:id="134" w:name="_Toc69723274"/>
      <w:r>
        <w:rPr>
          <w:lang w:val="pl-PL"/>
        </w:rPr>
        <w:t>T</w:t>
      </w:r>
      <w:r w:rsidR="00577383" w:rsidRPr="00733091">
        <w:rPr>
          <w:lang w:val="pl-PL"/>
        </w:rPr>
        <w:t xml:space="preserve">abela </w:t>
      </w:r>
      <w:r w:rsidR="00733091">
        <w:fldChar w:fldCharType="begin"/>
      </w:r>
      <w:r w:rsidR="00733091" w:rsidRPr="00733091">
        <w:rPr>
          <w:lang w:val="pl-PL"/>
        </w:rPr>
        <w:instrText xml:space="preserve"> SEQ Tabela \* ARABIC </w:instrText>
      </w:r>
      <w:r w:rsidR="00733091">
        <w:fldChar w:fldCharType="separate"/>
      </w:r>
      <w:r w:rsidR="00B14787">
        <w:rPr>
          <w:noProof/>
          <w:lang w:val="pl-PL"/>
        </w:rPr>
        <w:t>25</w:t>
      </w:r>
      <w:r w:rsidR="00733091">
        <w:rPr>
          <w:noProof/>
        </w:rPr>
        <w:fldChar w:fldCharType="end"/>
      </w:r>
      <w:r w:rsidR="00577383" w:rsidRPr="00733091">
        <w:rPr>
          <w:lang w:val="pl-PL"/>
        </w:rPr>
        <w:t>: Podsumowanie diagnozy w wymiarze gospodarczym</w:t>
      </w:r>
      <w:bookmarkEnd w:id="134"/>
    </w:p>
    <w:tbl>
      <w:tblPr>
        <w:tblStyle w:val="CWD"/>
        <w:tblW w:w="0" w:type="auto"/>
        <w:tblLook w:val="04A0" w:firstRow="1" w:lastRow="0" w:firstColumn="1" w:lastColumn="0" w:noHBand="0" w:noVBand="1"/>
      </w:tblPr>
      <w:tblGrid>
        <w:gridCol w:w="2405"/>
        <w:gridCol w:w="6521"/>
      </w:tblGrid>
      <w:tr w:rsidR="00142622" w14:paraId="68640D27" w14:textId="77777777" w:rsidTr="00A33A7C">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405" w:type="dxa"/>
          </w:tcPr>
          <w:p w14:paraId="3FAD4CDB" w14:textId="4414B547" w:rsidR="00142622" w:rsidRDefault="00142622" w:rsidP="00142622">
            <w:pPr>
              <w:ind w:left="0"/>
              <w:contextualSpacing/>
              <w:rPr>
                <w:lang w:val="pl-PL"/>
              </w:rPr>
            </w:pPr>
            <w:r w:rsidRPr="003E4F22">
              <w:t>Obszar analizy</w:t>
            </w:r>
          </w:p>
        </w:tc>
        <w:tc>
          <w:tcPr>
            <w:tcW w:w="6521" w:type="dxa"/>
          </w:tcPr>
          <w:p w14:paraId="766A55A2" w14:textId="697B3843" w:rsidR="00142622" w:rsidRDefault="00142622" w:rsidP="00142622">
            <w:pPr>
              <w:ind w:left="0"/>
              <w:contextualSpacing/>
              <w:cnfStyle w:val="100000000000" w:firstRow="1" w:lastRow="0" w:firstColumn="0" w:lastColumn="0" w:oddVBand="0" w:evenVBand="0" w:oddHBand="0" w:evenHBand="0" w:firstRowFirstColumn="0" w:firstRowLastColumn="0" w:lastRowFirstColumn="0" w:lastRowLastColumn="0"/>
              <w:rPr>
                <w:lang w:val="pl-PL"/>
              </w:rPr>
            </w:pPr>
            <w:r w:rsidRPr="003E4F22">
              <w:t xml:space="preserve">Zjawiska </w:t>
            </w:r>
          </w:p>
        </w:tc>
      </w:tr>
      <w:tr w:rsidR="00142622" w14:paraId="2AF27B15" w14:textId="77777777" w:rsidTr="00A33A7C">
        <w:tc>
          <w:tcPr>
            <w:cnfStyle w:val="001000000000" w:firstRow="0" w:lastRow="0" w:firstColumn="1" w:lastColumn="0" w:oddVBand="0" w:evenVBand="0" w:oddHBand="0" w:evenHBand="0" w:firstRowFirstColumn="0" w:firstRowLastColumn="0" w:lastRowFirstColumn="0" w:lastRowLastColumn="0"/>
            <w:tcW w:w="2405" w:type="dxa"/>
          </w:tcPr>
          <w:p w14:paraId="6159812F" w14:textId="58DA73EB" w:rsidR="00142622" w:rsidRDefault="00142622" w:rsidP="00142622">
            <w:pPr>
              <w:ind w:left="0"/>
              <w:contextualSpacing/>
              <w:rPr>
                <w:lang w:val="pl-PL"/>
              </w:rPr>
            </w:pPr>
            <w:r w:rsidRPr="00142622">
              <w:rPr>
                <w:lang w:val="pl-PL"/>
              </w:rPr>
              <w:t>Potencjał i konkurencyjność lokalnej gospodarki</w:t>
            </w:r>
          </w:p>
        </w:tc>
        <w:tc>
          <w:tcPr>
            <w:tcW w:w="6521" w:type="dxa"/>
          </w:tcPr>
          <w:p w14:paraId="39191AAF" w14:textId="77777777" w:rsidR="00142622" w:rsidRDefault="00142622" w:rsidP="00B063F0">
            <w:pPr>
              <w:pStyle w:val="elementgraficznytabela"/>
              <w:numPr>
                <w:ilvl w:val="0"/>
                <w:numId w:val="28"/>
              </w:numPr>
              <w:spacing w:after="240"/>
              <w:contextualSpacing/>
              <w:cnfStyle w:val="000000000000" w:firstRow="0" w:lastRow="0" w:firstColumn="0" w:lastColumn="0" w:oddVBand="0" w:evenVBand="0" w:oddHBand="0" w:evenHBand="0" w:firstRowFirstColumn="0" w:firstRowLastColumn="0" w:lastRowFirstColumn="0" w:lastRowLastColumn="0"/>
            </w:pPr>
            <w:r>
              <w:t>Niski poziom przedsiębiorczości</w:t>
            </w:r>
          </w:p>
          <w:p w14:paraId="13217083" w14:textId="77777777" w:rsidR="00142622" w:rsidRDefault="00142622" w:rsidP="00B063F0">
            <w:pPr>
              <w:pStyle w:val="elementgraficznytabela"/>
              <w:numPr>
                <w:ilvl w:val="0"/>
                <w:numId w:val="28"/>
              </w:numPr>
              <w:spacing w:after="240"/>
              <w:contextualSpacing/>
              <w:cnfStyle w:val="000000000000" w:firstRow="0" w:lastRow="0" w:firstColumn="0" w:lastColumn="0" w:oddVBand="0" w:evenVBand="0" w:oddHBand="0" w:evenHBand="0" w:firstRowFirstColumn="0" w:firstRowLastColumn="0" w:lastRowFirstColumn="0" w:lastRowLastColumn="0"/>
            </w:pPr>
            <w:r>
              <w:t>Redukcja liczby podmiotów prowadzących działalność gospodarczą</w:t>
            </w:r>
          </w:p>
          <w:p w14:paraId="04E62045" w14:textId="77777777" w:rsidR="00142622" w:rsidRDefault="00142622" w:rsidP="00B063F0">
            <w:pPr>
              <w:pStyle w:val="elementgraficznytabela"/>
              <w:numPr>
                <w:ilvl w:val="0"/>
                <w:numId w:val="28"/>
              </w:numPr>
              <w:spacing w:after="240"/>
              <w:contextualSpacing/>
              <w:cnfStyle w:val="000000000000" w:firstRow="0" w:lastRow="0" w:firstColumn="0" w:lastColumn="0" w:oddVBand="0" w:evenVBand="0" w:oddHBand="0" w:evenHBand="0" w:firstRowFirstColumn="0" w:firstRowLastColumn="0" w:lastRowFirstColumn="0" w:lastRowLastColumn="0"/>
            </w:pPr>
            <w:r>
              <w:t>Redukcja liczby nowozakładanych przedsiębiorstw sektora kreatywnego, medycznego i rolno-spożywczego</w:t>
            </w:r>
          </w:p>
          <w:p w14:paraId="0B709FE8" w14:textId="77777777" w:rsidR="00142622" w:rsidRDefault="00142622" w:rsidP="00B063F0">
            <w:pPr>
              <w:pStyle w:val="elementgraficznytabela"/>
              <w:numPr>
                <w:ilvl w:val="0"/>
                <w:numId w:val="28"/>
              </w:numPr>
              <w:spacing w:after="240"/>
              <w:contextualSpacing/>
              <w:cnfStyle w:val="000000000000" w:firstRow="0" w:lastRow="0" w:firstColumn="0" w:lastColumn="0" w:oddVBand="0" w:evenVBand="0" w:oddHBand="0" w:evenHBand="0" w:firstRowFirstColumn="0" w:firstRowLastColumn="0" w:lastRowFirstColumn="0" w:lastRowLastColumn="0"/>
            </w:pPr>
            <w:r>
              <w:t>Wzrost liczby instytucji otoczenia biznesu</w:t>
            </w:r>
          </w:p>
          <w:p w14:paraId="472F9688" w14:textId="77777777" w:rsidR="0033353A" w:rsidRDefault="00142622" w:rsidP="00B063F0">
            <w:pPr>
              <w:pStyle w:val="elementgraficznytabela"/>
              <w:numPr>
                <w:ilvl w:val="0"/>
                <w:numId w:val="28"/>
              </w:numPr>
              <w:spacing w:after="240"/>
              <w:contextualSpacing/>
              <w:cnfStyle w:val="000000000000" w:firstRow="0" w:lastRow="0" w:firstColumn="0" w:lastColumn="0" w:oddVBand="0" w:evenVBand="0" w:oddHBand="0" w:evenHBand="0" w:firstRowFirstColumn="0" w:firstRowLastColumn="0" w:lastRowFirstColumn="0" w:lastRowLastColumn="0"/>
            </w:pPr>
            <w:r>
              <w:t>Średni poziom funkcji turystycznych obszaru</w:t>
            </w:r>
          </w:p>
          <w:p w14:paraId="41BDD71E" w14:textId="760F6200" w:rsidR="00142622" w:rsidRPr="0033353A" w:rsidRDefault="00142622" w:rsidP="00B063F0">
            <w:pPr>
              <w:pStyle w:val="elementgraficznytabela"/>
              <w:numPr>
                <w:ilvl w:val="0"/>
                <w:numId w:val="28"/>
              </w:numPr>
              <w:spacing w:after="240"/>
              <w:contextualSpacing/>
              <w:cnfStyle w:val="000000000000" w:firstRow="0" w:lastRow="0" w:firstColumn="0" w:lastColumn="0" w:oddVBand="0" w:evenVBand="0" w:oddHBand="0" w:evenHBand="0" w:firstRowFirstColumn="0" w:firstRowLastColumn="0" w:lastRowFirstColumn="0" w:lastRowLastColumn="0"/>
            </w:pPr>
            <w:r>
              <w:t>Niewykorzystany potencjał turystyczny obszaru</w:t>
            </w:r>
          </w:p>
        </w:tc>
      </w:tr>
      <w:tr w:rsidR="00142622" w:rsidRPr="00176303" w14:paraId="1B52DA2A" w14:textId="77777777" w:rsidTr="00A33A7C">
        <w:tc>
          <w:tcPr>
            <w:cnfStyle w:val="001000000000" w:firstRow="0" w:lastRow="0" w:firstColumn="1" w:lastColumn="0" w:oddVBand="0" w:evenVBand="0" w:oddHBand="0" w:evenHBand="0" w:firstRowFirstColumn="0" w:firstRowLastColumn="0" w:lastRowFirstColumn="0" w:lastRowLastColumn="0"/>
            <w:tcW w:w="2405" w:type="dxa"/>
          </w:tcPr>
          <w:p w14:paraId="33689EA9" w14:textId="4F9DD822" w:rsidR="00142622" w:rsidRDefault="00142622" w:rsidP="00142622">
            <w:pPr>
              <w:ind w:left="0"/>
              <w:contextualSpacing/>
              <w:rPr>
                <w:lang w:val="pl-PL"/>
              </w:rPr>
            </w:pPr>
            <w:r w:rsidRPr="00142622">
              <w:rPr>
                <w:lang w:val="pl-PL"/>
              </w:rPr>
              <w:t>Rynek pracy i kwalifikacje siły roboczej</w:t>
            </w:r>
          </w:p>
        </w:tc>
        <w:tc>
          <w:tcPr>
            <w:tcW w:w="6521" w:type="dxa"/>
          </w:tcPr>
          <w:p w14:paraId="54D9AB99" w14:textId="77777777" w:rsidR="00142622" w:rsidRDefault="00142622" w:rsidP="00B063F0">
            <w:pPr>
              <w:pStyle w:val="elementgraficznytabela"/>
              <w:numPr>
                <w:ilvl w:val="0"/>
                <w:numId w:val="28"/>
              </w:numPr>
              <w:spacing w:after="240"/>
              <w:contextualSpacing/>
              <w:cnfStyle w:val="000000000000" w:firstRow="0" w:lastRow="0" w:firstColumn="0" w:lastColumn="0" w:oddVBand="0" w:evenVBand="0" w:oddHBand="0" w:evenHBand="0" w:firstRowFirstColumn="0" w:firstRowLastColumn="0" w:lastRowFirstColumn="0" w:lastRowLastColumn="0"/>
            </w:pPr>
            <w:r>
              <w:t>Wysoki poziom bezrobocia rejestrowanego</w:t>
            </w:r>
          </w:p>
          <w:p w14:paraId="3D98E0A7" w14:textId="77777777" w:rsidR="00142622" w:rsidRPr="003C78E2" w:rsidRDefault="00142622" w:rsidP="00B063F0">
            <w:pPr>
              <w:pStyle w:val="elementgraficznytabela"/>
              <w:numPr>
                <w:ilvl w:val="0"/>
                <w:numId w:val="28"/>
              </w:numPr>
              <w:spacing w:after="240"/>
              <w:contextualSpacing/>
              <w:cnfStyle w:val="000000000000" w:firstRow="0" w:lastRow="0" w:firstColumn="0" w:lastColumn="0" w:oddVBand="0" w:evenVBand="0" w:oddHBand="0" w:evenHBand="0" w:firstRowFirstColumn="0" w:firstRowLastColumn="0" w:lastRowFirstColumn="0" w:lastRowLastColumn="0"/>
            </w:pPr>
            <w:r>
              <w:t>Wysoki poziom bezrobocia wśród ludzi młodych</w:t>
            </w:r>
          </w:p>
          <w:p w14:paraId="2CEF38DE" w14:textId="77777777" w:rsidR="00142622" w:rsidRPr="003C78E2" w:rsidRDefault="00142622" w:rsidP="00B063F0">
            <w:pPr>
              <w:pStyle w:val="elementgraficznytabela"/>
              <w:numPr>
                <w:ilvl w:val="0"/>
                <w:numId w:val="28"/>
              </w:numPr>
              <w:spacing w:after="240"/>
              <w:contextualSpacing/>
              <w:cnfStyle w:val="000000000000" w:firstRow="0" w:lastRow="0" w:firstColumn="0" w:lastColumn="0" w:oddVBand="0" w:evenVBand="0" w:oddHBand="0" w:evenHBand="0" w:firstRowFirstColumn="0" w:firstRowLastColumn="0" w:lastRowFirstColumn="0" w:lastRowLastColumn="0"/>
            </w:pPr>
            <w:r>
              <w:t>Brak zastępowalności pokoleń na rynku pracy</w:t>
            </w:r>
          </w:p>
          <w:p w14:paraId="5C548A10" w14:textId="77777777" w:rsidR="00142622" w:rsidRDefault="00142622" w:rsidP="00B063F0">
            <w:pPr>
              <w:pStyle w:val="elementgraficznytabela"/>
              <w:numPr>
                <w:ilvl w:val="0"/>
                <w:numId w:val="28"/>
              </w:numPr>
              <w:spacing w:after="240"/>
              <w:contextualSpacing/>
              <w:cnfStyle w:val="000000000000" w:firstRow="0" w:lastRow="0" w:firstColumn="0" w:lastColumn="0" w:oddVBand="0" w:evenVBand="0" w:oddHBand="0" w:evenHBand="0" w:firstRowFirstColumn="0" w:firstRowLastColumn="0" w:lastRowFirstColumn="0" w:lastRowLastColumn="0"/>
            </w:pPr>
            <w:r>
              <w:t>Kompetencje pracowników niedostosowane do potrzeb rynku pracy</w:t>
            </w:r>
          </w:p>
          <w:p w14:paraId="4F9B7E8D" w14:textId="24AEADF6" w:rsidR="00142622" w:rsidRPr="00142622" w:rsidRDefault="00142622" w:rsidP="00B063F0">
            <w:pPr>
              <w:pStyle w:val="elementgraficznytabela"/>
              <w:numPr>
                <w:ilvl w:val="0"/>
                <w:numId w:val="28"/>
              </w:numPr>
              <w:spacing w:after="240"/>
              <w:contextualSpacing/>
              <w:cnfStyle w:val="000000000000" w:firstRow="0" w:lastRow="0" w:firstColumn="0" w:lastColumn="0" w:oddVBand="0" w:evenVBand="0" w:oddHBand="0" w:evenHBand="0" w:firstRowFirstColumn="0" w:firstRowLastColumn="0" w:lastRowFirstColumn="0" w:lastRowLastColumn="0"/>
            </w:pPr>
            <w:r w:rsidRPr="00142622">
              <w:t>Niekorzystana struktura grup funkcjonalnych ludności</w:t>
            </w:r>
          </w:p>
        </w:tc>
      </w:tr>
      <w:tr w:rsidR="00142622" w:rsidRPr="00176303" w14:paraId="36AC74D7" w14:textId="77777777" w:rsidTr="00A33A7C">
        <w:tc>
          <w:tcPr>
            <w:cnfStyle w:val="001000000000" w:firstRow="0" w:lastRow="0" w:firstColumn="1" w:lastColumn="0" w:oddVBand="0" w:evenVBand="0" w:oddHBand="0" w:evenHBand="0" w:firstRowFirstColumn="0" w:firstRowLastColumn="0" w:lastRowFirstColumn="0" w:lastRowLastColumn="0"/>
            <w:tcW w:w="2405" w:type="dxa"/>
          </w:tcPr>
          <w:p w14:paraId="54884929" w14:textId="7579816A" w:rsidR="00142622" w:rsidRDefault="00142622" w:rsidP="00142622">
            <w:pPr>
              <w:ind w:left="0"/>
              <w:contextualSpacing/>
              <w:rPr>
                <w:lang w:val="pl-PL"/>
              </w:rPr>
            </w:pPr>
            <w:r>
              <w:t>Potencjał ekonomiczny społeczności lokalnej</w:t>
            </w:r>
          </w:p>
        </w:tc>
        <w:tc>
          <w:tcPr>
            <w:tcW w:w="6521" w:type="dxa"/>
          </w:tcPr>
          <w:p w14:paraId="13FD1989" w14:textId="77777777" w:rsidR="00142622" w:rsidRDefault="00142622" w:rsidP="00B063F0">
            <w:pPr>
              <w:pStyle w:val="elementgraficznytabela"/>
              <w:numPr>
                <w:ilvl w:val="0"/>
                <w:numId w:val="28"/>
              </w:numPr>
              <w:spacing w:after="240"/>
              <w:contextualSpacing/>
              <w:cnfStyle w:val="000000000000" w:firstRow="0" w:lastRow="0" w:firstColumn="0" w:lastColumn="0" w:oddVBand="0" w:evenVBand="0" w:oddHBand="0" w:evenHBand="0" w:firstRowFirstColumn="0" w:firstRowLastColumn="0" w:lastRowFirstColumn="0" w:lastRowLastColumn="0"/>
            </w:pPr>
            <w:r>
              <w:t>Niski, ale wzrastający poziom wynagrodzeń</w:t>
            </w:r>
          </w:p>
          <w:p w14:paraId="6FC95723" w14:textId="77777777" w:rsidR="00142622" w:rsidRDefault="00142622" w:rsidP="00B063F0">
            <w:pPr>
              <w:pStyle w:val="elementgraficznytabela"/>
              <w:numPr>
                <w:ilvl w:val="0"/>
                <w:numId w:val="28"/>
              </w:numPr>
              <w:spacing w:after="240"/>
              <w:contextualSpacing/>
              <w:cnfStyle w:val="000000000000" w:firstRow="0" w:lastRow="0" w:firstColumn="0" w:lastColumn="0" w:oddVBand="0" w:evenVBand="0" w:oddHBand="0" w:evenHBand="0" w:firstRowFirstColumn="0" w:firstRowLastColumn="0" w:lastRowFirstColumn="0" w:lastRowLastColumn="0"/>
            </w:pPr>
            <w:r>
              <w:t>Wzrastający potencjał nabywczy osób zainteresowanych kupnem mieszkania</w:t>
            </w:r>
          </w:p>
          <w:p w14:paraId="1A20C6AA" w14:textId="77777777" w:rsidR="00142622" w:rsidRPr="003C78E2" w:rsidRDefault="00142622" w:rsidP="00B063F0">
            <w:pPr>
              <w:pStyle w:val="elementgraficznytabela"/>
              <w:numPr>
                <w:ilvl w:val="0"/>
                <w:numId w:val="28"/>
              </w:numPr>
              <w:spacing w:after="240"/>
              <w:contextualSpacing/>
              <w:cnfStyle w:val="000000000000" w:firstRow="0" w:lastRow="0" w:firstColumn="0" w:lastColumn="0" w:oddVBand="0" w:evenVBand="0" w:oddHBand="0" w:evenHBand="0" w:firstRowFirstColumn="0" w:firstRowLastColumn="0" w:lastRowFirstColumn="0" w:lastRowLastColumn="0"/>
            </w:pPr>
            <w:r>
              <w:t>Zmniejszająca się liczba osób korzystających z pomocy gminy w zakresie ponoszenia kosztów mieszkaniowych</w:t>
            </w:r>
          </w:p>
          <w:p w14:paraId="1A334695" w14:textId="77777777" w:rsidR="003E51EB" w:rsidRDefault="00142622" w:rsidP="00B063F0">
            <w:pPr>
              <w:pStyle w:val="elementgraficznytabela"/>
              <w:numPr>
                <w:ilvl w:val="0"/>
                <w:numId w:val="28"/>
              </w:numPr>
              <w:spacing w:after="240"/>
              <w:contextualSpacing/>
              <w:cnfStyle w:val="000000000000" w:firstRow="0" w:lastRow="0" w:firstColumn="0" w:lastColumn="0" w:oddVBand="0" w:evenVBand="0" w:oddHBand="0" w:evenHBand="0" w:firstRowFirstColumn="0" w:firstRowLastColumn="0" w:lastRowFirstColumn="0" w:lastRowLastColumn="0"/>
            </w:pPr>
            <w:r>
              <w:t>Duży, ale zmniejszający się odsetek osób korzystających z opieki społecznej z uwagi na kryterium dochodowe (osoby żyjące w ubóstwie)</w:t>
            </w:r>
          </w:p>
          <w:p w14:paraId="0B6B83D0" w14:textId="171BA26F" w:rsidR="00142622" w:rsidRPr="003E51EB" w:rsidRDefault="00142622" w:rsidP="00B063F0">
            <w:pPr>
              <w:pStyle w:val="elementgraficznytabela"/>
              <w:numPr>
                <w:ilvl w:val="0"/>
                <w:numId w:val="28"/>
              </w:numPr>
              <w:spacing w:after="240"/>
              <w:contextualSpacing/>
              <w:cnfStyle w:val="000000000000" w:firstRow="0" w:lastRow="0" w:firstColumn="0" w:lastColumn="0" w:oddVBand="0" w:evenVBand="0" w:oddHBand="0" w:evenHBand="0" w:firstRowFirstColumn="0" w:firstRowLastColumn="0" w:lastRowFirstColumn="0" w:lastRowLastColumn="0"/>
            </w:pPr>
            <w:r w:rsidRPr="003E51EB">
              <w:t>Niski, ale wzrastający stopień kumulowania kapitału</w:t>
            </w:r>
          </w:p>
        </w:tc>
      </w:tr>
      <w:tr w:rsidR="00142622" w14:paraId="313C568D" w14:textId="77777777" w:rsidTr="00A33A7C">
        <w:tc>
          <w:tcPr>
            <w:cnfStyle w:val="001000000000" w:firstRow="0" w:lastRow="0" w:firstColumn="1" w:lastColumn="0" w:oddVBand="0" w:evenVBand="0" w:oddHBand="0" w:evenHBand="0" w:firstRowFirstColumn="0" w:firstRowLastColumn="0" w:lastRowFirstColumn="0" w:lastRowLastColumn="0"/>
            <w:tcW w:w="2405" w:type="dxa"/>
          </w:tcPr>
          <w:p w14:paraId="110B3161" w14:textId="5166C362" w:rsidR="00142622" w:rsidRDefault="00142622" w:rsidP="00142622">
            <w:pPr>
              <w:ind w:left="0"/>
              <w:contextualSpacing/>
              <w:rPr>
                <w:lang w:val="pl-PL"/>
              </w:rPr>
            </w:pPr>
            <w:r>
              <w:t>Zdolność finansowania rozwoju</w:t>
            </w:r>
          </w:p>
        </w:tc>
        <w:tc>
          <w:tcPr>
            <w:tcW w:w="6521" w:type="dxa"/>
            <w:shd w:val="clear" w:color="auto" w:fill="D9E2F3" w:themeFill="accent1" w:themeFillTint="33"/>
          </w:tcPr>
          <w:p w14:paraId="7571FE79" w14:textId="30B26503" w:rsidR="00142622" w:rsidRPr="0033353A" w:rsidRDefault="00142622" w:rsidP="00B063F0">
            <w:pPr>
              <w:pStyle w:val="Akapitzlist"/>
              <w:numPr>
                <w:ilvl w:val="0"/>
                <w:numId w:val="55"/>
              </w:numPr>
              <w:cnfStyle w:val="000000000000" w:firstRow="0" w:lastRow="0" w:firstColumn="0" w:lastColumn="0" w:oddVBand="0" w:evenVBand="0" w:oddHBand="0" w:evenHBand="0" w:firstRowFirstColumn="0" w:firstRowLastColumn="0" w:lastRowFirstColumn="0" w:lastRowLastColumn="0"/>
              <w:rPr>
                <w:lang w:val="pl-PL"/>
              </w:rPr>
            </w:pPr>
            <w:r>
              <w:t>Niska zdolność finansowania rozwoju</w:t>
            </w:r>
          </w:p>
        </w:tc>
      </w:tr>
    </w:tbl>
    <w:p w14:paraId="31EF22D4" w14:textId="0926A533" w:rsidR="00142622" w:rsidRDefault="00577383" w:rsidP="0033353A">
      <w:pPr>
        <w:pStyle w:val="podpiselementu"/>
        <w:spacing w:after="240"/>
      </w:pPr>
      <w:r w:rsidRPr="00D22080">
        <w:t>Źródło: opracowanie własn</w:t>
      </w:r>
      <w:r>
        <w:t>e</w:t>
      </w:r>
    </w:p>
    <w:p w14:paraId="5CBA7B6E" w14:textId="77777777" w:rsidR="00A33A7C" w:rsidRPr="00A33A7C" w:rsidRDefault="00A33A7C" w:rsidP="00A33A7C"/>
    <w:p w14:paraId="34BFC5DB" w14:textId="7B97DECC" w:rsidR="001E162D" w:rsidRPr="00733091" w:rsidRDefault="00FF0BA1" w:rsidP="00733091">
      <w:pPr>
        <w:pStyle w:val="Nagwek2"/>
        <w:spacing w:before="120"/>
        <w:rPr>
          <w:lang w:val="pl-PL"/>
        </w:rPr>
      </w:pPr>
      <w:bookmarkStart w:id="135" w:name="_Toc69725448"/>
      <w:r w:rsidRPr="00733091">
        <w:rPr>
          <w:lang w:val="pl-PL"/>
        </w:rPr>
        <w:t>Analiza pogłębiona obszaru Partnerstwa - wymiar środowiskowo-przestrzenny</w:t>
      </w:r>
      <w:bookmarkEnd w:id="135"/>
    </w:p>
    <w:p w14:paraId="7BDF8C00" w14:textId="49AC5343" w:rsidR="00C47AA7" w:rsidRPr="00733091" w:rsidRDefault="00C47AA7" w:rsidP="00260544">
      <w:pPr>
        <w:rPr>
          <w:rFonts w:ascii="Calibri" w:eastAsia="Calibri" w:hAnsi="Calibri" w:cs="Calibri"/>
          <w:lang w:val="pl-PL"/>
        </w:rPr>
      </w:pPr>
      <w:r w:rsidRPr="00733091">
        <w:rPr>
          <w:lang w:val="pl-PL" w:eastAsia="pl-PL"/>
        </w:rPr>
        <w:t xml:space="preserve">Przestrzeń jako jedno z najważniejszych dóbr publicznych powinna podlegać szczególnej ochronie i być kształtowana w sposób zachowujący ład przestrzenny stanowiący - obok ładu środowiskowego, gospodarczego, społecznego i instytucjonalno-politycznego - podstawowy komponent ładu zintegrowanego każdej społeczności. </w:t>
      </w:r>
      <w:r w:rsidRPr="00733091">
        <w:rPr>
          <w:rFonts w:cstheme="minorHAnsi"/>
          <w:lang w:val="pl-PL"/>
        </w:rPr>
        <w:t xml:space="preserve">Właściwa polityka przestrzenna przesądza nie tylko o porządku architektonicznym i ładzie przestrzennym, ale w dużej mierze </w:t>
      </w:r>
      <w:r w:rsidRPr="00733091">
        <w:rPr>
          <w:rFonts w:ascii="Calibri" w:eastAsia="Calibri" w:hAnsi="Calibri" w:cs="Calibri"/>
          <w:lang w:val="pl-PL"/>
        </w:rPr>
        <w:t xml:space="preserve">wyznacza możliwości rozwojowe jednostek samorządu terytorialnego oraz </w:t>
      </w:r>
      <w:r w:rsidRPr="00733091">
        <w:rPr>
          <w:rFonts w:cstheme="minorHAnsi"/>
          <w:lang w:val="pl-PL"/>
        </w:rPr>
        <w:t>określa p</w:t>
      </w:r>
      <w:r w:rsidRPr="00733091">
        <w:rPr>
          <w:rFonts w:ascii="Calibri" w:eastAsia="Calibri" w:hAnsi="Calibri" w:cs="Calibri"/>
          <w:lang w:val="pl-PL"/>
        </w:rPr>
        <w:t>otencjał i konkurencyjność lokalnej gospodarki, wpływając na sytuację ekonomiczną mieszkańców i ich poczucie zakorzenienia w społeczności lokalnej.</w:t>
      </w:r>
    </w:p>
    <w:p w14:paraId="1D722B6E" w14:textId="564FE02B" w:rsidR="00C47AA7" w:rsidRPr="00260544" w:rsidRDefault="00C47AA7" w:rsidP="00260544">
      <w:pPr>
        <w:rPr>
          <w:rFonts w:cstheme="majorHAnsi"/>
          <w:lang w:val="pl-PL"/>
        </w:rPr>
      </w:pPr>
      <w:r w:rsidRPr="00733091">
        <w:rPr>
          <w:rFonts w:cstheme="minorHAnsi"/>
          <w:lang w:val="pl-PL"/>
        </w:rPr>
        <w:t xml:space="preserve">Ważnym elementem przestrzeni jest lokalne środowisko przyrodnicze, oddziałujące w znacznej mierze na </w:t>
      </w:r>
      <w:r w:rsidRPr="00733091">
        <w:rPr>
          <w:lang w:val="pl-PL"/>
        </w:rPr>
        <w:t>jakość życia mieszkańców. Rodzaj tego oddziaływania (negatywny/pozytywny) wiąże się przede wszystkim ze stanem głównych komponentów środowiska naturalnego – jakością powietrza, wody i gleby oraz szeroko rozumianą dostępnością usług przyrodniczych</w:t>
      </w:r>
      <w:r w:rsidR="0048506E">
        <w:rPr>
          <w:lang w:val="pl-PL"/>
        </w:rPr>
        <w:t>.</w:t>
      </w:r>
    </w:p>
    <w:p w14:paraId="4A926824" w14:textId="1CAD34FA" w:rsidR="00C47AA7" w:rsidRPr="00260544" w:rsidRDefault="00C47AA7" w:rsidP="00260544">
      <w:pPr>
        <w:rPr>
          <w:lang w:val="pl-PL" w:eastAsia="pl-PL"/>
        </w:rPr>
      </w:pPr>
      <w:r w:rsidRPr="00733091">
        <w:rPr>
          <w:lang w:val="pl-PL" w:eastAsia="pl-PL"/>
        </w:rPr>
        <w:t>Wysoką jakość życia mieszkańców warunkuje również dostępność komunikacyjna (kształtowana polityką przestrzenną), rozumiana jako sprawność przemieszczania się oraz system i układ powiązań komunikacyjnych.</w:t>
      </w:r>
    </w:p>
    <w:p w14:paraId="5F5632D9" w14:textId="4E2D56CF" w:rsidR="00C47AA7" w:rsidRPr="00260544" w:rsidRDefault="00C47AA7" w:rsidP="00260544">
      <w:pPr>
        <w:rPr>
          <w:rFonts w:cstheme="minorHAnsi"/>
          <w:lang w:val="pl-PL" w:eastAsia="pl-PL"/>
        </w:rPr>
      </w:pPr>
      <w:r w:rsidRPr="00733091">
        <w:rPr>
          <w:rFonts w:cstheme="minorHAnsi"/>
          <w:lang w:val="pl-PL" w:eastAsia="pl-PL"/>
        </w:rPr>
        <w:t>Diagnoza Partnerstwa w wymiarze środowiskowo-przestrzennym objęła 3 obszary: lokalne środowisko przyrodnicze, ład i strukturę przestrzenną obszaru i dostępność komunikacyjną wpływające na ogólną sytuację rozwojową Partnerstwa w tym wymiarze (schemat poniżej).</w:t>
      </w:r>
    </w:p>
    <w:p w14:paraId="12FF5BCB" w14:textId="7F951A8C" w:rsidR="00C47AA7" w:rsidRPr="00733091" w:rsidRDefault="00C47AA7" w:rsidP="002E24A9">
      <w:pPr>
        <w:pStyle w:val="Legenda"/>
        <w:rPr>
          <w:lang w:val="pl-PL"/>
        </w:rPr>
      </w:pPr>
      <w:bookmarkStart w:id="136" w:name="_Toc67904487"/>
      <w:bookmarkStart w:id="137" w:name="_Toc67909159"/>
      <w:bookmarkStart w:id="138" w:name="_Toc68113515"/>
      <w:r>
        <w:rPr>
          <w:rFonts w:eastAsia="Times New Roman" w:cstheme="minorHAnsi"/>
          <w:noProof/>
          <w:color w:val="333333"/>
          <w:lang w:eastAsia="pl-PL"/>
        </w:rPr>
        <mc:AlternateContent>
          <mc:Choice Requires="wps">
            <w:drawing>
              <wp:anchor distT="0" distB="0" distL="114300" distR="114300" simplePos="0" relativeHeight="251658262" behindDoc="0" locked="0" layoutInCell="1" allowOverlap="1" wp14:anchorId="215700C1" wp14:editId="29B7A7F7">
                <wp:simplePos x="0" y="0"/>
                <wp:positionH relativeFrom="column">
                  <wp:posOffset>3793490</wp:posOffset>
                </wp:positionH>
                <wp:positionV relativeFrom="paragraph">
                  <wp:posOffset>282575</wp:posOffset>
                </wp:positionV>
                <wp:extent cx="1615440" cy="1424940"/>
                <wp:effectExtent l="0" t="0" r="22860" b="22860"/>
                <wp:wrapNone/>
                <wp:docPr id="50" name="Owal 50"/>
                <wp:cNvGraphicFramePr/>
                <a:graphic xmlns:a="http://schemas.openxmlformats.org/drawingml/2006/main">
                  <a:graphicData uri="http://schemas.microsoft.com/office/word/2010/wordprocessingShape">
                    <wps:wsp>
                      <wps:cNvSpPr/>
                      <wps:spPr>
                        <a:xfrm>
                          <a:off x="0" y="0"/>
                          <a:ext cx="1615440" cy="1424940"/>
                        </a:xfrm>
                        <a:prstGeom prst="ellipse">
                          <a:avLst/>
                        </a:prstGeom>
                        <a:solidFill>
                          <a:schemeClr val="accent6">
                            <a:lumMod val="60000"/>
                            <a:lumOff val="40000"/>
                          </a:schemeClr>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D7B22C" w14:textId="77777777" w:rsidR="00B14787" w:rsidRPr="00260544" w:rsidRDefault="00B14787" w:rsidP="00260544">
                            <w:pPr>
                              <w:ind w:left="0" w:firstLine="142"/>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60544">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WYMIAR ŚRODOWISKOWO-PRZESTRZENNY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15700C1" id="Owal 50" o:spid="_x0000_s1048" style="position:absolute;margin-left:298.7pt;margin-top:22.25pt;width:127.2pt;height:112.2pt;z-index:2516582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" fillcolor="#a8d08d [1945]" strokecolor="#44546a [3215]" strokeweight="1pt">
                <v:stroke joinstyle="miter"/>
                <v:textbox>
                  <w:txbxContent>
                    <w:p w14:paraId="49D7B22C" w14:textId="77777777" w:rsidR="00B14787" w:rsidRPr="00260544" w:rsidRDefault="00B14787" w:rsidP="00260544">
                      <w:pPr>
                        <w:ind w:left="0" w:firstLine="142"/>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60544">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WYMIAR ŚRODOWISKOWO-PRZESTRZENNY</w:t>
                      </w:r>
                    </w:p>
                  </w:txbxContent>
                </v:textbox>
              </v:oval>
            </w:pict>
          </mc:Fallback>
        </mc:AlternateContent>
      </w:r>
      <w:r w:rsidRPr="00733091">
        <w:rPr>
          <w:lang w:val="pl-PL"/>
        </w:rPr>
        <w:t xml:space="preserve">Rysunek </w:t>
      </w:r>
      <w:r w:rsidR="00733091">
        <w:fldChar w:fldCharType="begin"/>
      </w:r>
      <w:r w:rsidR="00733091" w:rsidRPr="00733091">
        <w:rPr>
          <w:lang w:val="pl-PL"/>
        </w:rPr>
        <w:instrText xml:space="preserve"> SEQ Rysunek \* ARABIC </w:instrText>
      </w:r>
      <w:r w:rsidR="00733091">
        <w:fldChar w:fldCharType="separate"/>
      </w:r>
      <w:r w:rsidR="00B14787">
        <w:rPr>
          <w:noProof/>
          <w:lang w:val="pl-PL"/>
        </w:rPr>
        <w:t>7</w:t>
      </w:r>
      <w:r w:rsidR="00733091">
        <w:rPr>
          <w:noProof/>
        </w:rPr>
        <w:fldChar w:fldCharType="end"/>
      </w:r>
      <w:r w:rsidRPr="00733091">
        <w:rPr>
          <w:lang w:val="pl-PL"/>
        </w:rPr>
        <w:t>: Wymiar środowiskowo-przestrzenny diagnozy Południowych Mazur</w:t>
      </w:r>
      <w:bookmarkEnd w:id="136"/>
      <w:bookmarkEnd w:id="137"/>
      <w:bookmarkEnd w:id="138"/>
    </w:p>
    <w:p w14:paraId="02AB7A78" w14:textId="77777777" w:rsidR="00C47AA7" w:rsidRDefault="00C47AA7" w:rsidP="00733091">
      <w:pPr>
        <w:pStyle w:val="podpiselementu"/>
        <w:spacing w:after="240"/>
      </w:pPr>
      <w:r>
        <w:rPr>
          <w:noProof/>
          <w:lang w:eastAsia="pl-PL"/>
        </w:rPr>
        <w:drawing>
          <wp:inline distT="0" distB="0" distL="0" distR="0" wp14:anchorId="117B5AE4" wp14:editId="0F1DA446">
            <wp:extent cx="5760720" cy="1348740"/>
            <wp:effectExtent l="0" t="0" r="11430" b="22860"/>
            <wp:docPr id="51" name="Diagram 51" descr="schemat wskazujący obszary w wymiarze środowiskowo-przestrzennym"/>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6" r:lo="rId137" r:qs="rId138" r:cs="rId139"/>
              </a:graphicData>
            </a:graphic>
          </wp:inline>
        </w:drawing>
      </w:r>
    </w:p>
    <w:p w14:paraId="07860B1D" w14:textId="77777777" w:rsidR="00C47AA7" w:rsidRPr="00733091" w:rsidRDefault="00C47AA7" w:rsidP="00733091">
      <w:pPr>
        <w:pStyle w:val="podpiselementu"/>
        <w:spacing w:after="240"/>
        <w:rPr>
          <w:lang w:val="pl-PL" w:eastAsia="pl-PL"/>
        </w:rPr>
      </w:pPr>
      <w:r w:rsidRPr="00733091">
        <w:rPr>
          <w:lang w:val="pl-PL" w:eastAsia="pl-PL"/>
        </w:rPr>
        <w:t>Źródło: opracowanie własne w oparciu o https://</w:t>
      </w:r>
      <w:r w:rsidRPr="00733091">
        <w:rPr>
          <w:lang w:val="pl-PL"/>
        </w:rPr>
        <w:t>partnerstwa.monitorrozwoju.pl</w:t>
      </w:r>
    </w:p>
    <w:p w14:paraId="23DB6869" w14:textId="77777777" w:rsidR="00C47AA7" w:rsidRPr="00733091" w:rsidRDefault="00C47AA7" w:rsidP="00733091">
      <w:pPr>
        <w:contextualSpacing/>
        <w:rPr>
          <w:color w:val="000000" w:themeColor="text1"/>
          <w:lang w:val="pl-PL"/>
        </w:rPr>
      </w:pPr>
    </w:p>
    <w:p w14:paraId="33414316" w14:textId="77777777" w:rsidR="00C47AA7" w:rsidRPr="00733091" w:rsidRDefault="00C47AA7" w:rsidP="00733091">
      <w:pPr>
        <w:contextualSpacing/>
        <w:rPr>
          <w:color w:val="000000" w:themeColor="text1"/>
          <w:lang w:val="pl-PL"/>
        </w:rPr>
      </w:pPr>
    </w:p>
    <w:p w14:paraId="69B76CA5" w14:textId="77777777" w:rsidR="00C47AA7" w:rsidRPr="00733091" w:rsidRDefault="00C47AA7" w:rsidP="00733091">
      <w:pPr>
        <w:rPr>
          <w:lang w:val="pl-PL"/>
        </w:rPr>
      </w:pPr>
      <w:r w:rsidRPr="00733091">
        <w:rPr>
          <w:lang w:val="pl-PL"/>
        </w:rPr>
        <w:t>Syntetyczny wskaźnik</w:t>
      </w:r>
      <w:r>
        <w:rPr>
          <w:rStyle w:val="Odwoanieprzypisudolnego"/>
          <w:color w:val="000000" w:themeColor="text1"/>
        </w:rPr>
        <w:footnoteReference w:id="89"/>
      </w:r>
      <w:r w:rsidRPr="00733091">
        <w:rPr>
          <w:lang w:val="pl-PL"/>
        </w:rPr>
        <w:t xml:space="preserve"> rozwoju Partnerstwa w wymiarze środowiskowo-przestrzennym, uwzględniający sytuację Południowych Mazur w trzech obszarach: lokalne środowisko przyrodnicze, ład i struktura przestrzenna obszaru, dostępność komunikacyjna uzyskuje w całym okresie badawczym</w:t>
      </w:r>
      <w:r>
        <w:rPr>
          <w:rStyle w:val="Odwoanieprzypisudolnego"/>
          <w:color w:val="000000" w:themeColor="text1"/>
        </w:rPr>
        <w:footnoteReference w:id="90"/>
      </w:r>
      <w:r w:rsidRPr="00733091">
        <w:rPr>
          <w:lang w:val="pl-PL"/>
        </w:rPr>
        <w:t xml:space="preserve"> wartości ujemne. Dynamika wzrostu wskaźnika w analizowanym okresie jest wyraźnie dodatnia.</w:t>
      </w:r>
    </w:p>
    <w:p w14:paraId="577467F6" w14:textId="3FAB5667" w:rsidR="00C47AA7" w:rsidRPr="00733091" w:rsidRDefault="00C47AA7" w:rsidP="00733091">
      <w:pPr>
        <w:rPr>
          <w:lang w:val="pl-PL"/>
        </w:rPr>
      </w:pPr>
      <w:r w:rsidRPr="00733091">
        <w:rPr>
          <w:lang w:val="pl-PL"/>
        </w:rPr>
        <w:t xml:space="preserve">Oznacza to, że Południowe Mazury charakteryzuje </w:t>
      </w:r>
      <w:r w:rsidRPr="00733091">
        <w:rPr>
          <w:b/>
          <w:bCs/>
          <w:lang w:val="pl-PL"/>
        </w:rPr>
        <w:t xml:space="preserve">niekorzystna, lecz istotnie poprawiająca się </w:t>
      </w:r>
      <w:r w:rsidRPr="00733091">
        <w:rPr>
          <w:lang w:val="pl-PL"/>
        </w:rPr>
        <w:t xml:space="preserve">sytuacja w wymiarze środowiskowo-przestrzennym, szczególnie </w:t>
      </w:r>
      <w:r w:rsidR="003E51EB">
        <w:rPr>
          <w:lang w:val="pl-PL"/>
        </w:rPr>
        <w:br/>
      </w:r>
      <w:r w:rsidRPr="00733091">
        <w:rPr>
          <w:lang w:val="pl-PL"/>
        </w:rPr>
        <w:t>w obszarze dostępności komunikacyjnej i stanu lokalnego środowiska przyrodniczego (wykresy poniżej).</w:t>
      </w:r>
    </w:p>
    <w:p w14:paraId="27C533E4" w14:textId="7867DF22" w:rsidR="00C47AA7" w:rsidRDefault="00480473" w:rsidP="002E24A9">
      <w:pPr>
        <w:pStyle w:val="Legenda"/>
        <w:rPr>
          <w:noProof/>
          <w:lang w:val="pl-PL"/>
        </w:rPr>
      </w:pPr>
      <w:bookmarkStart w:id="139" w:name="_Toc69723207"/>
      <w:r w:rsidRPr="00733091">
        <w:rPr>
          <w:lang w:val="pl-PL"/>
        </w:rPr>
        <w:t xml:space="preserve">Wykres </w:t>
      </w:r>
      <w:r w:rsidR="00733091">
        <w:fldChar w:fldCharType="begin"/>
      </w:r>
      <w:r w:rsidR="00733091" w:rsidRPr="00733091">
        <w:rPr>
          <w:lang w:val="pl-PL"/>
        </w:rPr>
        <w:instrText xml:space="preserve"> SEQ Wykres \* ARABIC </w:instrText>
      </w:r>
      <w:r w:rsidR="00733091">
        <w:fldChar w:fldCharType="separate"/>
      </w:r>
      <w:r w:rsidR="00B14787">
        <w:rPr>
          <w:noProof/>
          <w:lang w:val="pl-PL"/>
        </w:rPr>
        <w:t>49</w:t>
      </w:r>
      <w:r w:rsidR="00733091">
        <w:rPr>
          <w:noProof/>
        </w:rPr>
        <w:fldChar w:fldCharType="end"/>
      </w:r>
      <w:r w:rsidRPr="00733091">
        <w:rPr>
          <w:lang w:val="pl-PL"/>
        </w:rPr>
        <w:t xml:space="preserve">: </w:t>
      </w:r>
      <w:r w:rsidR="00C47AA7" w:rsidRPr="00733091">
        <w:rPr>
          <w:noProof/>
          <w:lang w:val="pl-PL"/>
        </w:rPr>
        <w:t>Wskaźnik rozwoju Partnerstwa- wymiar środowiskowo-przestrzenny</w:t>
      </w:r>
      <w:bookmarkEnd w:id="139"/>
    </w:p>
    <w:p w14:paraId="53647E67" w14:textId="687C9510" w:rsidR="00C47AA7" w:rsidRPr="00733091" w:rsidRDefault="003E51EB" w:rsidP="003E51EB">
      <w:pPr>
        <w:ind w:left="0"/>
        <w:rPr>
          <w:lang w:val="pl-PL"/>
        </w:rPr>
      </w:pPr>
      <w:r>
        <w:rPr>
          <w:noProof/>
        </w:rPr>
        <w:drawing>
          <wp:inline distT="0" distB="0" distL="0" distR="0" wp14:anchorId="2BB32EF0" wp14:editId="3D2BFDEC">
            <wp:extent cx="5759450" cy="3455670"/>
            <wp:effectExtent l="19050" t="19050" r="12700" b="11430"/>
            <wp:docPr id="107" name="Obraz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1">
                      <a:extLst>
                        <a:ext uri="{BEBA8EAE-BF5A-486C-A8C5-ECC9F3942E4B}">
                          <a14:imgProps xmlns:a14="http://schemas.microsoft.com/office/drawing/2010/main">
                            <a14:imgLayer r:embed="rId142">
                              <a14:imgEffect>
                                <a14:saturation sat="33000"/>
                              </a14:imgEffect>
                            </a14:imgLayer>
                          </a14:imgProps>
                        </a:ext>
                        <a:ext uri="{28A0092B-C50C-407E-A947-70E740481C1C}">
                          <a14:useLocalDpi xmlns:a14="http://schemas.microsoft.com/office/drawing/2010/main" val="0"/>
                        </a:ext>
                      </a:extLst>
                    </a:blip>
                    <a:srcRect/>
                    <a:stretch>
                      <a:fillRect/>
                    </a:stretch>
                  </pic:blipFill>
                  <pic:spPr bwMode="auto">
                    <a:xfrm>
                      <a:off x="0" y="0"/>
                      <a:ext cx="5759450" cy="3455670"/>
                    </a:xfrm>
                    <a:prstGeom prst="rect">
                      <a:avLst/>
                    </a:prstGeom>
                    <a:noFill/>
                    <a:ln>
                      <a:solidFill>
                        <a:schemeClr val="tx2"/>
                      </a:solidFill>
                    </a:ln>
                  </pic:spPr>
                </pic:pic>
              </a:graphicData>
            </a:graphic>
          </wp:inline>
        </w:drawing>
      </w:r>
      <w:r w:rsidR="00797E0C" w:rsidRPr="00733091">
        <w:rPr>
          <w:lang w:val="pl-PL"/>
        </w:rPr>
        <w:t>Źródło: opracowanie ZMP na podstawie https://partnerstwa.monitorrozwoju.pl</w:t>
      </w:r>
      <w:r w:rsidR="00797E0C" w:rsidRPr="00733091">
        <w:rPr>
          <w:rFonts w:ascii="Segoe UI" w:hAnsi="Segoe UI" w:cs="Segoe UI"/>
          <w:color w:val="FFFFFF"/>
          <w:sz w:val="21"/>
          <w:szCs w:val="21"/>
          <w:lang w:val="pl-PL"/>
        </w:rPr>
        <w:t>opiek</w:t>
      </w:r>
    </w:p>
    <w:p w14:paraId="57C93E7D" w14:textId="77777777" w:rsidR="00C47AA7" w:rsidRPr="00733091" w:rsidRDefault="00C47AA7" w:rsidP="00733091">
      <w:pPr>
        <w:rPr>
          <w:lang w:val="pl-PL"/>
        </w:rPr>
      </w:pPr>
    </w:p>
    <w:p w14:paraId="5E6F1A0C" w14:textId="58E998BD" w:rsidR="00C47AA7" w:rsidRPr="00733091" w:rsidRDefault="00480473" w:rsidP="002E24A9">
      <w:pPr>
        <w:pStyle w:val="Legenda"/>
        <w:rPr>
          <w:rFonts w:eastAsia="Times New Roman" w:cstheme="minorHAnsi"/>
          <w:lang w:val="pl-PL" w:eastAsia="pl-PL"/>
        </w:rPr>
      </w:pPr>
      <w:bookmarkStart w:id="140" w:name="_Toc69723208"/>
      <w:r w:rsidRPr="00733091">
        <w:rPr>
          <w:lang w:val="pl-PL"/>
        </w:rPr>
        <w:lastRenderedPageBreak/>
        <w:t xml:space="preserve">Wykres </w:t>
      </w:r>
      <w:r w:rsidR="00733091">
        <w:fldChar w:fldCharType="begin"/>
      </w:r>
      <w:r w:rsidR="00733091" w:rsidRPr="00733091">
        <w:rPr>
          <w:lang w:val="pl-PL"/>
        </w:rPr>
        <w:instrText xml:space="preserve"> SEQ Wykres \* ARABIC </w:instrText>
      </w:r>
      <w:r w:rsidR="00733091">
        <w:fldChar w:fldCharType="separate"/>
      </w:r>
      <w:r w:rsidR="00B14787">
        <w:rPr>
          <w:noProof/>
          <w:lang w:val="pl-PL"/>
        </w:rPr>
        <w:t>50</w:t>
      </w:r>
      <w:r w:rsidR="00733091">
        <w:rPr>
          <w:noProof/>
        </w:rPr>
        <w:fldChar w:fldCharType="end"/>
      </w:r>
      <w:r w:rsidRPr="00733091">
        <w:rPr>
          <w:lang w:val="pl-PL"/>
        </w:rPr>
        <w:t xml:space="preserve">: </w:t>
      </w:r>
      <w:r w:rsidR="002F4191">
        <w:rPr>
          <w:rFonts w:cstheme="minorHAnsi"/>
          <w:color w:val="111111"/>
          <w:lang w:val="pl-PL"/>
        </w:rPr>
        <w:t>Dynamika zmian w obszarach w latach 2015-2019</w:t>
      </w:r>
      <w:r w:rsidR="009879DD">
        <w:rPr>
          <w:rFonts w:cstheme="minorHAnsi"/>
          <w:color w:val="111111"/>
          <w:lang w:val="pl-PL"/>
        </w:rPr>
        <w:t xml:space="preserve"> </w:t>
      </w:r>
      <w:r w:rsidR="00C47AA7" w:rsidRPr="00733091">
        <w:rPr>
          <w:noProof/>
          <w:lang w:val="pl-PL"/>
        </w:rPr>
        <w:t>– wymiar środowiskowo-przestrzenny</w:t>
      </w:r>
      <w:bookmarkEnd w:id="140"/>
    </w:p>
    <w:p w14:paraId="328893E0" w14:textId="3EC621FF" w:rsidR="00C47AA7" w:rsidRPr="003E51EB" w:rsidRDefault="003E51EB" w:rsidP="00733091">
      <w:pPr>
        <w:pStyle w:val="podpiselementu"/>
        <w:spacing w:after="240"/>
        <w:rPr>
          <w:noProof/>
          <w:lang w:val="pl-PL"/>
        </w:rPr>
      </w:pPr>
      <w:r>
        <w:rPr>
          <w:noProof/>
        </w:rPr>
        <w:drawing>
          <wp:inline distT="0" distB="0" distL="0" distR="0" wp14:anchorId="5CF7DDA3" wp14:editId="270D1120">
            <wp:extent cx="5759450" cy="2114550"/>
            <wp:effectExtent l="19050" t="19050" r="12700" b="19050"/>
            <wp:docPr id="116" name="Obraz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759450" cy="2114550"/>
                    </a:xfrm>
                    <a:prstGeom prst="rect">
                      <a:avLst/>
                    </a:prstGeom>
                    <a:noFill/>
                    <a:ln>
                      <a:solidFill>
                        <a:schemeClr val="tx2"/>
                      </a:solidFill>
                    </a:ln>
                  </pic:spPr>
                </pic:pic>
              </a:graphicData>
            </a:graphic>
          </wp:inline>
        </w:drawing>
      </w:r>
      <w:r w:rsidR="00797E0C" w:rsidRPr="00797E0C">
        <w:rPr>
          <w:lang w:val="pl-PL"/>
        </w:rPr>
        <w:t xml:space="preserve"> </w:t>
      </w:r>
      <w:r w:rsidR="00797E0C" w:rsidRPr="00733091">
        <w:rPr>
          <w:lang w:val="pl-PL"/>
        </w:rPr>
        <w:t xml:space="preserve">Źródło: opracowanie ZMP na podstawie </w:t>
      </w:r>
      <w:hyperlink r:id="rId144" w:history="1">
        <w:r w:rsidR="007477A4" w:rsidRPr="00666604">
          <w:rPr>
            <w:rStyle w:val="Hipercze"/>
            <w:lang w:val="pl-PL"/>
          </w:rPr>
          <w:t>https://partnerstwa.monitorrozwoju.pl</w:t>
        </w:r>
        <w:r w:rsidR="007477A4" w:rsidRPr="00666604">
          <w:rPr>
            <w:rStyle w:val="Hipercze"/>
            <w:rFonts w:ascii="Segoe UI" w:hAnsi="Segoe UI" w:cs="Segoe UI"/>
            <w:sz w:val="21"/>
            <w:szCs w:val="21"/>
            <w:lang w:val="pl-PL"/>
          </w:rPr>
          <w:t>opiek</w:t>
        </w:r>
      </w:hyperlink>
    </w:p>
    <w:p w14:paraId="1C98648D" w14:textId="77777777" w:rsidR="007477A4" w:rsidRPr="007477A4" w:rsidRDefault="007477A4" w:rsidP="007477A4">
      <w:pPr>
        <w:rPr>
          <w:lang w:val="pl-PL"/>
        </w:rPr>
      </w:pPr>
    </w:p>
    <w:p w14:paraId="0FA33199" w14:textId="6F0DEC1C" w:rsidR="001E162D" w:rsidRPr="00690E7F" w:rsidRDefault="00E84F7B" w:rsidP="00733091">
      <w:pPr>
        <w:pStyle w:val="Nagwek3"/>
        <w:spacing w:after="240"/>
        <w:rPr>
          <w:lang w:val="en-US"/>
        </w:rPr>
      </w:pPr>
      <w:bookmarkStart w:id="141" w:name="_Toc69725449"/>
      <w:r w:rsidRPr="00E84F7B">
        <w:rPr>
          <w:lang w:val="en-US"/>
        </w:rPr>
        <w:t>Lokalne środowisko przyrodnicze</w:t>
      </w:r>
      <w:bookmarkEnd w:id="141"/>
    </w:p>
    <w:p w14:paraId="068E6E86" w14:textId="0AAA29DE" w:rsidR="00C47AA7" w:rsidRPr="00733091" w:rsidRDefault="00C47AA7" w:rsidP="00733091">
      <w:pPr>
        <w:rPr>
          <w:lang w:val="pl-PL"/>
        </w:rPr>
      </w:pPr>
      <w:r w:rsidRPr="00733091">
        <w:rPr>
          <w:lang w:val="pl-PL"/>
        </w:rPr>
        <w:t xml:space="preserve">Lokalne środowisko przyrodnicze tworzą zasoby przyrodnicze, wpływające </w:t>
      </w:r>
      <w:r w:rsidR="003E51EB">
        <w:rPr>
          <w:lang w:val="pl-PL"/>
        </w:rPr>
        <w:br/>
      </w:r>
      <w:r w:rsidRPr="00733091">
        <w:rPr>
          <w:lang w:val="pl-PL"/>
        </w:rPr>
        <w:t xml:space="preserve">w znacznej mierze na konkurencyjność Południowych Mazur, tj.: uwarunkowania </w:t>
      </w:r>
      <w:r w:rsidR="003E51EB">
        <w:rPr>
          <w:lang w:val="pl-PL"/>
        </w:rPr>
        <w:br/>
      </w:r>
      <w:r w:rsidRPr="00733091">
        <w:rPr>
          <w:lang w:val="pl-PL"/>
        </w:rPr>
        <w:t>i walory naturalne (w tym klimat i hydrologia obszaru), tereny zielone (głównie lasy), jakość powietrza. Lokalne środowisko naturalne chronione jest poprzez wprowadzenie ograniczeń dla działalności człowieka (zakazy prawne dotyczące terenów szczególnie cennych przyrodniczo) oraz podejmowanie innych działań służących zachowaniu dobrego stanu środowiska (w tym budowę i utrzymanie przez Partnerów infrastruktury technicznej).</w:t>
      </w:r>
    </w:p>
    <w:p w14:paraId="6CE6E0A9" w14:textId="1A0C4A10" w:rsidR="001E162D" w:rsidRPr="00690E7F" w:rsidRDefault="00B72DEC" w:rsidP="00733091">
      <w:pPr>
        <w:pStyle w:val="Nagwek4"/>
        <w:spacing w:before="120" w:after="240"/>
      </w:pPr>
      <w:r w:rsidRPr="00B72DEC">
        <w:t>Uwarunkowania i walory naturalne Partnerstwa</w:t>
      </w:r>
    </w:p>
    <w:p w14:paraId="05E0051E" w14:textId="77777777" w:rsidR="00C47AA7" w:rsidRPr="00733091" w:rsidRDefault="00C47AA7" w:rsidP="00733091">
      <w:pPr>
        <w:rPr>
          <w:lang w:val="pl-PL"/>
        </w:rPr>
      </w:pPr>
      <w:r w:rsidRPr="00733091">
        <w:rPr>
          <w:lang w:val="pl-PL"/>
        </w:rPr>
        <w:t xml:space="preserve">Południowe Mazury są </w:t>
      </w:r>
      <w:r w:rsidRPr="00733091">
        <w:rPr>
          <w:b/>
          <w:bCs/>
          <w:lang w:val="pl-PL"/>
        </w:rPr>
        <w:t>obszarem leśno-rolniczym</w:t>
      </w:r>
      <w:r w:rsidRPr="00733091">
        <w:rPr>
          <w:lang w:val="pl-PL"/>
        </w:rPr>
        <w:t>; grunty leśne, zadrzewione i zakrzewione zajmują 46,4% obszaru, natomiast użytki rolne – 42,5% powierzchni Partnerstwa. Pozostałe grunty (pod wodami, grunty zabudowane i zurbanizowane użytki ekologiczne, nieużytki rolne i inne tereny) zajmują łącznie 11,1% powierzchni obszaru (wykres i mapa poniżej).</w:t>
      </w:r>
    </w:p>
    <w:p w14:paraId="7E311115" w14:textId="77777777" w:rsidR="00C47AA7" w:rsidRPr="00733091" w:rsidRDefault="00C47AA7" w:rsidP="00733091">
      <w:pPr>
        <w:rPr>
          <w:rFonts w:cstheme="minorHAnsi"/>
          <w:lang w:val="pl-PL"/>
        </w:rPr>
      </w:pPr>
    </w:p>
    <w:p w14:paraId="3B6953E1" w14:textId="0BBD15D4" w:rsidR="00C47AA7" w:rsidRPr="00733091" w:rsidRDefault="00480473" w:rsidP="002E24A9">
      <w:pPr>
        <w:pStyle w:val="Legenda"/>
        <w:rPr>
          <w:lang w:val="pl-PL"/>
        </w:rPr>
      </w:pPr>
      <w:bookmarkStart w:id="142" w:name="_Toc69723209"/>
      <w:r w:rsidRPr="00733091">
        <w:rPr>
          <w:lang w:val="pl-PL"/>
        </w:rPr>
        <w:lastRenderedPageBreak/>
        <w:t xml:space="preserve">Wykres </w:t>
      </w:r>
      <w:r w:rsidR="00733091">
        <w:fldChar w:fldCharType="begin"/>
      </w:r>
      <w:r w:rsidR="00733091" w:rsidRPr="00733091">
        <w:rPr>
          <w:lang w:val="pl-PL"/>
        </w:rPr>
        <w:instrText xml:space="preserve"> SEQ Wykres \* ARABIC </w:instrText>
      </w:r>
      <w:r w:rsidR="00733091">
        <w:fldChar w:fldCharType="separate"/>
      </w:r>
      <w:r w:rsidR="00B14787">
        <w:rPr>
          <w:noProof/>
          <w:lang w:val="pl-PL"/>
        </w:rPr>
        <w:t>51</w:t>
      </w:r>
      <w:r w:rsidR="00733091">
        <w:rPr>
          <w:noProof/>
        </w:rPr>
        <w:fldChar w:fldCharType="end"/>
      </w:r>
      <w:r w:rsidRPr="00733091">
        <w:rPr>
          <w:lang w:val="pl-PL"/>
        </w:rPr>
        <w:t xml:space="preserve">: </w:t>
      </w:r>
      <w:r w:rsidR="00C47AA7" w:rsidRPr="00733091">
        <w:rPr>
          <w:lang w:val="pl-PL"/>
        </w:rPr>
        <w:t>Klasyfikacja gruntów</w:t>
      </w:r>
      <w:bookmarkEnd w:id="142"/>
    </w:p>
    <w:p w14:paraId="25F40E7E" w14:textId="4240E594" w:rsidR="00C47AA7" w:rsidRPr="00260544" w:rsidRDefault="00C47AA7" w:rsidP="00260544">
      <w:pPr>
        <w:pStyle w:val="podpiselementu"/>
        <w:spacing w:after="240"/>
        <w:rPr>
          <w:lang w:val="pl-PL"/>
        </w:rPr>
      </w:pPr>
      <w:r w:rsidRPr="00F25EBD">
        <w:rPr>
          <w:rFonts w:asciiTheme="majorHAnsi" w:hAnsiTheme="majorHAnsi" w:cstheme="majorHAnsi"/>
          <w:noProof/>
          <w:lang w:eastAsia="pl-PL"/>
        </w:rPr>
        <w:drawing>
          <wp:inline distT="0" distB="0" distL="0" distR="0" wp14:anchorId="0C7685B1" wp14:editId="6A6424B3">
            <wp:extent cx="5798820" cy="2278380"/>
            <wp:effectExtent l="0" t="0" r="11430" b="7620"/>
            <wp:docPr id="62" name="Wykres 62" descr="wykres kołowy pokazujący klasyfikację gruntów. Kolorem niebieskim zaznaczone są użytki rolne razem, pomarańczowym grunty leśne oraz zadrzewione i zakrzewione razem, szarym – grunty pod wodami, żółtym grunty zabudowane i zubranizowane razem, zielonym – nieużytki">
              <a:extLst xmlns:a="http://schemas.openxmlformats.org/drawingml/2006/main">
                <a:ext uri="{FF2B5EF4-FFF2-40B4-BE49-F238E27FC236}">
                  <a16:creationId xmlns:a16="http://schemas.microsoft.com/office/drawing/2014/main" id="{2CEFA514-50D3-47D4-A6C5-4F09465E55F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5"/>
              </a:graphicData>
            </a:graphic>
          </wp:inline>
        </w:drawing>
      </w:r>
      <w:r w:rsidRPr="00733091">
        <w:rPr>
          <w:lang w:val="pl-PL"/>
        </w:rPr>
        <w:t>Źródło: opracowanie własne na podstawie BDL</w:t>
      </w:r>
    </w:p>
    <w:p w14:paraId="227A1CEB" w14:textId="4F69F520" w:rsidR="00BA5A72" w:rsidRPr="00797E0C" w:rsidRDefault="00BA5A72" w:rsidP="002E24A9">
      <w:pPr>
        <w:pStyle w:val="Legenda"/>
        <w:rPr>
          <w:lang w:val="pl-PL"/>
        </w:rPr>
      </w:pPr>
      <w:bookmarkStart w:id="143" w:name="_Toc69596609"/>
      <w:r w:rsidRPr="00797E0C">
        <w:rPr>
          <w:lang w:val="pl-PL"/>
        </w:rPr>
        <w:t xml:space="preserve">Mapa </w:t>
      </w:r>
      <w:r w:rsidR="00733091">
        <w:fldChar w:fldCharType="begin"/>
      </w:r>
      <w:r w:rsidR="00733091" w:rsidRPr="00797E0C">
        <w:rPr>
          <w:lang w:val="pl-PL"/>
        </w:rPr>
        <w:instrText xml:space="preserve"> SEQ Mapa \* ARABIC </w:instrText>
      </w:r>
      <w:r w:rsidR="00733091">
        <w:fldChar w:fldCharType="separate"/>
      </w:r>
      <w:r w:rsidR="00B14787">
        <w:rPr>
          <w:noProof/>
          <w:lang w:val="pl-PL"/>
        </w:rPr>
        <w:t>9</w:t>
      </w:r>
      <w:r w:rsidR="00733091">
        <w:rPr>
          <w:noProof/>
        </w:rPr>
        <w:fldChar w:fldCharType="end"/>
      </w:r>
      <w:r w:rsidRPr="00797E0C">
        <w:rPr>
          <w:lang w:val="pl-PL"/>
        </w:rPr>
        <w:t>: Klasy pokrycia terenu</w:t>
      </w:r>
      <w:bookmarkEnd w:id="143"/>
    </w:p>
    <w:p w14:paraId="64035322" w14:textId="7320AD70" w:rsidR="00C47AA7" w:rsidRPr="00797E0C" w:rsidRDefault="00C47AA7" w:rsidP="00260544">
      <w:pPr>
        <w:pStyle w:val="podpiselementu"/>
        <w:spacing w:after="240"/>
        <w:rPr>
          <w:lang w:val="pl-PL"/>
        </w:rPr>
      </w:pPr>
      <w:r w:rsidRPr="003C78E2">
        <w:rPr>
          <w:noProof/>
        </w:rPr>
        <w:drawing>
          <wp:inline distT="0" distB="0" distL="0" distR="0" wp14:anchorId="4F5383A3" wp14:editId="2050EF92">
            <wp:extent cx="5760720" cy="3851910"/>
            <wp:effectExtent l="19050" t="19050" r="11430" b="15240"/>
            <wp:docPr id="66" name="Obraz 66" descr="mapa z zaznaczonym obrysem partnerstwa wskazująca klasy pokrycia tereny : lasy iglaste – zaznaczone są kolorem ciemnozielonym, lasy liściaste – jasnozielonym, lasy mieszane – średniozielonym, tereny rolnicze – musztardowym, grunty orne – jasnożółtym, czerwonym – zabudowa luź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Obraz 66" descr="mapa z zaznaczonym obrysem partnerstwa wskazująca klasy pokrycia tereny : lasy iglaste – zaznaczone są kolorem ciemnozielonym, lasy liściaste – jasnozielonym, lasy mieszane – średniozielonym, tereny rolnicze – musztardowym, grunty orne – jasnożółtym, czerwonym – zabudowa luźna"/>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5760720" cy="3851910"/>
                    </a:xfrm>
                    <a:prstGeom prst="rect">
                      <a:avLst/>
                    </a:prstGeom>
                    <a:noFill/>
                    <a:ln>
                      <a:solidFill>
                        <a:schemeClr val="tx2"/>
                      </a:solidFill>
                    </a:ln>
                  </pic:spPr>
                </pic:pic>
              </a:graphicData>
            </a:graphic>
          </wp:inline>
        </w:drawing>
      </w:r>
      <w:r w:rsidRPr="00733091">
        <w:rPr>
          <w:lang w:val="pl-PL"/>
        </w:rPr>
        <w:t>Źródło: opracowanie ZMP na podstawie danych CLC_2018</w:t>
      </w:r>
    </w:p>
    <w:p w14:paraId="62D8D8CA" w14:textId="7DE51138" w:rsidR="003E51EB" w:rsidRDefault="00C47AA7" w:rsidP="00733091">
      <w:pPr>
        <w:rPr>
          <w:lang w:val="pl-PL"/>
        </w:rPr>
      </w:pPr>
      <w:r w:rsidRPr="00733091">
        <w:rPr>
          <w:lang w:val="pl-PL"/>
        </w:rPr>
        <w:t>Najwyższe nasycenie gruntami ornymi występuje w zachodniej części Południowych Mazur</w:t>
      </w:r>
      <w:r w:rsidR="00260544">
        <w:rPr>
          <w:lang w:val="pl-PL"/>
        </w:rPr>
        <w:t xml:space="preserve"> </w:t>
      </w:r>
      <w:r w:rsidRPr="00733091">
        <w:rPr>
          <w:lang w:val="pl-PL"/>
        </w:rPr>
        <w:t>i charakteryzuje cztery gminy: Płośnicę, gminę wiejską Działdowo, Kozłowo i</w:t>
      </w:r>
      <w:r w:rsidR="00260544">
        <w:rPr>
          <w:lang w:val="pl-PL"/>
        </w:rPr>
        <w:t xml:space="preserve"> </w:t>
      </w:r>
      <w:r w:rsidRPr="00733091">
        <w:rPr>
          <w:lang w:val="pl-PL"/>
        </w:rPr>
        <w:lastRenderedPageBreak/>
        <w:t>Janowiec Kościelny</w:t>
      </w:r>
      <w:r w:rsidRPr="00A256AB">
        <w:rPr>
          <w:rStyle w:val="Odwoanieprzypisudolnego"/>
          <w:rFonts w:cstheme="minorHAnsi"/>
        </w:rPr>
        <w:footnoteReference w:id="91"/>
      </w:r>
      <w:r w:rsidRPr="00733091">
        <w:rPr>
          <w:lang w:val="pl-PL"/>
        </w:rPr>
        <w:t xml:space="preserve">, w których ponad 75% terenu przeznaczone jest na cele rolnicze. </w:t>
      </w:r>
      <w:r w:rsidR="00747A52">
        <w:rPr>
          <w:lang w:val="pl-PL"/>
        </w:rPr>
        <w:t xml:space="preserve">Potencjał rolniczy tych terenów jest jednak stosunkowo niski (wskaźnik waloryzacja rolniczej przestrzeni </w:t>
      </w:r>
      <w:r w:rsidR="00747A52" w:rsidRPr="00F84A3C">
        <w:rPr>
          <w:lang w:val="pl-PL"/>
        </w:rPr>
        <w:t xml:space="preserve">produkcyjnej obejmujący </w:t>
      </w:r>
      <w:r w:rsidR="00747A52" w:rsidRPr="00F84A3C">
        <w:rPr>
          <w:rFonts w:cs="Arial"/>
          <w:shd w:val="clear" w:color="auto" w:fill="FFFFFF"/>
          <w:lang w:val="pl-PL"/>
        </w:rPr>
        <w:t>cztery czynniki składowe, tj. jakość gleby, klimat, rzeźba terenu, stosunki wodne</w:t>
      </w:r>
      <w:r w:rsidR="00F84A3C" w:rsidRPr="00F84A3C">
        <w:rPr>
          <w:rFonts w:cs="Arial"/>
          <w:shd w:val="clear" w:color="auto" w:fill="FFFFFF"/>
          <w:lang w:val="pl-PL"/>
        </w:rPr>
        <w:t xml:space="preserve"> jest </w:t>
      </w:r>
      <w:r w:rsidR="00F84A3C">
        <w:rPr>
          <w:rFonts w:cs="Arial"/>
          <w:shd w:val="clear" w:color="auto" w:fill="FFFFFF"/>
          <w:lang w:val="pl-PL"/>
        </w:rPr>
        <w:t>niski</w:t>
      </w:r>
      <w:r w:rsidR="00F84A3C" w:rsidRPr="00F84A3C">
        <w:rPr>
          <w:rFonts w:cs="Arial"/>
          <w:shd w:val="clear" w:color="auto" w:fill="FFFFFF"/>
          <w:lang w:val="pl-PL"/>
        </w:rPr>
        <w:t>)</w:t>
      </w:r>
      <w:r w:rsidR="00F84A3C" w:rsidRPr="00F84A3C">
        <w:rPr>
          <w:rStyle w:val="Odwoanieprzypisudolnego"/>
          <w:rFonts w:cs="Arial"/>
          <w:shd w:val="clear" w:color="auto" w:fill="FFFFFF"/>
          <w:lang w:val="pl-PL"/>
        </w:rPr>
        <w:footnoteReference w:id="92"/>
      </w:r>
      <w:r w:rsidR="00F84A3C" w:rsidRPr="00F84A3C">
        <w:rPr>
          <w:rFonts w:cs="Arial"/>
          <w:shd w:val="clear" w:color="auto" w:fill="FFFFFF"/>
          <w:lang w:val="pl-PL"/>
        </w:rPr>
        <w:t>.</w:t>
      </w:r>
    </w:p>
    <w:p w14:paraId="3E15C03B" w14:textId="626046A7" w:rsidR="003E51EB" w:rsidRDefault="00747A52" w:rsidP="00747A52">
      <w:pPr>
        <w:pStyle w:val="Legenda"/>
        <w:rPr>
          <w:lang w:val="pl-PL"/>
        </w:rPr>
      </w:pPr>
      <w:bookmarkStart w:id="144" w:name="_Toc69596610"/>
      <w:r w:rsidRPr="00797E0C">
        <w:rPr>
          <w:lang w:val="pl-PL"/>
        </w:rPr>
        <w:t xml:space="preserve">Mapa </w:t>
      </w:r>
      <w:r>
        <w:fldChar w:fldCharType="begin"/>
      </w:r>
      <w:r w:rsidRPr="00797E0C">
        <w:rPr>
          <w:lang w:val="pl-PL"/>
        </w:rPr>
        <w:instrText xml:space="preserve"> SEQ Mapa \* ARABIC </w:instrText>
      </w:r>
      <w:r>
        <w:fldChar w:fldCharType="separate"/>
      </w:r>
      <w:r w:rsidR="00B14787">
        <w:rPr>
          <w:noProof/>
          <w:lang w:val="pl-PL"/>
        </w:rPr>
        <w:t>10</w:t>
      </w:r>
      <w:r>
        <w:rPr>
          <w:noProof/>
        </w:rPr>
        <w:fldChar w:fldCharType="end"/>
      </w:r>
      <w:r w:rsidRPr="00797E0C">
        <w:rPr>
          <w:lang w:val="pl-PL"/>
        </w:rPr>
        <w:t xml:space="preserve">: </w:t>
      </w:r>
      <w:r w:rsidRPr="00747A52">
        <w:rPr>
          <w:lang w:val="pl-PL"/>
        </w:rPr>
        <w:t>Wskaźnik waloryzacji rolniczej przestrzeni produkcyjnej</w:t>
      </w:r>
      <w:r>
        <w:rPr>
          <w:lang w:val="pl-PL"/>
        </w:rPr>
        <w:br/>
      </w:r>
      <w:r>
        <w:rPr>
          <w:noProof/>
        </w:rPr>
        <w:drawing>
          <wp:inline distT="0" distB="0" distL="0" distR="0" wp14:anchorId="79D7DCDA" wp14:editId="60A1B7A5">
            <wp:extent cx="4669790" cy="4669790"/>
            <wp:effectExtent l="19050" t="19050" r="16510" b="16510"/>
            <wp:docPr id="146" name="Obraz 146" descr="Obraz z kartogramem pokazującym wskaźnik waloryzacji rolniczej przestrzeni produkcyjnej dla całego kraju ze wskazaną lokalizacją partnerst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Obraz 146" descr="Obraz z kartogramem pokazującym wskaźnik waloryzacji rolniczej przestrzeni produkcyjnej dla całego kraju ze wskazaną lokalizacją partnerstwa"/>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4669790" cy="4669790"/>
                    </a:xfrm>
                    <a:prstGeom prst="rect">
                      <a:avLst/>
                    </a:prstGeom>
                    <a:noFill/>
                    <a:ln>
                      <a:solidFill>
                        <a:schemeClr val="tx2"/>
                      </a:solidFill>
                    </a:ln>
                  </pic:spPr>
                </pic:pic>
              </a:graphicData>
            </a:graphic>
          </wp:inline>
        </w:drawing>
      </w:r>
      <w:bookmarkEnd w:id="144"/>
    </w:p>
    <w:p w14:paraId="0F219908" w14:textId="1F442D42" w:rsidR="003E51EB" w:rsidRPr="00747A52" w:rsidRDefault="00747A52" w:rsidP="00747A52">
      <w:pPr>
        <w:ind w:hanging="851"/>
        <w:rPr>
          <w:rFonts w:asciiTheme="majorHAnsi" w:hAnsiTheme="majorHAnsi"/>
          <w:lang w:val="pl-PL"/>
        </w:rPr>
      </w:pPr>
      <w:r w:rsidRPr="00747A52">
        <w:rPr>
          <w:rFonts w:asciiTheme="majorHAnsi" w:hAnsiTheme="majorHAnsi"/>
          <w:lang w:val="pl-PL"/>
        </w:rPr>
        <w:t>Źródło: Instytut Uprawy Nawożenia i Gleboznawstwa - Państwowy Instytut Badawczy 2018</w:t>
      </w:r>
    </w:p>
    <w:p w14:paraId="6E991DC2" w14:textId="378F4A49" w:rsidR="00C47AA7" w:rsidRPr="00733091" w:rsidRDefault="00C47AA7" w:rsidP="00733091">
      <w:pPr>
        <w:rPr>
          <w:b/>
          <w:bCs/>
          <w:lang w:val="pl-PL"/>
        </w:rPr>
      </w:pPr>
      <w:r w:rsidRPr="00733091">
        <w:rPr>
          <w:lang w:val="pl-PL"/>
        </w:rPr>
        <w:t xml:space="preserve">Koncentracja lasów, zadrzewień i zakrzewień występuje w środkowej części obszaru Partnerstwa, tj. w gminach: Ruciane-Nida, Jedwabno, Świętajno, Janowo i Wielbark. Największy odsetek gruntów gruntów zabudowanych i zurbanizowanych – w </w:t>
      </w:r>
      <w:r w:rsidRPr="00733091">
        <w:rPr>
          <w:lang w:val="pl-PL"/>
        </w:rPr>
        <w:lastRenderedPageBreak/>
        <w:t>Szczytnie (60,1%) i Działdowie (41,0%)</w:t>
      </w:r>
      <w:r w:rsidRPr="00A256AB">
        <w:rPr>
          <w:rStyle w:val="Odwoanieprzypisudolnego"/>
          <w:rFonts w:cstheme="minorHAnsi"/>
        </w:rPr>
        <w:footnoteReference w:id="93"/>
      </w:r>
      <w:r w:rsidRPr="00733091">
        <w:rPr>
          <w:lang w:val="pl-PL"/>
        </w:rPr>
        <w:t xml:space="preserve">. </w:t>
      </w:r>
      <w:r w:rsidRPr="00733091">
        <w:rPr>
          <w:b/>
          <w:bCs/>
          <w:lang w:val="pl-PL"/>
        </w:rPr>
        <w:t>Struktura użytkowa gruntów jest silnie skorelowana z zagospodarowaniem i funkcjami gmin Południowych Mazur</w:t>
      </w:r>
      <w:r w:rsidRPr="00A256AB">
        <w:rPr>
          <w:rStyle w:val="Odwoanieprzypisudolnego"/>
          <w:rFonts w:cstheme="minorHAnsi"/>
          <w:b/>
          <w:bCs/>
        </w:rPr>
        <w:footnoteReference w:id="94"/>
      </w:r>
      <w:r w:rsidRPr="00733091">
        <w:rPr>
          <w:b/>
          <w:bCs/>
          <w:lang w:val="pl-PL"/>
        </w:rPr>
        <w:t>.</w:t>
      </w:r>
    </w:p>
    <w:p w14:paraId="605EDE1A" w14:textId="58D1F5BE" w:rsidR="00260544" w:rsidRPr="00260544" w:rsidRDefault="00C47AA7" w:rsidP="00130CC9">
      <w:pPr>
        <w:rPr>
          <w:szCs w:val="24"/>
          <w:lang w:val="pl-PL"/>
        </w:rPr>
      </w:pPr>
      <w:r w:rsidRPr="00260544">
        <w:rPr>
          <w:rFonts w:cs="Arial"/>
          <w:szCs w:val="24"/>
          <w:shd w:val="clear" w:color="auto" w:fill="FFFFFF"/>
          <w:lang w:val="pl-PL"/>
        </w:rPr>
        <w:t xml:space="preserve">Teren Południowych Mazur charakteryzuje się dużym nasyceniem </w:t>
      </w:r>
      <w:r w:rsidRPr="00260544">
        <w:rPr>
          <w:rFonts w:cs="Arial"/>
          <w:b/>
          <w:bCs/>
          <w:szCs w:val="24"/>
          <w:shd w:val="clear" w:color="auto" w:fill="FFFFFF"/>
          <w:lang w:val="pl-PL"/>
        </w:rPr>
        <w:t>naturalnymi zbiornikami wodnymi</w:t>
      </w:r>
      <w:r w:rsidRPr="00260544">
        <w:rPr>
          <w:rFonts w:cs="Arial"/>
          <w:szCs w:val="24"/>
          <w:shd w:val="clear" w:color="auto" w:fill="FFFFFF"/>
          <w:lang w:val="pl-PL"/>
        </w:rPr>
        <w:t xml:space="preserve"> (w tym jeziorami, rzekami i innymi ciekami wodnymi). Tereny pod wodami zajmują 28.790 ha, co stanowi </w:t>
      </w:r>
      <w:r w:rsidRPr="00260544">
        <w:rPr>
          <w:rFonts w:cs="Arial"/>
          <w:b/>
          <w:bCs/>
          <w:szCs w:val="24"/>
          <w:shd w:val="clear" w:color="auto" w:fill="FFFFFF"/>
          <w:lang w:val="pl-PL"/>
        </w:rPr>
        <w:t>5,12% obszaru Partnerstwa</w:t>
      </w:r>
      <w:r w:rsidRPr="00260544">
        <w:rPr>
          <w:rFonts w:cs="Arial"/>
          <w:szCs w:val="24"/>
          <w:shd w:val="clear" w:color="auto" w:fill="FFFFFF"/>
          <w:lang w:val="pl-PL"/>
        </w:rPr>
        <w:t xml:space="preserve"> (wskaźnik ten dla województwa warmińsko-mazurskiego wynosi 5,70%, a dla kraju – 2,00%). Nasycenie zbiornikami wodnymi na terenie Partnerstwa jest zróżnicowane – najwyższy udział gruntów pod wodami w powierzchni gminy cechuje gminę Ruciane-Nid</w:t>
      </w:r>
      <w:r w:rsidR="00F84A3C">
        <w:rPr>
          <w:rFonts w:cs="Arial"/>
          <w:szCs w:val="24"/>
          <w:shd w:val="clear" w:color="auto" w:fill="FFFFFF"/>
          <w:lang w:val="pl-PL"/>
        </w:rPr>
        <w:t>a</w:t>
      </w:r>
      <w:r w:rsidRPr="00260544">
        <w:rPr>
          <w:rFonts w:cs="Arial"/>
          <w:szCs w:val="24"/>
          <w:shd w:val="clear" w:color="auto" w:fill="FFFFFF"/>
          <w:lang w:val="pl-PL"/>
        </w:rPr>
        <w:t xml:space="preserve">, następnie: Pisz i Pasym, a także Rybno, Jedwabno, Dźwierzuty </w:t>
      </w:r>
      <w:r w:rsidR="00F84A3C">
        <w:rPr>
          <w:rFonts w:cs="Arial"/>
          <w:szCs w:val="24"/>
          <w:shd w:val="clear" w:color="auto" w:fill="FFFFFF"/>
          <w:lang w:val="pl-PL"/>
        </w:rPr>
        <w:br/>
      </w:r>
      <w:r w:rsidRPr="00260544">
        <w:rPr>
          <w:rFonts w:cs="Arial"/>
          <w:szCs w:val="24"/>
          <w:shd w:val="clear" w:color="auto" w:fill="FFFFFF"/>
          <w:lang w:val="pl-PL"/>
        </w:rPr>
        <w:t>i Orzysz</w:t>
      </w:r>
      <w:r w:rsidRPr="00260544">
        <w:rPr>
          <w:rStyle w:val="Odwoanieprzypisudolnego"/>
          <w:rFonts w:cs="Arial"/>
          <w:szCs w:val="24"/>
          <w:shd w:val="clear" w:color="auto" w:fill="FFFFFF"/>
        </w:rPr>
        <w:footnoteReference w:id="95"/>
      </w:r>
      <w:r w:rsidRPr="00260544">
        <w:rPr>
          <w:rFonts w:cs="Arial"/>
          <w:szCs w:val="24"/>
          <w:shd w:val="clear" w:color="auto" w:fill="FFFFFF"/>
          <w:lang w:val="pl-PL"/>
        </w:rPr>
        <w:t>. Duże nasycenie zbiornikami wodnymi</w:t>
      </w:r>
      <w:r w:rsidR="00260544">
        <w:rPr>
          <w:rStyle w:val="Odwoanieprzypisudolnego"/>
          <w:rFonts w:cs="Arial"/>
          <w:szCs w:val="24"/>
          <w:shd w:val="clear" w:color="auto" w:fill="FFFFFF"/>
          <w:lang w:val="pl-PL"/>
        </w:rPr>
        <w:footnoteReference w:id="96"/>
      </w:r>
      <w:r w:rsidRPr="00260544">
        <w:rPr>
          <w:rFonts w:cs="Arial"/>
          <w:szCs w:val="24"/>
          <w:shd w:val="clear" w:color="auto" w:fill="FFFFFF"/>
          <w:lang w:val="pl-PL"/>
        </w:rPr>
        <w:t xml:space="preserve"> </w:t>
      </w:r>
      <w:r w:rsidRPr="00260544">
        <w:rPr>
          <w:szCs w:val="24"/>
          <w:lang w:val="pl-PL"/>
        </w:rPr>
        <w:t>stanowi istotny potencjał rozwojowy Partnerstwa dla różnych dziedzin gospodarki, w tym w szczególności dla turystyki.</w:t>
      </w:r>
    </w:p>
    <w:p w14:paraId="65D26787" w14:textId="54908A76" w:rsidR="00BA5A72" w:rsidRPr="00733091" w:rsidRDefault="00BA5A72" w:rsidP="002E24A9">
      <w:pPr>
        <w:pStyle w:val="Legenda"/>
        <w:rPr>
          <w:rFonts w:cs="Arial"/>
          <w:color w:val="333333"/>
          <w:sz w:val="22"/>
          <w:szCs w:val="22"/>
          <w:lang w:val="pl-PL"/>
        </w:rPr>
      </w:pPr>
      <w:bookmarkStart w:id="145" w:name="_Toc69596611"/>
      <w:r w:rsidRPr="00733091">
        <w:rPr>
          <w:lang w:val="pl-PL"/>
        </w:rPr>
        <w:t xml:space="preserve">Mapa </w:t>
      </w:r>
      <w:r w:rsidR="00733091">
        <w:fldChar w:fldCharType="begin"/>
      </w:r>
      <w:r w:rsidR="00733091" w:rsidRPr="00733091">
        <w:rPr>
          <w:lang w:val="pl-PL"/>
        </w:rPr>
        <w:instrText xml:space="preserve"> SEQ Mapa \* ARABIC </w:instrText>
      </w:r>
      <w:r w:rsidR="00733091">
        <w:fldChar w:fldCharType="separate"/>
      </w:r>
      <w:r w:rsidR="00B14787">
        <w:rPr>
          <w:noProof/>
          <w:lang w:val="pl-PL"/>
        </w:rPr>
        <w:t>11</w:t>
      </w:r>
      <w:r w:rsidR="00733091">
        <w:rPr>
          <w:noProof/>
        </w:rPr>
        <w:fldChar w:fldCharType="end"/>
      </w:r>
      <w:r w:rsidRPr="00733091">
        <w:rPr>
          <w:lang w:val="pl-PL"/>
        </w:rPr>
        <w:t>: Udział gruntów pod wodami w powierzchni gmin Południowych Mazur</w:t>
      </w:r>
      <w:bookmarkEnd w:id="145"/>
    </w:p>
    <w:p w14:paraId="5DAE691A" w14:textId="77777777" w:rsidR="00C47AA7" w:rsidRDefault="00C47AA7" w:rsidP="00733091">
      <w:pPr>
        <w:pStyle w:val="podpiselementu"/>
        <w:spacing w:after="240"/>
      </w:pPr>
      <w:r>
        <w:rPr>
          <w:noProof/>
        </w:rPr>
        <w:drawing>
          <wp:inline distT="0" distB="0" distL="0" distR="0" wp14:anchorId="2DBD0D23" wp14:editId="51EBDF04">
            <wp:extent cx="5520690" cy="3216752"/>
            <wp:effectExtent l="19050" t="19050" r="22860" b="22225"/>
            <wp:docPr id="101" name="Obraz 101" descr="mapa województwa warmińsko-mazurskiego pokazująca udział gruntów pod wodami w powierzchni gmin w % od wskaźnika najwyższego (ciemnozielonego) po najniższy (jasnoniebie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Obraz 101" descr="mapa województwa warmińsko-mazurskiego pokazująca udział gruntów pod wodami w powierzchni gmin w % od wskaźnika najwyższego (ciemnozielonego) po najniższy (jasnoniebieski"/>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520690" cy="3216752"/>
                    </a:xfrm>
                    <a:prstGeom prst="rect">
                      <a:avLst/>
                    </a:prstGeom>
                    <a:noFill/>
                    <a:ln>
                      <a:solidFill>
                        <a:schemeClr val="tx2"/>
                      </a:solidFill>
                    </a:ln>
                  </pic:spPr>
                </pic:pic>
              </a:graphicData>
            </a:graphic>
          </wp:inline>
        </w:drawing>
      </w:r>
    </w:p>
    <w:p w14:paraId="3C6C02E4" w14:textId="28D44BE5" w:rsidR="00C47AA7" w:rsidRPr="00F84A3C" w:rsidRDefault="00C47AA7" w:rsidP="00F84A3C">
      <w:pPr>
        <w:pStyle w:val="podpiselementu"/>
        <w:spacing w:after="240"/>
        <w:rPr>
          <w:lang w:val="pl-PL"/>
        </w:rPr>
      </w:pPr>
      <w:r w:rsidRPr="00733091">
        <w:rPr>
          <w:lang w:val="pl-PL"/>
        </w:rPr>
        <w:t xml:space="preserve">Źródło: </w:t>
      </w:r>
      <w:r w:rsidRPr="00733091">
        <w:rPr>
          <w:iCs/>
          <w:lang w:val="pl-PL"/>
        </w:rPr>
        <w:t>Plan Zagospodarowania Przestrzennego Województwa Warmińsko-Mazurskiego</w:t>
      </w:r>
      <w:r w:rsidRPr="00733091">
        <w:rPr>
          <w:lang w:val="pl-PL"/>
        </w:rPr>
        <w:t xml:space="preserve">. </w:t>
      </w:r>
      <w:r w:rsidRPr="005B63BD">
        <w:rPr>
          <w:lang w:val="pl-PL"/>
        </w:rPr>
        <w:t>2018. Warmińsko-Mazurskie Biuro Planowania Przestrzennego, Olsztyn.</w:t>
      </w:r>
    </w:p>
    <w:p w14:paraId="38822A49" w14:textId="749CFF9E" w:rsidR="00F84A3C" w:rsidRPr="00F84A3C" w:rsidRDefault="00C47AA7" w:rsidP="00F84A3C">
      <w:pPr>
        <w:rPr>
          <w:lang w:val="pl-PL"/>
        </w:rPr>
      </w:pPr>
      <w:r w:rsidRPr="00733091">
        <w:rPr>
          <w:b/>
          <w:bCs/>
          <w:lang w:val="pl-PL"/>
        </w:rPr>
        <w:lastRenderedPageBreak/>
        <w:t>Ukształtowanie terenu</w:t>
      </w:r>
      <w:r w:rsidRPr="00733091">
        <w:rPr>
          <w:lang w:val="pl-PL"/>
        </w:rPr>
        <w:t xml:space="preserve"> Południowych Mazur jest </w:t>
      </w:r>
      <w:r w:rsidRPr="00733091">
        <w:rPr>
          <w:b/>
          <w:bCs/>
          <w:lang w:val="pl-PL"/>
        </w:rPr>
        <w:t>zróżnicowane</w:t>
      </w:r>
      <w:r w:rsidRPr="00733091">
        <w:rPr>
          <w:lang w:val="pl-PL"/>
        </w:rPr>
        <w:t xml:space="preserve">, co wpływa na atrakcyjność (w tym wizualną) obszaru i stanowi ważny potencjał rozwojowy dla turystyki i rekreacji. Barierą w tym zakresie może być natomiast </w:t>
      </w:r>
      <w:r w:rsidRPr="00733091">
        <w:rPr>
          <w:b/>
          <w:bCs/>
          <w:lang w:val="pl-PL"/>
        </w:rPr>
        <w:t>surowszy</w:t>
      </w:r>
      <w:r w:rsidRPr="00733091">
        <w:rPr>
          <w:lang w:val="pl-PL"/>
        </w:rPr>
        <w:t xml:space="preserve"> niż </w:t>
      </w:r>
      <w:r w:rsidR="00F84A3C">
        <w:rPr>
          <w:lang w:val="pl-PL"/>
        </w:rPr>
        <w:br/>
      </w:r>
      <w:r w:rsidRPr="00733091">
        <w:rPr>
          <w:lang w:val="pl-PL"/>
        </w:rPr>
        <w:t xml:space="preserve">w pozostałych regionach Polski </w:t>
      </w:r>
      <w:r w:rsidRPr="00733091">
        <w:rPr>
          <w:b/>
          <w:bCs/>
          <w:lang w:val="pl-PL"/>
        </w:rPr>
        <w:t>klimat</w:t>
      </w:r>
      <w:r w:rsidRPr="00733091">
        <w:rPr>
          <w:lang w:val="pl-PL"/>
        </w:rPr>
        <w:t>, który wpływa niekorzystnie także na produkcję w gospodarce rolnej (krótszy okres wegetacyjny roślin).</w:t>
      </w:r>
      <w:r w:rsidR="00F84A3C">
        <w:rPr>
          <w:lang w:val="pl-PL"/>
        </w:rPr>
        <w:t xml:space="preserve"> </w:t>
      </w:r>
    </w:p>
    <w:p w14:paraId="6A417CD2" w14:textId="3182668A" w:rsidR="00BA5A72" w:rsidRPr="00797E0C" w:rsidRDefault="00BA5A72" w:rsidP="002E24A9">
      <w:pPr>
        <w:pStyle w:val="Legenda"/>
        <w:rPr>
          <w:lang w:val="pl-PL"/>
        </w:rPr>
      </w:pPr>
      <w:bookmarkStart w:id="146" w:name="_Toc69596612"/>
      <w:r w:rsidRPr="00797E0C">
        <w:rPr>
          <w:lang w:val="pl-PL"/>
        </w:rPr>
        <w:t xml:space="preserve">Mapa </w:t>
      </w:r>
      <w:r w:rsidR="00733091">
        <w:fldChar w:fldCharType="begin"/>
      </w:r>
      <w:r w:rsidR="00733091" w:rsidRPr="00797E0C">
        <w:rPr>
          <w:lang w:val="pl-PL"/>
        </w:rPr>
        <w:instrText xml:space="preserve"> SEQ Mapa \* ARABIC </w:instrText>
      </w:r>
      <w:r w:rsidR="00733091">
        <w:fldChar w:fldCharType="separate"/>
      </w:r>
      <w:r w:rsidR="00B14787">
        <w:rPr>
          <w:noProof/>
          <w:lang w:val="pl-PL"/>
        </w:rPr>
        <w:t>12</w:t>
      </w:r>
      <w:r w:rsidR="00733091">
        <w:rPr>
          <w:noProof/>
        </w:rPr>
        <w:fldChar w:fldCharType="end"/>
      </w:r>
      <w:r w:rsidRPr="00797E0C">
        <w:rPr>
          <w:lang w:val="pl-PL"/>
        </w:rPr>
        <w:t>: Strefy wietrzności w Polsce</w:t>
      </w:r>
      <w:bookmarkEnd w:id="146"/>
    </w:p>
    <w:p w14:paraId="4BDB06BF" w14:textId="39501834" w:rsidR="00BA5A72" w:rsidRPr="00797E0C" w:rsidRDefault="00494C2D" w:rsidP="00733091">
      <w:pPr>
        <w:pStyle w:val="podpiselementu"/>
        <w:spacing w:after="240"/>
        <w:rPr>
          <w:lang w:val="pl-PL"/>
        </w:rPr>
      </w:pPr>
      <w:r>
        <w:rPr>
          <w:noProof/>
          <w:lang w:val="pl-PL"/>
        </w:rPr>
        <mc:AlternateContent>
          <mc:Choice Requires="wps">
            <w:drawing>
              <wp:anchor distT="0" distB="0" distL="114300" distR="114300" simplePos="0" relativeHeight="251658282" behindDoc="0" locked="0" layoutInCell="1" allowOverlap="1" wp14:anchorId="72B82631" wp14:editId="472C9E1F">
                <wp:simplePos x="0" y="0"/>
                <wp:positionH relativeFrom="column">
                  <wp:posOffset>3407811</wp:posOffset>
                </wp:positionH>
                <wp:positionV relativeFrom="paragraph">
                  <wp:posOffset>2137243</wp:posOffset>
                </wp:positionV>
                <wp:extent cx="2113915" cy="2385060"/>
                <wp:effectExtent l="0" t="0" r="635" b="0"/>
                <wp:wrapNone/>
                <wp:docPr id="147" name="Pole tekstowe 147"/>
                <wp:cNvGraphicFramePr/>
                <a:graphic xmlns:a="http://schemas.openxmlformats.org/drawingml/2006/main">
                  <a:graphicData uri="http://schemas.microsoft.com/office/word/2010/wordprocessingShape">
                    <wps:wsp>
                      <wps:cNvSpPr txBox="1"/>
                      <wps:spPr>
                        <a:xfrm>
                          <a:off x="0" y="0"/>
                          <a:ext cx="2113915" cy="2385060"/>
                        </a:xfrm>
                        <a:prstGeom prst="rect">
                          <a:avLst/>
                        </a:prstGeom>
                        <a:solidFill>
                          <a:schemeClr val="lt1"/>
                        </a:solidFill>
                        <a:ln w="6350">
                          <a:noFill/>
                        </a:ln>
                      </wps:spPr>
                      <wps:txbx>
                        <w:txbxContent>
                          <w:p w14:paraId="6B0B30D0" w14:textId="6C64C034" w:rsidR="00B14787" w:rsidRPr="00F84A3C" w:rsidRDefault="00B14787" w:rsidP="00F84A3C">
                            <w:pPr>
                              <w:ind w:left="142"/>
                              <w:rPr>
                                <w:lang w:val="pl-PL"/>
                              </w:rPr>
                            </w:pPr>
                            <w:r w:rsidRPr="00733091">
                              <w:rPr>
                                <w:lang w:val="pl-PL"/>
                              </w:rPr>
                              <w:t xml:space="preserve">Południowe Mazury są obszarem stosunkowo słabo nasłonecznionym; natomiast </w:t>
                            </w:r>
                            <w:r w:rsidRPr="00733091">
                              <w:rPr>
                                <w:rFonts w:cs="Arial"/>
                                <w:color w:val="333333"/>
                                <w:shd w:val="clear" w:color="auto" w:fill="FFFFFF"/>
                                <w:lang w:val="pl-PL"/>
                              </w:rPr>
                              <w:t xml:space="preserve">cechują się </w:t>
                            </w:r>
                            <w:r w:rsidRPr="00733091">
                              <w:rPr>
                                <w:rFonts w:cs="Arial"/>
                                <w:b/>
                                <w:bCs/>
                                <w:color w:val="333333"/>
                                <w:shd w:val="clear" w:color="auto" w:fill="FFFFFF"/>
                                <w:lang w:val="pl-PL"/>
                              </w:rPr>
                              <w:t xml:space="preserve">korzystną </w:t>
                            </w:r>
                            <w:r w:rsidRPr="00733091">
                              <w:rPr>
                                <w:rFonts w:cs="Tahoma"/>
                                <w:b/>
                                <w:bCs/>
                                <w:color w:val="383838"/>
                                <w:shd w:val="clear" w:color="auto" w:fill="FFFFFF"/>
                                <w:lang w:val="pl-PL"/>
                              </w:rPr>
                              <w:t>intensywnością i wielkością występowania prądów wiatru</w:t>
                            </w:r>
                            <w:r w:rsidRPr="00733091">
                              <w:rPr>
                                <w:rFonts w:cs="Tahoma"/>
                                <w:color w:val="383838"/>
                                <w:shd w:val="clear" w:color="auto" w:fill="FFFFFF"/>
                                <w:lang w:val="pl-PL"/>
                              </w:rPr>
                              <w:t>, co stanowi potencjał dla wykorzystania energetycznych zasobów wiatru (mapy</w:t>
                            </w:r>
                            <w:r>
                              <w:rPr>
                                <w:rFonts w:cs="Tahoma"/>
                                <w:color w:val="383838"/>
                                <w:shd w:val="clear" w:color="auto" w:fill="FFFFFF"/>
                                <w:lang w:val="pl-PL"/>
                              </w:rPr>
                              <w:t xml:space="preserve"> obok</w:t>
                            </w:r>
                            <w:r w:rsidRPr="00733091">
                              <w:rPr>
                                <w:rFonts w:cs="Tahoma"/>
                                <w:color w:val="383838"/>
                                <w:shd w:val="clear" w:color="auto" w:fill="FFFFFF"/>
                                <w:lang w:val="pl-PL"/>
                              </w:rPr>
                              <w:t>).</w:t>
                            </w:r>
                          </w:p>
                          <w:p w14:paraId="430E237E" w14:textId="77777777" w:rsidR="00B14787" w:rsidRPr="00F84A3C" w:rsidRDefault="00B14787">
                            <w:pPr>
                              <w:ind w:left="0"/>
                              <w:rPr>
                                <w:lang w:val="pl-P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2B82631" id="Pole tekstowe 147" o:spid="_x0000_s1049" type="#_x0000_t202" style="position:absolute;margin-left:268.35pt;margin-top:168.3pt;width:166.45pt;height:187.8pt;z-index:25165828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" fillcolor="white [3201]" stroked="f" strokeweight=".5pt">
                <v:textbox>
                  <w:txbxContent>
                    <w:p w14:paraId="6B0B30D0" w14:textId="6C64C034" w:rsidR="00B14787" w:rsidRPr="00F84A3C" w:rsidRDefault="00B14787" w:rsidP="00F84A3C">
                      <w:pPr>
                        <w:ind w:left="142"/>
                        <w:rPr>
                          <w:lang w:val="pl-PL"/>
                        </w:rPr>
                      </w:pPr>
                      <w:r w:rsidRPr="00733091">
                        <w:rPr>
                          <w:lang w:val="pl-PL"/>
                        </w:rPr>
                        <w:t xml:space="preserve">Południowe Mazury są obszarem stosunkowo słabo nasłonecznionym; natomiast </w:t>
                      </w:r>
                      <w:r w:rsidRPr="00733091">
                        <w:rPr>
                          <w:rFonts w:cs="Arial"/>
                          <w:color w:val="333333"/>
                          <w:shd w:val="clear" w:color="auto" w:fill="FFFFFF"/>
                          <w:lang w:val="pl-PL"/>
                        </w:rPr>
                        <w:t xml:space="preserve">cechują się </w:t>
                      </w:r>
                      <w:r w:rsidRPr="00733091">
                        <w:rPr>
                          <w:rFonts w:cs="Arial"/>
                          <w:b/>
                          <w:bCs/>
                          <w:color w:val="333333"/>
                          <w:shd w:val="clear" w:color="auto" w:fill="FFFFFF"/>
                          <w:lang w:val="pl-PL"/>
                        </w:rPr>
                        <w:t xml:space="preserve">korzystną </w:t>
                      </w:r>
                      <w:r w:rsidRPr="00733091">
                        <w:rPr>
                          <w:rFonts w:cs="Tahoma"/>
                          <w:b/>
                          <w:bCs/>
                          <w:color w:val="383838"/>
                          <w:shd w:val="clear" w:color="auto" w:fill="FFFFFF"/>
                          <w:lang w:val="pl-PL"/>
                        </w:rPr>
                        <w:t>intensywnością i wielkością występowania prądów wiatru</w:t>
                      </w:r>
                      <w:r w:rsidRPr="00733091">
                        <w:rPr>
                          <w:rFonts w:cs="Tahoma"/>
                          <w:color w:val="383838"/>
                          <w:shd w:val="clear" w:color="auto" w:fill="FFFFFF"/>
                          <w:lang w:val="pl-PL"/>
                        </w:rPr>
                        <w:t>, co stanowi potencjał dla wykorzystania energetycznych zasobów wiatru (mapy</w:t>
                      </w:r>
                      <w:r>
                        <w:rPr>
                          <w:rFonts w:cs="Tahoma"/>
                          <w:color w:val="383838"/>
                          <w:shd w:val="clear" w:color="auto" w:fill="FFFFFF"/>
                          <w:lang w:val="pl-PL"/>
                        </w:rPr>
                        <w:t xml:space="preserve"> obok</w:t>
                      </w:r>
                      <w:r w:rsidRPr="00733091">
                        <w:rPr>
                          <w:rFonts w:cs="Tahoma"/>
                          <w:color w:val="383838"/>
                          <w:shd w:val="clear" w:color="auto" w:fill="FFFFFF"/>
                          <w:lang w:val="pl-PL"/>
                        </w:rPr>
                        <w:t>).</w:t>
                      </w:r>
                    </w:p>
                    <w:p w14:paraId="430E237E" w14:textId="77777777" w:rsidR="00B14787" w:rsidRPr="00F84A3C" w:rsidRDefault="00B14787">
                      <w:pPr>
                        <w:ind w:left="0"/>
                        <w:rPr>
                          <w:lang w:val="pl-PL"/>
                        </w:rPr>
                      </w:pPr>
                    </w:p>
                  </w:txbxContent>
                </v:textbox>
              </v:shape>
            </w:pict>
          </mc:Fallback>
        </mc:AlternateContent>
      </w:r>
      <w:r w:rsidR="00C47AA7" w:rsidRPr="00AB21B5">
        <w:rPr>
          <w:rFonts w:cs="Arial"/>
          <w:noProof/>
          <w:color w:val="44546A" w:themeColor="text2"/>
          <w:sz w:val="18"/>
          <w:szCs w:val="18"/>
          <w:shd w:val="clear" w:color="auto" w:fill="FFFFFF"/>
        </w:rPr>
        <w:drawing>
          <wp:inline distT="0" distB="0" distL="0" distR="0" wp14:anchorId="4F30478D" wp14:editId="6C7F66F4">
            <wp:extent cx="2926508" cy="2678430"/>
            <wp:effectExtent l="19050" t="19050" r="26670" b="26670"/>
            <wp:docPr id="88" name="Obraz 88" descr="mapa Polski wskazująca na strefy wietrzności w Polsce (od wybitnie korzystnej (czerwonej), poprzez bardzo korzystna (niebieską), korzystną (zieloną), mało korzystną (żółtą) i niekorzystną (białą).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Obraz 88" descr="mapa Polski wskazująca na strefy wietrzności w Polsce (od wybitnie korzystnej (czerwonej), poprzez bardzo korzystna (niebieską), korzystną (zieloną), mało korzystną (żółtą) i niekorzystną (białą). "/>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994298" cy="2740473"/>
                    </a:xfrm>
                    <a:prstGeom prst="rect">
                      <a:avLst/>
                    </a:prstGeom>
                    <a:noFill/>
                    <a:ln>
                      <a:solidFill>
                        <a:schemeClr val="tx2"/>
                      </a:solidFill>
                    </a:ln>
                  </pic:spPr>
                </pic:pic>
              </a:graphicData>
            </a:graphic>
          </wp:inline>
        </w:drawing>
      </w:r>
      <w:r w:rsidR="00797E0C" w:rsidRPr="00797E0C">
        <w:rPr>
          <w:lang w:val="pl-PL"/>
        </w:rPr>
        <w:br/>
      </w:r>
      <w:r w:rsidR="00BA5A72" w:rsidRPr="00733091">
        <w:rPr>
          <w:rStyle w:val="podpiselementuZnak"/>
          <w:lang w:val="pl-PL"/>
        </w:rPr>
        <w:t xml:space="preserve">Źródło: </w:t>
      </w:r>
      <w:hyperlink r:id="rId150" w:history="1">
        <w:r w:rsidR="00BA5A72" w:rsidRPr="00733091">
          <w:rPr>
            <w:rStyle w:val="podpiselementuZnak"/>
            <w:lang w:val="pl-PL"/>
          </w:rPr>
          <w:t>www.warmena.pl</w:t>
        </w:r>
      </w:hyperlink>
    </w:p>
    <w:p w14:paraId="5FE30D1E" w14:textId="7BA54B4E" w:rsidR="00BA5A72" w:rsidRPr="00733091" w:rsidRDefault="00BA5A72" w:rsidP="002E24A9">
      <w:pPr>
        <w:pStyle w:val="Legenda"/>
        <w:rPr>
          <w:lang w:val="pl-PL"/>
        </w:rPr>
      </w:pPr>
      <w:bookmarkStart w:id="147" w:name="_Toc69596613"/>
      <w:r w:rsidRPr="00733091">
        <w:rPr>
          <w:lang w:val="pl-PL"/>
        </w:rPr>
        <w:t xml:space="preserve">Mapa </w:t>
      </w:r>
      <w:r w:rsidR="00733091">
        <w:fldChar w:fldCharType="begin"/>
      </w:r>
      <w:r w:rsidR="00733091" w:rsidRPr="00733091">
        <w:rPr>
          <w:lang w:val="pl-PL"/>
        </w:rPr>
        <w:instrText xml:space="preserve"> SEQ Mapa \* ARABIC </w:instrText>
      </w:r>
      <w:r w:rsidR="00733091">
        <w:fldChar w:fldCharType="separate"/>
      </w:r>
      <w:r w:rsidR="00B14787">
        <w:rPr>
          <w:noProof/>
          <w:lang w:val="pl-PL"/>
        </w:rPr>
        <w:t>13</w:t>
      </w:r>
      <w:r w:rsidR="00733091">
        <w:rPr>
          <w:noProof/>
        </w:rPr>
        <w:fldChar w:fldCharType="end"/>
      </w:r>
      <w:r w:rsidRPr="00733091">
        <w:rPr>
          <w:lang w:val="pl-PL"/>
        </w:rPr>
        <w:t>: Nasłonecznie w Polsce</w:t>
      </w:r>
      <w:bookmarkEnd w:id="147"/>
    </w:p>
    <w:p w14:paraId="1454F337" w14:textId="7437BEA5" w:rsidR="00C47AA7" w:rsidRPr="00797E0C" w:rsidRDefault="00C47AA7" w:rsidP="00733091">
      <w:pPr>
        <w:pStyle w:val="podpiselementu"/>
        <w:spacing w:after="240"/>
        <w:rPr>
          <w:noProof/>
          <w:lang w:val="pl-PL"/>
        </w:rPr>
      </w:pPr>
      <w:r>
        <w:rPr>
          <w:noProof/>
        </w:rPr>
        <w:drawing>
          <wp:inline distT="0" distB="0" distL="0" distR="0" wp14:anchorId="4C582158" wp14:editId="71D17753">
            <wp:extent cx="2914650" cy="2977504"/>
            <wp:effectExtent l="19050" t="19050" r="19050" b="13970"/>
            <wp:docPr id="91" name="Obraz 91" descr=" Mapa Polski wskazująca strefy nasłonecznienia -od najbardziej korzystnego (kolor pomarańczowy), do najmniej korzystnego (kolor jasnozielony)]obraz źródł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Obraz 91" descr=" Mapa Polski wskazująca strefy nasłonecznienia -od najbardziej korzystnego (kolor pomarańczowy), do najmniej korzystnego (kolor jasnozielony)]obraz źródłowy"/>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983223" cy="3047556"/>
                    </a:xfrm>
                    <a:prstGeom prst="rect">
                      <a:avLst/>
                    </a:prstGeom>
                    <a:noFill/>
                    <a:ln>
                      <a:solidFill>
                        <a:schemeClr val="tx2"/>
                      </a:solidFill>
                    </a:ln>
                  </pic:spPr>
                </pic:pic>
              </a:graphicData>
            </a:graphic>
          </wp:inline>
        </w:drawing>
      </w:r>
      <w:r w:rsidR="00797E0C" w:rsidRPr="00797E0C">
        <w:rPr>
          <w:rStyle w:val="podpiselementuZnak"/>
          <w:lang w:val="pl-PL"/>
        </w:rPr>
        <w:br/>
      </w:r>
      <w:r w:rsidRPr="00733091">
        <w:rPr>
          <w:rStyle w:val="podpiselementuZnak"/>
          <w:lang w:val="pl-PL"/>
        </w:rPr>
        <w:t>Źródło: http://www.gsfotowoltaika.pl/</w:t>
      </w:r>
      <w:r w:rsidRPr="00733091">
        <w:rPr>
          <w:color w:val="44546A" w:themeColor="text2"/>
          <w:sz w:val="18"/>
          <w:szCs w:val="18"/>
          <w:lang w:val="pl-PL"/>
        </w:rPr>
        <w:br/>
      </w:r>
    </w:p>
    <w:p w14:paraId="4D476516" w14:textId="06F6B935" w:rsidR="001E162D" w:rsidRPr="00690E7F" w:rsidRDefault="00306680" w:rsidP="00733091">
      <w:pPr>
        <w:pStyle w:val="Nagwek4"/>
        <w:spacing w:before="120" w:after="240"/>
      </w:pPr>
      <w:r w:rsidRPr="00306680">
        <w:lastRenderedPageBreak/>
        <w:t>Tereny zielone i formy ochrony przyrody na obszarze Partnerstwa</w:t>
      </w:r>
    </w:p>
    <w:p w14:paraId="69C7C74B" w14:textId="17B8C27B" w:rsidR="00C47AA7" w:rsidRPr="00733091" w:rsidRDefault="00C47AA7" w:rsidP="00260544">
      <w:pPr>
        <w:rPr>
          <w:b/>
          <w:bCs/>
          <w:lang w:val="pl-PL"/>
        </w:rPr>
      </w:pPr>
      <w:r w:rsidRPr="00733091">
        <w:rPr>
          <w:lang w:val="pl-PL"/>
        </w:rPr>
        <w:t>Tereny zielone Południowych Mazur tworzą lasy (zajmujące powierzchnię 258.973,05 ha) oraz pozostałe tereny zielone, w tym parki i zieleńce.</w:t>
      </w:r>
    </w:p>
    <w:p w14:paraId="1113D1B4" w14:textId="31070684" w:rsidR="00C47AA7" w:rsidRPr="00733091" w:rsidRDefault="00C47AA7" w:rsidP="00260544">
      <w:pPr>
        <w:rPr>
          <w:lang w:val="pl-PL"/>
        </w:rPr>
      </w:pPr>
      <w:r w:rsidRPr="00733091">
        <w:rPr>
          <w:lang w:val="pl-PL"/>
        </w:rPr>
        <w:t xml:space="preserve">Udział lasów w ogólnej powierzchni Partnerstwa </w:t>
      </w:r>
      <w:r w:rsidRPr="00733091">
        <w:rPr>
          <w:b/>
          <w:bCs/>
          <w:lang w:val="pl-PL"/>
        </w:rPr>
        <w:t>(42,3%)</w:t>
      </w:r>
      <w:r>
        <w:rPr>
          <w:rStyle w:val="Odwoanieprzypisudolnego"/>
          <w:rFonts w:cstheme="majorHAnsi"/>
          <w:b/>
          <w:bCs/>
          <w:color w:val="000000" w:themeColor="text1"/>
        </w:rPr>
        <w:footnoteReference w:id="97"/>
      </w:r>
      <w:r w:rsidRPr="00733091">
        <w:rPr>
          <w:lang w:val="pl-PL"/>
        </w:rPr>
        <w:t xml:space="preserve"> jest znacznie wyższy niż w województwie warmińsko-mazurskim (31,7%) i w kraju (29,6%). Do najbardziej charakterystycznych zbiorowisk leśnych Południowych Mazur zalicza się: zbiorowiska subatlantyckie, bór świerkowy, świerkowo-dębowy, bór mieszany oraz zbiorowiska olsowe i łęgowe. Lasy stanowią zasób wykorzystywany gospodarczo (gospodarka leśna) oraz potencjał rozwojowy dla gospodarki, w szczególności turystyki.</w:t>
      </w:r>
    </w:p>
    <w:p w14:paraId="5440D3BA" w14:textId="4C6A14B7" w:rsidR="00C47AA7" w:rsidRPr="00733091" w:rsidRDefault="00C47AA7" w:rsidP="00260544">
      <w:pPr>
        <w:rPr>
          <w:rFonts w:eastAsia="Times New Roman" w:cstheme="minorHAnsi"/>
          <w:lang w:val="pl-PL" w:eastAsia="pl-PL"/>
        </w:rPr>
      </w:pPr>
      <w:r w:rsidRPr="00733091">
        <w:rPr>
          <w:rFonts w:eastAsia="Times New Roman" w:cstheme="minorHAnsi"/>
          <w:lang w:val="pl-PL" w:eastAsia="pl-PL"/>
        </w:rPr>
        <w:t xml:space="preserve">Niewielką część terenów zielonych Partnerstwa stanowią parki i zieleńce. Są to tereny urządzane i udostępniane publicznie, występujące głównie w gminach miejskich lub miejsko-wiejskich: Szczytnie (zajmujące 2,6% powierzchni gminy), Działdowie (zajmujące 2,0% powierzchni gminy) i znacznie mniejszym stopniu </w:t>
      </w:r>
      <w:r w:rsidR="00A33A7C">
        <w:rPr>
          <w:rFonts w:eastAsia="Times New Roman" w:cstheme="minorHAnsi"/>
          <w:lang w:val="pl-PL" w:eastAsia="pl-PL"/>
        </w:rPr>
        <w:br/>
      </w:r>
      <w:r w:rsidRPr="00733091">
        <w:rPr>
          <w:rFonts w:eastAsia="Times New Roman" w:cstheme="minorHAnsi"/>
          <w:lang w:val="pl-PL" w:eastAsia="pl-PL"/>
        </w:rPr>
        <w:t>w Nidzicy, Piszu, Lidzbarku (zajmujące po 0,10% powierzchni gminy).</w:t>
      </w:r>
    </w:p>
    <w:p w14:paraId="2781D31A" w14:textId="77777777" w:rsidR="00F84A3C" w:rsidRDefault="00C47AA7" w:rsidP="00733091">
      <w:pPr>
        <w:rPr>
          <w:lang w:val="pl-PL"/>
        </w:rPr>
      </w:pPr>
      <w:r w:rsidRPr="00733091">
        <w:rPr>
          <w:lang w:val="pl-PL"/>
        </w:rPr>
        <w:t xml:space="preserve">Południowe Mazury charakteryzują się </w:t>
      </w:r>
      <w:r w:rsidRPr="00733091">
        <w:rPr>
          <w:b/>
          <w:bCs/>
          <w:lang w:val="pl-PL"/>
        </w:rPr>
        <w:t>wysokim odsetkiem obszarów prawnie chronionych.</w:t>
      </w:r>
      <w:r w:rsidRPr="00733091">
        <w:rPr>
          <w:lang w:val="pl-PL"/>
        </w:rPr>
        <w:br/>
      </w:r>
    </w:p>
    <w:p w14:paraId="56075F49" w14:textId="79435787" w:rsidR="00C47AA7" w:rsidRPr="00733091" w:rsidRDefault="00C47AA7" w:rsidP="00733091">
      <w:pPr>
        <w:rPr>
          <w:rFonts w:eastAsia="Times New Roman" w:cstheme="minorHAnsi"/>
          <w:lang w:val="pl-PL" w:eastAsia="pl-PL"/>
        </w:rPr>
      </w:pPr>
      <w:r w:rsidRPr="00733091">
        <w:rPr>
          <w:lang w:val="pl-PL"/>
        </w:rPr>
        <w:t>W 2019 r. udział obszarów prawnie chronionych w powierzchni Partnerstwa ogółem wyniósł średnio 47,34%</w:t>
      </w:r>
      <w:r>
        <w:rPr>
          <w:rStyle w:val="Odwoanieprzypisudolnego"/>
          <w:rFonts w:cstheme="majorHAnsi"/>
        </w:rPr>
        <w:footnoteReference w:id="98"/>
      </w:r>
      <w:r w:rsidRPr="00733091">
        <w:rPr>
          <w:lang w:val="pl-PL"/>
        </w:rPr>
        <w:t xml:space="preserve"> (podczas gdy w województwie warmińsko-mazurskim - </w:t>
      </w:r>
      <w:r w:rsidRPr="00733091">
        <w:rPr>
          <w:b/>
          <w:bCs/>
          <w:lang w:val="pl-PL"/>
        </w:rPr>
        <w:t>46,7%, a w skali kraju - 32,3</w:t>
      </w:r>
      <w:r w:rsidRPr="00F84A3C">
        <w:rPr>
          <w:b/>
          <w:bCs/>
          <w:lang w:val="pl-PL"/>
        </w:rPr>
        <w:t>%)</w:t>
      </w:r>
      <w:r w:rsidRPr="00733091">
        <w:rPr>
          <w:lang w:val="pl-PL"/>
        </w:rPr>
        <w:t>. Najwięcej terenów objętych ochroną prawną znajduje się w powiecie piskim (57,30%); najmniej w działdowskim (38,70%).</w:t>
      </w:r>
    </w:p>
    <w:p w14:paraId="73DF4FC1" w14:textId="7893855F" w:rsidR="00C47AA7" w:rsidRPr="00733091" w:rsidRDefault="00C47AA7" w:rsidP="00733091">
      <w:pPr>
        <w:rPr>
          <w:lang w:val="pl-PL"/>
        </w:rPr>
      </w:pPr>
      <w:r w:rsidRPr="00733091">
        <w:rPr>
          <w:lang w:val="pl-PL"/>
        </w:rPr>
        <w:t>W strukturze form ochrony przyrody występujących na terenie Południowych Mazur dominują obszary chronionego krajobrazu (76,0%). Na terenie Partnerstwa występują też parki krajobrazowe (36,5%) i użytki ekologiczne (31,8%), a także obszary Natura 2000.</w:t>
      </w:r>
    </w:p>
    <w:p w14:paraId="59038FF4" w14:textId="77777777" w:rsidR="00C47AA7" w:rsidRPr="00733091" w:rsidRDefault="00C47AA7" w:rsidP="00733091">
      <w:pPr>
        <w:rPr>
          <w:lang w:val="pl-PL"/>
        </w:rPr>
      </w:pPr>
      <w:r w:rsidRPr="00733091">
        <w:rPr>
          <w:lang w:val="pl-PL"/>
        </w:rPr>
        <w:t>Zestawienie form ochrony przyrody na obszarze Południowych Mazur w odniesieniu do regionu prezentuje tabela i mapa (poniżej).</w:t>
      </w:r>
    </w:p>
    <w:p w14:paraId="78B672C2" w14:textId="77777777" w:rsidR="00C47AA7" w:rsidRPr="00733091" w:rsidRDefault="00C47AA7" w:rsidP="00733091">
      <w:pPr>
        <w:rPr>
          <w:rFonts w:cstheme="majorHAnsi"/>
          <w:lang w:val="pl-PL"/>
        </w:rPr>
      </w:pPr>
    </w:p>
    <w:p w14:paraId="434D13C4" w14:textId="77777777" w:rsidR="00797E0C" w:rsidRDefault="00797E0C" w:rsidP="002E24A9">
      <w:pPr>
        <w:pStyle w:val="Legenda"/>
        <w:rPr>
          <w:lang w:val="pl-PL"/>
        </w:rPr>
        <w:sectPr w:rsidR="00797E0C" w:rsidSect="00E736E3">
          <w:pgSz w:w="11906" w:h="16838"/>
          <w:pgMar w:top="1418" w:right="1418" w:bottom="1701" w:left="1418" w:header="709" w:footer="709" w:gutter="0"/>
          <w:cols w:space="708"/>
          <w:docGrid w:linePitch="360"/>
        </w:sectPr>
      </w:pPr>
    </w:p>
    <w:p w14:paraId="0A5D64A1" w14:textId="644F0454" w:rsidR="00C47AA7" w:rsidRPr="00733091" w:rsidRDefault="00C47AA7" w:rsidP="002E24A9">
      <w:pPr>
        <w:pStyle w:val="Legenda"/>
        <w:rPr>
          <w:lang w:val="pl-PL"/>
        </w:rPr>
      </w:pPr>
      <w:bookmarkStart w:id="148" w:name="_Toc69723275"/>
      <w:r w:rsidRPr="00733091">
        <w:rPr>
          <w:lang w:val="pl-PL"/>
        </w:rPr>
        <w:lastRenderedPageBreak/>
        <w:t xml:space="preserve">Tabela </w:t>
      </w:r>
      <w:r w:rsidR="00733091">
        <w:fldChar w:fldCharType="begin"/>
      </w:r>
      <w:r w:rsidR="00733091" w:rsidRPr="00733091">
        <w:rPr>
          <w:lang w:val="pl-PL"/>
        </w:rPr>
        <w:instrText xml:space="preserve"> SEQ Tabela \* ARABIC </w:instrText>
      </w:r>
      <w:r w:rsidR="00733091">
        <w:fldChar w:fldCharType="separate"/>
      </w:r>
      <w:r w:rsidR="00B14787">
        <w:rPr>
          <w:noProof/>
          <w:lang w:val="pl-PL"/>
        </w:rPr>
        <w:t>26</w:t>
      </w:r>
      <w:r w:rsidR="00733091">
        <w:rPr>
          <w:noProof/>
        </w:rPr>
        <w:fldChar w:fldCharType="end"/>
      </w:r>
      <w:r w:rsidRPr="00733091">
        <w:rPr>
          <w:lang w:val="pl-PL"/>
        </w:rPr>
        <w:t>: Formy ochrony przyrody na terenie Południowych Mazur (2019 r.)</w:t>
      </w:r>
      <w:bookmarkEnd w:id="148"/>
    </w:p>
    <w:tbl>
      <w:tblPr>
        <w:tblStyle w:val="CWD"/>
        <w:tblpPr w:leftFromText="141" w:rightFromText="141" w:vertAnchor="text" w:tblpY="1"/>
        <w:tblOverlap w:val="never"/>
        <w:tblW w:w="5256" w:type="pct"/>
        <w:tblLayout w:type="fixed"/>
        <w:tblLook w:val="04A0" w:firstRow="1" w:lastRow="0" w:firstColumn="1" w:lastColumn="0" w:noHBand="0" w:noVBand="1"/>
      </w:tblPr>
      <w:tblGrid>
        <w:gridCol w:w="3649"/>
        <w:gridCol w:w="1477"/>
        <w:gridCol w:w="1496"/>
        <w:gridCol w:w="1669"/>
        <w:gridCol w:w="1688"/>
        <w:gridCol w:w="1471"/>
        <w:gridCol w:w="1478"/>
        <w:gridCol w:w="1483"/>
      </w:tblGrid>
      <w:tr w:rsidR="00C47AA7" w:rsidRPr="003963BA" w14:paraId="63F9962E" w14:textId="77777777" w:rsidTr="00E736E3">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649" w:type="dxa"/>
            <w:hideMark/>
          </w:tcPr>
          <w:p w14:paraId="3BEA3A8C" w14:textId="77777777" w:rsidR="00C47AA7" w:rsidRPr="00A2132A" w:rsidRDefault="00C47AA7" w:rsidP="00F84A3C">
            <w:pPr>
              <w:pStyle w:val="elementgraficznytabela"/>
              <w:spacing w:after="240" w:line="259" w:lineRule="auto"/>
            </w:pPr>
            <w:r w:rsidRPr="00A2132A">
              <w:t>Nazwa</w:t>
            </w:r>
          </w:p>
        </w:tc>
        <w:tc>
          <w:tcPr>
            <w:tcW w:w="1477" w:type="dxa"/>
            <w:noWrap/>
            <w:hideMark/>
          </w:tcPr>
          <w:p w14:paraId="23D4E055" w14:textId="77777777" w:rsidR="00C47AA7" w:rsidRPr="00A2132A" w:rsidRDefault="00C47AA7" w:rsidP="00F84A3C">
            <w:pPr>
              <w:pStyle w:val="elementgraficznytabela"/>
              <w:spacing w:after="240" w:line="259" w:lineRule="auto"/>
              <w:cnfStyle w:val="100000000000" w:firstRow="1" w:lastRow="0" w:firstColumn="0" w:lastColumn="0" w:oddVBand="0" w:evenVBand="0" w:oddHBand="0" w:evenHBand="0" w:firstRowFirstColumn="0" w:firstRowLastColumn="0" w:lastRowFirstColumn="0" w:lastRowLastColumn="0"/>
            </w:pPr>
            <w:r w:rsidRPr="00A2132A">
              <w:t>Wojewódz-two</w:t>
            </w:r>
          </w:p>
        </w:tc>
        <w:tc>
          <w:tcPr>
            <w:tcW w:w="1496" w:type="dxa"/>
          </w:tcPr>
          <w:p w14:paraId="277BADB6" w14:textId="646A772D" w:rsidR="00C47AA7" w:rsidRPr="00A2132A" w:rsidRDefault="00C47AA7" w:rsidP="00F84A3C">
            <w:pPr>
              <w:pStyle w:val="elementgraficznytabela"/>
              <w:spacing w:after="240" w:line="259" w:lineRule="auto"/>
              <w:cnfStyle w:val="100000000000" w:firstRow="1" w:lastRow="0" w:firstColumn="0" w:lastColumn="0" w:oddVBand="0" w:evenVBand="0" w:oddHBand="0" w:evenHBand="0" w:firstRowFirstColumn="0" w:firstRowLastColumn="0" w:lastRowFirstColumn="0" w:lastRowLastColumn="0"/>
            </w:pPr>
            <w:r w:rsidRPr="00A2132A">
              <w:t>Obszar Partnerstwa(w ha/szt.)</w:t>
            </w:r>
          </w:p>
        </w:tc>
        <w:tc>
          <w:tcPr>
            <w:tcW w:w="1669" w:type="dxa"/>
          </w:tcPr>
          <w:p w14:paraId="4EC3F3DC" w14:textId="77777777" w:rsidR="00C47AA7" w:rsidRPr="00A2132A" w:rsidRDefault="00C47AA7" w:rsidP="00F84A3C">
            <w:pPr>
              <w:pStyle w:val="elementgraficznytabela"/>
              <w:spacing w:after="240" w:line="259" w:lineRule="auto"/>
              <w:cnfStyle w:val="100000000000" w:firstRow="1" w:lastRow="0" w:firstColumn="0" w:lastColumn="0" w:oddVBand="0" w:evenVBand="0" w:oddHBand="0" w:evenHBand="0" w:firstRowFirstColumn="0" w:firstRowLastColumn="0" w:lastRowFirstColumn="0" w:lastRowLastColumn="0"/>
            </w:pPr>
            <w:r w:rsidRPr="00A2132A">
              <w:t>Obszar Partnerstwa w %</w:t>
            </w:r>
          </w:p>
        </w:tc>
        <w:tc>
          <w:tcPr>
            <w:tcW w:w="1688" w:type="dxa"/>
            <w:noWrap/>
            <w:hideMark/>
          </w:tcPr>
          <w:p w14:paraId="4E6F2978" w14:textId="77777777" w:rsidR="00C47AA7" w:rsidRPr="00A2132A" w:rsidRDefault="00C47AA7" w:rsidP="00F84A3C">
            <w:pPr>
              <w:pStyle w:val="elementgraficznytabela"/>
              <w:spacing w:after="240" w:line="259" w:lineRule="auto"/>
              <w:cnfStyle w:val="100000000000" w:firstRow="1" w:lastRow="0" w:firstColumn="0" w:lastColumn="0" w:oddVBand="0" w:evenVBand="0" w:oddHBand="0" w:evenHBand="0" w:firstRowFirstColumn="0" w:firstRowLastColumn="0" w:lastRowFirstColumn="0" w:lastRowLastColumn="0"/>
            </w:pPr>
            <w:r w:rsidRPr="00A2132A">
              <w:t>Powiat działdowski</w:t>
            </w:r>
          </w:p>
        </w:tc>
        <w:tc>
          <w:tcPr>
            <w:tcW w:w="1471" w:type="dxa"/>
            <w:noWrap/>
            <w:hideMark/>
          </w:tcPr>
          <w:p w14:paraId="1996C5AD" w14:textId="77777777" w:rsidR="00C47AA7" w:rsidRPr="00A2132A" w:rsidRDefault="00C47AA7" w:rsidP="00F84A3C">
            <w:pPr>
              <w:pStyle w:val="elementgraficznytabela"/>
              <w:spacing w:after="240" w:line="259" w:lineRule="auto"/>
              <w:cnfStyle w:val="100000000000" w:firstRow="1" w:lastRow="0" w:firstColumn="0" w:lastColumn="0" w:oddVBand="0" w:evenVBand="0" w:oddHBand="0" w:evenHBand="0" w:firstRowFirstColumn="0" w:firstRowLastColumn="0" w:lastRowFirstColumn="0" w:lastRowLastColumn="0"/>
            </w:pPr>
            <w:r w:rsidRPr="00A2132A">
              <w:t>Powiat nidzicki</w:t>
            </w:r>
          </w:p>
        </w:tc>
        <w:tc>
          <w:tcPr>
            <w:tcW w:w="1478" w:type="dxa"/>
            <w:noWrap/>
            <w:hideMark/>
          </w:tcPr>
          <w:p w14:paraId="482A3299" w14:textId="77777777" w:rsidR="00C47AA7" w:rsidRPr="00A2132A" w:rsidRDefault="00C47AA7" w:rsidP="00F84A3C">
            <w:pPr>
              <w:pStyle w:val="elementgraficznytabela"/>
              <w:spacing w:after="240" w:line="259" w:lineRule="auto"/>
              <w:cnfStyle w:val="100000000000" w:firstRow="1" w:lastRow="0" w:firstColumn="0" w:lastColumn="0" w:oddVBand="0" w:evenVBand="0" w:oddHBand="0" w:evenHBand="0" w:firstRowFirstColumn="0" w:firstRowLastColumn="0" w:lastRowFirstColumn="0" w:lastRowLastColumn="0"/>
            </w:pPr>
            <w:r w:rsidRPr="00A2132A">
              <w:t xml:space="preserve">Powiat </w:t>
            </w:r>
            <w:r w:rsidRPr="00A2132A">
              <w:br/>
              <w:t>piski</w:t>
            </w:r>
          </w:p>
        </w:tc>
        <w:tc>
          <w:tcPr>
            <w:tcW w:w="1483" w:type="dxa"/>
            <w:noWrap/>
            <w:hideMark/>
          </w:tcPr>
          <w:p w14:paraId="15E3ECA1" w14:textId="77777777" w:rsidR="00C47AA7" w:rsidRPr="00A2132A" w:rsidRDefault="00C47AA7" w:rsidP="00F84A3C">
            <w:pPr>
              <w:pStyle w:val="elementgraficznytabela"/>
              <w:spacing w:after="240" w:line="259" w:lineRule="auto"/>
              <w:cnfStyle w:val="100000000000" w:firstRow="1" w:lastRow="0" w:firstColumn="0" w:lastColumn="0" w:oddVBand="0" w:evenVBand="0" w:oddHBand="0" w:evenHBand="0" w:firstRowFirstColumn="0" w:firstRowLastColumn="0" w:lastRowFirstColumn="0" w:lastRowLastColumn="0"/>
            </w:pPr>
            <w:r w:rsidRPr="00A2132A">
              <w:t>Powiat szczycieński</w:t>
            </w:r>
          </w:p>
        </w:tc>
      </w:tr>
      <w:tr w:rsidR="00C47AA7" w:rsidRPr="003963BA" w14:paraId="77E0E404" w14:textId="77777777" w:rsidTr="00E736E3">
        <w:trPr>
          <w:trHeight w:val="289"/>
        </w:trPr>
        <w:tc>
          <w:tcPr>
            <w:cnfStyle w:val="001000000000" w:firstRow="0" w:lastRow="0" w:firstColumn="1" w:lastColumn="0" w:oddVBand="0" w:evenVBand="0" w:oddHBand="0" w:evenHBand="0" w:firstRowFirstColumn="0" w:firstRowLastColumn="0" w:lastRowFirstColumn="0" w:lastRowLastColumn="0"/>
            <w:tcW w:w="3649" w:type="dxa"/>
            <w:hideMark/>
          </w:tcPr>
          <w:p w14:paraId="79035DAA" w14:textId="1BE9CE2D" w:rsidR="00C47AA7" w:rsidRPr="00A33A7C" w:rsidRDefault="00494C2D" w:rsidP="00F84A3C">
            <w:pPr>
              <w:pStyle w:val="elementgraficznytabela"/>
              <w:spacing w:after="240" w:line="259" w:lineRule="auto"/>
              <w:rPr>
                <w:b w:val="0"/>
                <w:bCs/>
              </w:rPr>
            </w:pPr>
            <w:r>
              <w:rPr>
                <w:b w:val="0"/>
                <w:bCs/>
              </w:rPr>
              <w:t>R</w:t>
            </w:r>
            <w:r w:rsidR="00C47AA7" w:rsidRPr="00A33A7C">
              <w:rPr>
                <w:b w:val="0"/>
                <w:bCs/>
              </w:rPr>
              <w:t>ezerwaty przyrody (w ha)</w:t>
            </w:r>
          </w:p>
        </w:tc>
        <w:tc>
          <w:tcPr>
            <w:tcW w:w="1477" w:type="dxa"/>
            <w:noWrap/>
            <w:hideMark/>
          </w:tcPr>
          <w:p w14:paraId="112D45BC" w14:textId="78ACAEDE" w:rsidR="00C47AA7" w:rsidRPr="00A2132A" w:rsidRDefault="00C47AA7" w:rsidP="00F84A3C">
            <w:pPr>
              <w:pStyle w:val="elementgraficznytabela"/>
              <w:spacing w:after="240" w:line="259" w:lineRule="auto"/>
              <w:cnfStyle w:val="000000000000" w:firstRow="0" w:lastRow="0" w:firstColumn="0" w:lastColumn="0" w:oddVBand="0" w:evenVBand="0" w:oddHBand="0" w:evenHBand="0" w:firstRowFirstColumn="0" w:firstRowLastColumn="0" w:lastRowFirstColumn="0" w:lastRowLastColumn="0"/>
            </w:pPr>
            <w:r w:rsidRPr="00A2132A">
              <w:t>33</w:t>
            </w:r>
            <w:r w:rsidR="00797E0C">
              <w:t xml:space="preserve"> </w:t>
            </w:r>
            <w:r w:rsidRPr="00A2132A">
              <w:t>257,33</w:t>
            </w:r>
          </w:p>
        </w:tc>
        <w:tc>
          <w:tcPr>
            <w:tcW w:w="1496" w:type="dxa"/>
          </w:tcPr>
          <w:p w14:paraId="10D90442" w14:textId="6874DFA0" w:rsidR="00C47AA7" w:rsidRPr="00A2132A" w:rsidRDefault="00C47AA7" w:rsidP="00F84A3C">
            <w:pPr>
              <w:pStyle w:val="elementgraficznytabela"/>
              <w:spacing w:after="240" w:line="259" w:lineRule="auto"/>
              <w:cnfStyle w:val="000000000000" w:firstRow="0" w:lastRow="0" w:firstColumn="0" w:lastColumn="0" w:oddVBand="0" w:evenVBand="0" w:oddHBand="0" w:evenHBand="0" w:firstRowFirstColumn="0" w:firstRowLastColumn="0" w:lastRowFirstColumn="0" w:lastRowLastColumn="0"/>
            </w:pPr>
            <w:r w:rsidRPr="00A2132A">
              <w:t>7</w:t>
            </w:r>
            <w:r w:rsidR="00797E0C">
              <w:t xml:space="preserve"> </w:t>
            </w:r>
            <w:r w:rsidRPr="00A2132A">
              <w:t>026,72</w:t>
            </w:r>
          </w:p>
        </w:tc>
        <w:tc>
          <w:tcPr>
            <w:tcW w:w="1669" w:type="dxa"/>
          </w:tcPr>
          <w:p w14:paraId="70850BF9" w14:textId="77777777" w:rsidR="00C47AA7" w:rsidRPr="00A2132A" w:rsidRDefault="00C47AA7" w:rsidP="00F84A3C">
            <w:pPr>
              <w:pStyle w:val="elementgraficznytabela"/>
              <w:spacing w:after="240" w:line="259" w:lineRule="auto"/>
              <w:cnfStyle w:val="000000000000" w:firstRow="0" w:lastRow="0" w:firstColumn="0" w:lastColumn="0" w:oddVBand="0" w:evenVBand="0" w:oddHBand="0" w:evenHBand="0" w:firstRowFirstColumn="0" w:firstRowLastColumn="0" w:lastRowFirstColumn="0" w:lastRowLastColumn="0"/>
            </w:pPr>
            <w:r w:rsidRPr="00A2132A">
              <w:t>21,13%</w:t>
            </w:r>
          </w:p>
        </w:tc>
        <w:tc>
          <w:tcPr>
            <w:tcW w:w="1688" w:type="dxa"/>
            <w:noWrap/>
            <w:hideMark/>
          </w:tcPr>
          <w:p w14:paraId="3B2951E8" w14:textId="77777777" w:rsidR="00C47AA7" w:rsidRPr="00A2132A" w:rsidRDefault="00C47AA7" w:rsidP="00F84A3C">
            <w:pPr>
              <w:pStyle w:val="elementgraficznytabela"/>
              <w:spacing w:after="240" w:line="259" w:lineRule="auto"/>
              <w:cnfStyle w:val="000000000000" w:firstRow="0" w:lastRow="0" w:firstColumn="0" w:lastColumn="0" w:oddVBand="0" w:evenVBand="0" w:oddHBand="0" w:evenHBand="0" w:firstRowFirstColumn="0" w:firstRowLastColumn="0" w:lastRowFirstColumn="0" w:lastRowLastColumn="0"/>
            </w:pPr>
            <w:r w:rsidRPr="00A2132A">
              <w:t>419,50</w:t>
            </w:r>
          </w:p>
        </w:tc>
        <w:tc>
          <w:tcPr>
            <w:tcW w:w="1471" w:type="dxa"/>
            <w:noWrap/>
            <w:hideMark/>
          </w:tcPr>
          <w:p w14:paraId="3B381443" w14:textId="77777777" w:rsidR="00C47AA7" w:rsidRPr="00A2132A" w:rsidRDefault="00C47AA7" w:rsidP="00F84A3C">
            <w:pPr>
              <w:pStyle w:val="elementgraficznytabela"/>
              <w:spacing w:after="240" w:line="259" w:lineRule="auto"/>
              <w:cnfStyle w:val="000000000000" w:firstRow="0" w:lastRow="0" w:firstColumn="0" w:lastColumn="0" w:oddVBand="0" w:evenVBand="0" w:oddHBand="0" w:evenHBand="0" w:firstRowFirstColumn="0" w:firstRowLastColumn="0" w:lastRowFirstColumn="0" w:lastRowLastColumn="0"/>
            </w:pPr>
            <w:r w:rsidRPr="00A2132A">
              <w:t>224,95</w:t>
            </w:r>
          </w:p>
        </w:tc>
        <w:tc>
          <w:tcPr>
            <w:tcW w:w="1478" w:type="dxa"/>
            <w:noWrap/>
            <w:hideMark/>
          </w:tcPr>
          <w:p w14:paraId="716E2627" w14:textId="1F8F0DC5" w:rsidR="00C47AA7" w:rsidRPr="00A2132A" w:rsidRDefault="00C47AA7" w:rsidP="00F84A3C">
            <w:pPr>
              <w:pStyle w:val="elementgraficznytabela"/>
              <w:spacing w:after="240" w:line="259" w:lineRule="auto"/>
              <w:cnfStyle w:val="000000000000" w:firstRow="0" w:lastRow="0" w:firstColumn="0" w:lastColumn="0" w:oddVBand="0" w:evenVBand="0" w:oddHBand="0" w:evenHBand="0" w:firstRowFirstColumn="0" w:firstRowLastColumn="0" w:lastRowFirstColumn="0" w:lastRowLastColumn="0"/>
            </w:pPr>
            <w:r w:rsidRPr="00A2132A">
              <w:t>5</w:t>
            </w:r>
            <w:r w:rsidR="00797E0C">
              <w:t xml:space="preserve"> </w:t>
            </w:r>
            <w:r w:rsidRPr="00A2132A">
              <w:t>797,94</w:t>
            </w:r>
          </w:p>
        </w:tc>
        <w:tc>
          <w:tcPr>
            <w:tcW w:w="1483" w:type="dxa"/>
            <w:noWrap/>
            <w:hideMark/>
          </w:tcPr>
          <w:p w14:paraId="29BAA1E0" w14:textId="77777777" w:rsidR="00C47AA7" w:rsidRPr="00A2132A" w:rsidRDefault="00C47AA7" w:rsidP="00F84A3C">
            <w:pPr>
              <w:pStyle w:val="elementgraficznytabela"/>
              <w:spacing w:after="240" w:line="259" w:lineRule="auto"/>
              <w:cnfStyle w:val="000000000000" w:firstRow="0" w:lastRow="0" w:firstColumn="0" w:lastColumn="0" w:oddVBand="0" w:evenVBand="0" w:oddHBand="0" w:evenHBand="0" w:firstRowFirstColumn="0" w:firstRowLastColumn="0" w:lastRowFirstColumn="0" w:lastRowLastColumn="0"/>
            </w:pPr>
            <w:r w:rsidRPr="00A2132A">
              <w:t>584,33</w:t>
            </w:r>
          </w:p>
        </w:tc>
      </w:tr>
      <w:tr w:rsidR="00C47AA7" w:rsidRPr="003963BA" w14:paraId="4FBE68A5" w14:textId="77777777" w:rsidTr="00E736E3">
        <w:trPr>
          <w:trHeight w:val="289"/>
        </w:trPr>
        <w:tc>
          <w:tcPr>
            <w:cnfStyle w:val="001000000000" w:firstRow="0" w:lastRow="0" w:firstColumn="1" w:lastColumn="0" w:oddVBand="0" w:evenVBand="0" w:oddHBand="0" w:evenHBand="0" w:firstRowFirstColumn="0" w:firstRowLastColumn="0" w:lastRowFirstColumn="0" w:lastRowLastColumn="0"/>
            <w:tcW w:w="3649" w:type="dxa"/>
            <w:hideMark/>
          </w:tcPr>
          <w:p w14:paraId="09985EE6" w14:textId="00F5A87E" w:rsidR="00C47AA7" w:rsidRPr="00A33A7C" w:rsidRDefault="00494C2D" w:rsidP="00F84A3C">
            <w:pPr>
              <w:pStyle w:val="elementgraficznytabela"/>
              <w:spacing w:after="240" w:line="259" w:lineRule="auto"/>
              <w:rPr>
                <w:b w:val="0"/>
                <w:bCs/>
              </w:rPr>
            </w:pPr>
            <w:r>
              <w:rPr>
                <w:b w:val="0"/>
                <w:bCs/>
              </w:rPr>
              <w:t>P</w:t>
            </w:r>
            <w:r w:rsidR="00C47AA7" w:rsidRPr="00A33A7C">
              <w:rPr>
                <w:b w:val="0"/>
                <w:bCs/>
              </w:rPr>
              <w:t>arki krajobrazowe (w ha)</w:t>
            </w:r>
          </w:p>
        </w:tc>
        <w:tc>
          <w:tcPr>
            <w:tcW w:w="1477" w:type="dxa"/>
            <w:noWrap/>
            <w:hideMark/>
          </w:tcPr>
          <w:p w14:paraId="357D5155" w14:textId="58F5916E" w:rsidR="00C47AA7" w:rsidRPr="00A2132A" w:rsidRDefault="00C47AA7" w:rsidP="00F84A3C">
            <w:pPr>
              <w:pStyle w:val="elementgraficznytabela"/>
              <w:spacing w:after="240" w:line="259" w:lineRule="auto"/>
              <w:cnfStyle w:val="000000000000" w:firstRow="0" w:lastRow="0" w:firstColumn="0" w:lastColumn="0" w:oddVBand="0" w:evenVBand="0" w:oddHBand="0" w:evenHBand="0" w:firstRowFirstColumn="0" w:firstRowLastColumn="0" w:lastRowFirstColumn="0" w:lastRowLastColumn="0"/>
            </w:pPr>
            <w:r w:rsidRPr="00A2132A">
              <w:t>144</w:t>
            </w:r>
            <w:r w:rsidR="00797E0C">
              <w:t xml:space="preserve"> </w:t>
            </w:r>
            <w:r w:rsidRPr="00A2132A">
              <w:t>994,16</w:t>
            </w:r>
          </w:p>
        </w:tc>
        <w:tc>
          <w:tcPr>
            <w:tcW w:w="1496" w:type="dxa"/>
          </w:tcPr>
          <w:p w14:paraId="23A5F110" w14:textId="22D76973" w:rsidR="00C47AA7" w:rsidRPr="00A2132A" w:rsidRDefault="00C47AA7" w:rsidP="00F84A3C">
            <w:pPr>
              <w:pStyle w:val="elementgraficznytabela"/>
              <w:spacing w:after="240" w:line="259" w:lineRule="auto"/>
              <w:cnfStyle w:val="000000000000" w:firstRow="0" w:lastRow="0" w:firstColumn="0" w:lastColumn="0" w:oddVBand="0" w:evenVBand="0" w:oddHBand="0" w:evenHBand="0" w:firstRowFirstColumn="0" w:firstRowLastColumn="0" w:lastRowFirstColumn="0" w:lastRowLastColumn="0"/>
            </w:pPr>
            <w:r w:rsidRPr="00A2132A">
              <w:t>52</w:t>
            </w:r>
            <w:r w:rsidR="00797E0C">
              <w:t xml:space="preserve"> </w:t>
            </w:r>
            <w:r w:rsidRPr="00A2132A">
              <w:t>856,84</w:t>
            </w:r>
          </w:p>
        </w:tc>
        <w:tc>
          <w:tcPr>
            <w:tcW w:w="1669" w:type="dxa"/>
          </w:tcPr>
          <w:p w14:paraId="301DBBB8" w14:textId="77777777" w:rsidR="00C47AA7" w:rsidRPr="00A2132A" w:rsidRDefault="00C47AA7" w:rsidP="00F84A3C">
            <w:pPr>
              <w:pStyle w:val="elementgraficznytabela"/>
              <w:spacing w:after="240" w:line="259" w:lineRule="auto"/>
              <w:cnfStyle w:val="000000000000" w:firstRow="0" w:lastRow="0" w:firstColumn="0" w:lastColumn="0" w:oddVBand="0" w:evenVBand="0" w:oddHBand="0" w:evenHBand="0" w:firstRowFirstColumn="0" w:firstRowLastColumn="0" w:lastRowFirstColumn="0" w:lastRowLastColumn="0"/>
            </w:pPr>
            <w:r w:rsidRPr="00A2132A">
              <w:t>36,45%</w:t>
            </w:r>
          </w:p>
        </w:tc>
        <w:tc>
          <w:tcPr>
            <w:tcW w:w="1688" w:type="dxa"/>
            <w:noWrap/>
            <w:hideMark/>
          </w:tcPr>
          <w:p w14:paraId="7FB75190" w14:textId="2358994B" w:rsidR="00C47AA7" w:rsidRPr="00A2132A" w:rsidRDefault="00C47AA7" w:rsidP="00F84A3C">
            <w:pPr>
              <w:pStyle w:val="elementgraficznytabela"/>
              <w:spacing w:after="240" w:line="259" w:lineRule="auto"/>
              <w:cnfStyle w:val="000000000000" w:firstRow="0" w:lastRow="0" w:firstColumn="0" w:lastColumn="0" w:oddVBand="0" w:evenVBand="0" w:oddHBand="0" w:evenHBand="0" w:firstRowFirstColumn="0" w:firstRowLastColumn="0" w:lastRowFirstColumn="0" w:lastRowLastColumn="0"/>
            </w:pPr>
            <w:r w:rsidRPr="00A2132A">
              <w:t>25</w:t>
            </w:r>
            <w:r w:rsidR="00797E0C">
              <w:t xml:space="preserve"> </w:t>
            </w:r>
            <w:r w:rsidRPr="00A2132A">
              <w:t>136,69</w:t>
            </w:r>
          </w:p>
        </w:tc>
        <w:tc>
          <w:tcPr>
            <w:tcW w:w="1471" w:type="dxa"/>
            <w:noWrap/>
            <w:hideMark/>
          </w:tcPr>
          <w:p w14:paraId="36C10BB5" w14:textId="77777777" w:rsidR="00C47AA7" w:rsidRPr="00A2132A" w:rsidRDefault="00C47AA7" w:rsidP="00F84A3C">
            <w:pPr>
              <w:pStyle w:val="elementgraficznytabela"/>
              <w:spacing w:after="240" w:line="259" w:lineRule="auto"/>
              <w:cnfStyle w:val="000000000000" w:firstRow="0" w:lastRow="0" w:firstColumn="0" w:lastColumn="0" w:oddVBand="0" w:evenVBand="0" w:oddHBand="0" w:evenHBand="0" w:firstRowFirstColumn="0" w:firstRowLastColumn="0" w:lastRowFirstColumn="0" w:lastRowLastColumn="0"/>
            </w:pPr>
            <w:r w:rsidRPr="00A2132A">
              <w:t>0,00</w:t>
            </w:r>
          </w:p>
        </w:tc>
        <w:tc>
          <w:tcPr>
            <w:tcW w:w="1478" w:type="dxa"/>
            <w:noWrap/>
            <w:hideMark/>
          </w:tcPr>
          <w:p w14:paraId="26EAE51D" w14:textId="6497F960" w:rsidR="00C47AA7" w:rsidRPr="00A2132A" w:rsidRDefault="00C47AA7" w:rsidP="00F84A3C">
            <w:pPr>
              <w:pStyle w:val="elementgraficznytabela"/>
              <w:spacing w:after="240" w:line="259" w:lineRule="auto"/>
              <w:cnfStyle w:val="000000000000" w:firstRow="0" w:lastRow="0" w:firstColumn="0" w:lastColumn="0" w:oddVBand="0" w:evenVBand="0" w:oddHBand="0" w:evenHBand="0" w:firstRowFirstColumn="0" w:firstRowLastColumn="0" w:lastRowFirstColumn="0" w:lastRowLastColumn="0"/>
            </w:pPr>
            <w:r w:rsidRPr="00A2132A">
              <w:t>26</w:t>
            </w:r>
            <w:r w:rsidR="00797E0C">
              <w:t xml:space="preserve"> </w:t>
            </w:r>
            <w:r w:rsidRPr="00A2132A">
              <w:t>361,97</w:t>
            </w:r>
          </w:p>
        </w:tc>
        <w:tc>
          <w:tcPr>
            <w:tcW w:w="1483" w:type="dxa"/>
            <w:noWrap/>
            <w:hideMark/>
          </w:tcPr>
          <w:p w14:paraId="1C645285" w14:textId="741C8B26" w:rsidR="00C47AA7" w:rsidRPr="00A2132A" w:rsidRDefault="00C47AA7" w:rsidP="00F84A3C">
            <w:pPr>
              <w:pStyle w:val="elementgraficznytabela"/>
              <w:spacing w:after="240" w:line="259" w:lineRule="auto"/>
              <w:cnfStyle w:val="000000000000" w:firstRow="0" w:lastRow="0" w:firstColumn="0" w:lastColumn="0" w:oddVBand="0" w:evenVBand="0" w:oddHBand="0" w:evenHBand="0" w:firstRowFirstColumn="0" w:firstRowLastColumn="0" w:lastRowFirstColumn="0" w:lastRowLastColumn="0"/>
            </w:pPr>
            <w:r w:rsidRPr="00A2132A">
              <w:t>1</w:t>
            </w:r>
            <w:r w:rsidR="00797E0C">
              <w:t xml:space="preserve"> </w:t>
            </w:r>
            <w:r w:rsidRPr="00A2132A">
              <w:t>358,18</w:t>
            </w:r>
          </w:p>
        </w:tc>
      </w:tr>
      <w:tr w:rsidR="00C47AA7" w:rsidRPr="003963BA" w14:paraId="4990DABF" w14:textId="77777777" w:rsidTr="00494C2D">
        <w:trPr>
          <w:trHeight w:val="1126"/>
        </w:trPr>
        <w:tc>
          <w:tcPr>
            <w:cnfStyle w:val="001000000000" w:firstRow="0" w:lastRow="0" w:firstColumn="1" w:lastColumn="0" w:oddVBand="0" w:evenVBand="0" w:oddHBand="0" w:evenHBand="0" w:firstRowFirstColumn="0" w:firstRowLastColumn="0" w:lastRowFirstColumn="0" w:lastRowLastColumn="0"/>
            <w:tcW w:w="3649" w:type="dxa"/>
            <w:hideMark/>
          </w:tcPr>
          <w:p w14:paraId="56C161D9" w14:textId="489A7630" w:rsidR="00C47AA7" w:rsidRPr="00A33A7C" w:rsidRDefault="00494C2D" w:rsidP="00F84A3C">
            <w:pPr>
              <w:pStyle w:val="elementgraficznytabela"/>
              <w:spacing w:after="240" w:line="259" w:lineRule="auto"/>
              <w:rPr>
                <w:b w:val="0"/>
                <w:bCs/>
              </w:rPr>
            </w:pPr>
            <w:r>
              <w:rPr>
                <w:b w:val="0"/>
                <w:bCs/>
              </w:rPr>
              <w:t>O</w:t>
            </w:r>
            <w:r w:rsidR="00C47AA7" w:rsidRPr="00A33A7C">
              <w:rPr>
                <w:b w:val="0"/>
                <w:bCs/>
              </w:rPr>
              <w:t>bszary chronionego krajobrazu (w ha)</w:t>
            </w:r>
          </w:p>
        </w:tc>
        <w:tc>
          <w:tcPr>
            <w:tcW w:w="1477" w:type="dxa"/>
            <w:noWrap/>
            <w:hideMark/>
          </w:tcPr>
          <w:p w14:paraId="53D3AEDA" w14:textId="4F78337F" w:rsidR="00C47AA7" w:rsidRPr="00A2132A" w:rsidRDefault="00C47AA7" w:rsidP="00F84A3C">
            <w:pPr>
              <w:pStyle w:val="elementgraficznytabela"/>
              <w:spacing w:after="240" w:line="259" w:lineRule="auto"/>
              <w:cnfStyle w:val="000000000000" w:firstRow="0" w:lastRow="0" w:firstColumn="0" w:lastColumn="0" w:oddVBand="0" w:evenVBand="0" w:oddHBand="0" w:evenHBand="0" w:firstRowFirstColumn="0" w:firstRowLastColumn="0" w:lastRowFirstColumn="0" w:lastRowLastColumn="0"/>
            </w:pPr>
            <w:r w:rsidRPr="00A2132A">
              <w:t>95</w:t>
            </w:r>
            <w:r w:rsidR="00797E0C">
              <w:t xml:space="preserve">4 </w:t>
            </w:r>
            <w:r w:rsidRPr="00A2132A">
              <w:t>780,36</w:t>
            </w:r>
          </w:p>
        </w:tc>
        <w:tc>
          <w:tcPr>
            <w:tcW w:w="1496" w:type="dxa"/>
          </w:tcPr>
          <w:p w14:paraId="28A5A6EF" w14:textId="230C6689" w:rsidR="00C47AA7" w:rsidRPr="00A2132A" w:rsidRDefault="00797E0C" w:rsidP="00494C2D">
            <w:pPr>
              <w:pStyle w:val="elementgraficznytabela"/>
              <w:spacing w:after="240" w:line="259" w:lineRule="auto"/>
              <w:cnfStyle w:val="000000000000" w:firstRow="0" w:lastRow="0" w:firstColumn="0" w:lastColumn="0" w:oddVBand="0" w:evenVBand="0" w:oddHBand="0" w:evenHBand="0" w:firstRowFirstColumn="0" w:firstRowLastColumn="0" w:lastRowFirstColumn="0" w:lastRowLastColumn="0"/>
            </w:pPr>
            <w:r>
              <w:br/>
            </w:r>
            <w:r w:rsidR="00C47AA7" w:rsidRPr="00A2132A">
              <w:t>218</w:t>
            </w:r>
            <w:r>
              <w:t xml:space="preserve"> </w:t>
            </w:r>
            <w:r w:rsidR="00C47AA7" w:rsidRPr="00A2132A">
              <w:t>374,78</w:t>
            </w:r>
          </w:p>
        </w:tc>
        <w:tc>
          <w:tcPr>
            <w:tcW w:w="1669" w:type="dxa"/>
          </w:tcPr>
          <w:p w14:paraId="7601D9F1" w14:textId="77777777" w:rsidR="00C47AA7" w:rsidRPr="00A2132A" w:rsidRDefault="00C47AA7" w:rsidP="00F84A3C">
            <w:pPr>
              <w:pStyle w:val="elementgraficznytabela"/>
              <w:spacing w:after="240" w:line="259" w:lineRule="auto"/>
              <w:cnfStyle w:val="000000000000" w:firstRow="0" w:lastRow="0" w:firstColumn="0" w:lastColumn="0" w:oddVBand="0" w:evenVBand="0" w:oddHBand="0" w:evenHBand="0" w:firstRowFirstColumn="0" w:firstRowLastColumn="0" w:lastRowFirstColumn="0" w:lastRowLastColumn="0"/>
            </w:pPr>
            <w:r w:rsidRPr="00A2132A">
              <w:t>22,87%</w:t>
            </w:r>
          </w:p>
        </w:tc>
        <w:tc>
          <w:tcPr>
            <w:tcW w:w="1688" w:type="dxa"/>
            <w:noWrap/>
            <w:hideMark/>
          </w:tcPr>
          <w:p w14:paraId="4012D874" w14:textId="095E16D8" w:rsidR="00C47AA7" w:rsidRPr="00A2132A" w:rsidRDefault="00C47AA7" w:rsidP="00F84A3C">
            <w:pPr>
              <w:pStyle w:val="elementgraficznytabela"/>
              <w:spacing w:after="240" w:line="259" w:lineRule="auto"/>
              <w:cnfStyle w:val="000000000000" w:firstRow="0" w:lastRow="0" w:firstColumn="0" w:lastColumn="0" w:oddVBand="0" w:evenVBand="0" w:oddHBand="0" w:evenHBand="0" w:firstRowFirstColumn="0" w:firstRowLastColumn="0" w:lastRowFirstColumn="0" w:lastRowLastColumn="0"/>
            </w:pPr>
            <w:r w:rsidRPr="00A2132A">
              <w:t>11</w:t>
            </w:r>
            <w:r w:rsidR="00797E0C">
              <w:t xml:space="preserve"> </w:t>
            </w:r>
            <w:r w:rsidRPr="00A2132A">
              <w:t>029,87</w:t>
            </w:r>
          </w:p>
        </w:tc>
        <w:tc>
          <w:tcPr>
            <w:tcW w:w="1471" w:type="dxa"/>
            <w:noWrap/>
            <w:hideMark/>
          </w:tcPr>
          <w:p w14:paraId="2E06B52E" w14:textId="681392FD" w:rsidR="00C47AA7" w:rsidRPr="00A2132A" w:rsidRDefault="00C47AA7" w:rsidP="00F84A3C">
            <w:pPr>
              <w:pStyle w:val="elementgraficznytabela"/>
              <w:spacing w:after="240" w:line="259" w:lineRule="auto"/>
              <w:cnfStyle w:val="000000000000" w:firstRow="0" w:lastRow="0" w:firstColumn="0" w:lastColumn="0" w:oddVBand="0" w:evenVBand="0" w:oddHBand="0" w:evenHBand="0" w:firstRowFirstColumn="0" w:firstRowLastColumn="0" w:lastRowFirstColumn="0" w:lastRowLastColumn="0"/>
            </w:pPr>
            <w:r w:rsidRPr="00A2132A">
              <w:t>52</w:t>
            </w:r>
            <w:r w:rsidR="00797E0C">
              <w:t xml:space="preserve"> </w:t>
            </w:r>
            <w:r w:rsidRPr="00A2132A">
              <w:t>778,76</w:t>
            </w:r>
          </w:p>
        </w:tc>
        <w:tc>
          <w:tcPr>
            <w:tcW w:w="1478" w:type="dxa"/>
            <w:noWrap/>
            <w:hideMark/>
          </w:tcPr>
          <w:p w14:paraId="526173C9" w14:textId="1DFECD10" w:rsidR="00C47AA7" w:rsidRPr="00A2132A" w:rsidRDefault="00C47AA7" w:rsidP="00F84A3C">
            <w:pPr>
              <w:pStyle w:val="elementgraficznytabela"/>
              <w:spacing w:after="240" w:line="259" w:lineRule="auto"/>
              <w:cnfStyle w:val="000000000000" w:firstRow="0" w:lastRow="0" w:firstColumn="0" w:lastColumn="0" w:oddVBand="0" w:evenVBand="0" w:oddHBand="0" w:evenHBand="0" w:firstRowFirstColumn="0" w:firstRowLastColumn="0" w:lastRowFirstColumn="0" w:lastRowLastColumn="0"/>
            </w:pPr>
            <w:r w:rsidRPr="00A2132A">
              <w:t>74</w:t>
            </w:r>
            <w:r w:rsidR="00797E0C">
              <w:t xml:space="preserve"> </w:t>
            </w:r>
            <w:r w:rsidRPr="00A2132A">
              <w:t>974,86</w:t>
            </w:r>
          </w:p>
        </w:tc>
        <w:tc>
          <w:tcPr>
            <w:tcW w:w="1483" w:type="dxa"/>
            <w:noWrap/>
            <w:hideMark/>
          </w:tcPr>
          <w:p w14:paraId="7FA3CA32" w14:textId="4BD1659F" w:rsidR="00C47AA7" w:rsidRPr="00A2132A" w:rsidRDefault="00C47AA7" w:rsidP="00F84A3C">
            <w:pPr>
              <w:pStyle w:val="elementgraficznytabela"/>
              <w:spacing w:after="240" w:line="259" w:lineRule="auto"/>
              <w:cnfStyle w:val="000000000000" w:firstRow="0" w:lastRow="0" w:firstColumn="0" w:lastColumn="0" w:oddVBand="0" w:evenVBand="0" w:oddHBand="0" w:evenHBand="0" w:firstRowFirstColumn="0" w:firstRowLastColumn="0" w:lastRowFirstColumn="0" w:lastRowLastColumn="0"/>
            </w:pPr>
            <w:r w:rsidRPr="00A2132A">
              <w:t>79</w:t>
            </w:r>
            <w:r w:rsidR="00797E0C">
              <w:t xml:space="preserve"> </w:t>
            </w:r>
            <w:r w:rsidRPr="00A2132A">
              <w:t>591,29</w:t>
            </w:r>
          </w:p>
        </w:tc>
      </w:tr>
      <w:tr w:rsidR="00C47AA7" w:rsidRPr="003963BA" w14:paraId="3E9F0DD3" w14:textId="77777777" w:rsidTr="00E736E3">
        <w:trPr>
          <w:trHeight w:val="289"/>
        </w:trPr>
        <w:tc>
          <w:tcPr>
            <w:cnfStyle w:val="001000000000" w:firstRow="0" w:lastRow="0" w:firstColumn="1" w:lastColumn="0" w:oddVBand="0" w:evenVBand="0" w:oddHBand="0" w:evenHBand="0" w:firstRowFirstColumn="0" w:firstRowLastColumn="0" w:lastRowFirstColumn="0" w:lastRowLastColumn="0"/>
            <w:tcW w:w="3649" w:type="dxa"/>
            <w:hideMark/>
          </w:tcPr>
          <w:p w14:paraId="5524B185" w14:textId="3019146C" w:rsidR="00C47AA7" w:rsidRPr="00A33A7C" w:rsidRDefault="00494C2D" w:rsidP="00F84A3C">
            <w:pPr>
              <w:pStyle w:val="elementgraficznytabela"/>
              <w:spacing w:after="240" w:line="259" w:lineRule="auto"/>
              <w:rPr>
                <w:b w:val="0"/>
                <w:bCs/>
              </w:rPr>
            </w:pPr>
            <w:r>
              <w:rPr>
                <w:b w:val="0"/>
                <w:bCs/>
              </w:rPr>
              <w:t>U</w:t>
            </w:r>
            <w:r w:rsidR="00C47AA7" w:rsidRPr="00A33A7C">
              <w:rPr>
                <w:b w:val="0"/>
                <w:bCs/>
              </w:rPr>
              <w:t>żytki ekologiczne (w ha)</w:t>
            </w:r>
          </w:p>
        </w:tc>
        <w:tc>
          <w:tcPr>
            <w:tcW w:w="1477" w:type="dxa"/>
            <w:noWrap/>
            <w:hideMark/>
          </w:tcPr>
          <w:p w14:paraId="7BBB16E0" w14:textId="64883B52" w:rsidR="00C47AA7" w:rsidRPr="00A2132A" w:rsidRDefault="00C47AA7" w:rsidP="00F84A3C">
            <w:pPr>
              <w:pStyle w:val="elementgraficznytabela"/>
              <w:spacing w:after="240" w:line="259" w:lineRule="auto"/>
              <w:cnfStyle w:val="000000000000" w:firstRow="0" w:lastRow="0" w:firstColumn="0" w:lastColumn="0" w:oddVBand="0" w:evenVBand="0" w:oddHBand="0" w:evenHBand="0" w:firstRowFirstColumn="0" w:firstRowLastColumn="0" w:lastRowFirstColumn="0" w:lastRowLastColumn="0"/>
            </w:pPr>
            <w:r w:rsidRPr="00A2132A">
              <w:t>6</w:t>
            </w:r>
            <w:r w:rsidR="00797E0C">
              <w:t xml:space="preserve"> </w:t>
            </w:r>
            <w:r w:rsidRPr="00A2132A">
              <w:t>042,23</w:t>
            </w:r>
          </w:p>
        </w:tc>
        <w:tc>
          <w:tcPr>
            <w:tcW w:w="1496" w:type="dxa"/>
          </w:tcPr>
          <w:p w14:paraId="53698E3A" w14:textId="3898DE28" w:rsidR="00C47AA7" w:rsidRPr="00A2132A" w:rsidRDefault="00C47AA7" w:rsidP="00F84A3C">
            <w:pPr>
              <w:pStyle w:val="elementgraficznytabela"/>
              <w:spacing w:after="240" w:line="259" w:lineRule="auto"/>
              <w:cnfStyle w:val="000000000000" w:firstRow="0" w:lastRow="0" w:firstColumn="0" w:lastColumn="0" w:oddVBand="0" w:evenVBand="0" w:oddHBand="0" w:evenHBand="0" w:firstRowFirstColumn="0" w:firstRowLastColumn="0" w:lastRowFirstColumn="0" w:lastRowLastColumn="0"/>
            </w:pPr>
            <w:r w:rsidRPr="00A2132A">
              <w:t>1</w:t>
            </w:r>
            <w:r w:rsidR="00797E0C">
              <w:t xml:space="preserve"> </w:t>
            </w:r>
            <w:r w:rsidRPr="00A2132A">
              <w:t>919,24</w:t>
            </w:r>
          </w:p>
        </w:tc>
        <w:tc>
          <w:tcPr>
            <w:tcW w:w="1669" w:type="dxa"/>
          </w:tcPr>
          <w:p w14:paraId="138234D8" w14:textId="77777777" w:rsidR="00C47AA7" w:rsidRPr="00A2132A" w:rsidRDefault="00C47AA7" w:rsidP="00F84A3C">
            <w:pPr>
              <w:pStyle w:val="elementgraficznytabela"/>
              <w:spacing w:after="240" w:line="259" w:lineRule="auto"/>
              <w:cnfStyle w:val="000000000000" w:firstRow="0" w:lastRow="0" w:firstColumn="0" w:lastColumn="0" w:oddVBand="0" w:evenVBand="0" w:oddHBand="0" w:evenHBand="0" w:firstRowFirstColumn="0" w:firstRowLastColumn="0" w:lastRowFirstColumn="0" w:lastRowLastColumn="0"/>
            </w:pPr>
            <w:r w:rsidRPr="00A2132A">
              <w:t>31,76%</w:t>
            </w:r>
          </w:p>
        </w:tc>
        <w:tc>
          <w:tcPr>
            <w:tcW w:w="1688" w:type="dxa"/>
            <w:noWrap/>
            <w:hideMark/>
          </w:tcPr>
          <w:p w14:paraId="0531F9EB" w14:textId="2B518FCA" w:rsidR="00C47AA7" w:rsidRPr="00A2132A" w:rsidRDefault="00C47AA7" w:rsidP="00F84A3C">
            <w:pPr>
              <w:pStyle w:val="elementgraficznytabela"/>
              <w:spacing w:after="240" w:line="259" w:lineRule="auto"/>
              <w:cnfStyle w:val="000000000000" w:firstRow="0" w:lastRow="0" w:firstColumn="0" w:lastColumn="0" w:oddVBand="0" w:evenVBand="0" w:oddHBand="0" w:evenHBand="0" w:firstRowFirstColumn="0" w:firstRowLastColumn="0" w:lastRowFirstColumn="0" w:lastRowLastColumn="0"/>
            </w:pPr>
            <w:r w:rsidRPr="00A2132A">
              <w:t>1</w:t>
            </w:r>
            <w:r w:rsidR="00797E0C">
              <w:t xml:space="preserve"> </w:t>
            </w:r>
            <w:r w:rsidRPr="00A2132A">
              <w:t>076,34</w:t>
            </w:r>
          </w:p>
        </w:tc>
        <w:tc>
          <w:tcPr>
            <w:tcW w:w="1471" w:type="dxa"/>
            <w:noWrap/>
            <w:hideMark/>
          </w:tcPr>
          <w:p w14:paraId="694D6FBB" w14:textId="77777777" w:rsidR="00C47AA7" w:rsidRPr="00A2132A" w:rsidRDefault="00C47AA7" w:rsidP="00F84A3C">
            <w:pPr>
              <w:pStyle w:val="elementgraficznytabela"/>
              <w:spacing w:after="240" w:line="259" w:lineRule="auto"/>
              <w:cnfStyle w:val="000000000000" w:firstRow="0" w:lastRow="0" w:firstColumn="0" w:lastColumn="0" w:oddVBand="0" w:evenVBand="0" w:oddHBand="0" w:evenHBand="0" w:firstRowFirstColumn="0" w:firstRowLastColumn="0" w:lastRowFirstColumn="0" w:lastRowLastColumn="0"/>
            </w:pPr>
            <w:r w:rsidRPr="00A2132A">
              <w:t>0,00</w:t>
            </w:r>
          </w:p>
        </w:tc>
        <w:tc>
          <w:tcPr>
            <w:tcW w:w="1478" w:type="dxa"/>
            <w:noWrap/>
            <w:hideMark/>
          </w:tcPr>
          <w:p w14:paraId="5AC43E16" w14:textId="77777777" w:rsidR="00C47AA7" w:rsidRPr="00A2132A" w:rsidRDefault="00C47AA7" w:rsidP="00F84A3C">
            <w:pPr>
              <w:pStyle w:val="elementgraficznytabela"/>
              <w:spacing w:after="240" w:line="259" w:lineRule="auto"/>
              <w:cnfStyle w:val="000000000000" w:firstRow="0" w:lastRow="0" w:firstColumn="0" w:lastColumn="0" w:oddVBand="0" w:evenVBand="0" w:oddHBand="0" w:evenHBand="0" w:firstRowFirstColumn="0" w:firstRowLastColumn="0" w:lastRowFirstColumn="0" w:lastRowLastColumn="0"/>
            </w:pPr>
            <w:r w:rsidRPr="00A2132A">
              <w:t>600,43</w:t>
            </w:r>
          </w:p>
        </w:tc>
        <w:tc>
          <w:tcPr>
            <w:tcW w:w="1483" w:type="dxa"/>
            <w:noWrap/>
            <w:hideMark/>
          </w:tcPr>
          <w:p w14:paraId="358EB413" w14:textId="77777777" w:rsidR="00C47AA7" w:rsidRPr="00A2132A" w:rsidRDefault="00C47AA7" w:rsidP="00F84A3C">
            <w:pPr>
              <w:pStyle w:val="elementgraficznytabela"/>
              <w:spacing w:after="240" w:line="259" w:lineRule="auto"/>
              <w:cnfStyle w:val="000000000000" w:firstRow="0" w:lastRow="0" w:firstColumn="0" w:lastColumn="0" w:oddVBand="0" w:evenVBand="0" w:oddHBand="0" w:evenHBand="0" w:firstRowFirstColumn="0" w:firstRowLastColumn="0" w:lastRowFirstColumn="0" w:lastRowLastColumn="0"/>
            </w:pPr>
            <w:r w:rsidRPr="00A2132A">
              <w:t>242,47</w:t>
            </w:r>
          </w:p>
        </w:tc>
      </w:tr>
      <w:tr w:rsidR="00C47AA7" w:rsidRPr="003963BA" w14:paraId="663661EC" w14:textId="77777777" w:rsidTr="00E736E3">
        <w:trPr>
          <w:trHeight w:val="289"/>
        </w:trPr>
        <w:tc>
          <w:tcPr>
            <w:cnfStyle w:val="001000000000" w:firstRow="0" w:lastRow="0" w:firstColumn="1" w:lastColumn="0" w:oddVBand="0" w:evenVBand="0" w:oddHBand="0" w:evenHBand="0" w:firstRowFirstColumn="0" w:firstRowLastColumn="0" w:lastRowFirstColumn="0" w:lastRowLastColumn="0"/>
            <w:tcW w:w="3649" w:type="dxa"/>
            <w:hideMark/>
          </w:tcPr>
          <w:p w14:paraId="76E23815" w14:textId="73EB8BAA" w:rsidR="00C47AA7" w:rsidRPr="00A33A7C" w:rsidRDefault="00494C2D" w:rsidP="00F84A3C">
            <w:pPr>
              <w:pStyle w:val="elementgraficznytabela"/>
              <w:spacing w:after="240" w:line="259" w:lineRule="auto"/>
              <w:rPr>
                <w:b w:val="0"/>
                <w:bCs/>
              </w:rPr>
            </w:pPr>
            <w:r>
              <w:rPr>
                <w:b w:val="0"/>
                <w:bCs/>
              </w:rPr>
              <w:t>S</w:t>
            </w:r>
            <w:r w:rsidR="00C47AA7" w:rsidRPr="00A33A7C">
              <w:rPr>
                <w:b w:val="0"/>
                <w:bCs/>
              </w:rPr>
              <w:t>tanowiska dokumentacyjne (w ha)</w:t>
            </w:r>
          </w:p>
        </w:tc>
        <w:tc>
          <w:tcPr>
            <w:tcW w:w="1477" w:type="dxa"/>
            <w:noWrap/>
            <w:hideMark/>
          </w:tcPr>
          <w:p w14:paraId="5F8E7510" w14:textId="77777777" w:rsidR="00C47AA7" w:rsidRPr="00A2132A" w:rsidRDefault="00C47AA7" w:rsidP="00F84A3C">
            <w:pPr>
              <w:pStyle w:val="elementgraficznytabela"/>
              <w:spacing w:after="240" w:line="259" w:lineRule="auto"/>
              <w:cnfStyle w:val="000000000000" w:firstRow="0" w:lastRow="0" w:firstColumn="0" w:lastColumn="0" w:oddVBand="0" w:evenVBand="0" w:oddHBand="0" w:evenHBand="0" w:firstRowFirstColumn="0" w:firstRowLastColumn="0" w:lastRowFirstColumn="0" w:lastRowLastColumn="0"/>
            </w:pPr>
            <w:r w:rsidRPr="00A2132A">
              <w:t>2,00</w:t>
            </w:r>
          </w:p>
        </w:tc>
        <w:tc>
          <w:tcPr>
            <w:tcW w:w="1496" w:type="dxa"/>
          </w:tcPr>
          <w:p w14:paraId="772DD554" w14:textId="77777777" w:rsidR="00C47AA7" w:rsidRPr="00A2132A" w:rsidRDefault="00C47AA7" w:rsidP="00F84A3C">
            <w:pPr>
              <w:pStyle w:val="elementgraficznytabela"/>
              <w:spacing w:after="240" w:line="259" w:lineRule="auto"/>
              <w:cnfStyle w:val="000000000000" w:firstRow="0" w:lastRow="0" w:firstColumn="0" w:lastColumn="0" w:oddVBand="0" w:evenVBand="0" w:oddHBand="0" w:evenHBand="0" w:firstRowFirstColumn="0" w:firstRowLastColumn="0" w:lastRowFirstColumn="0" w:lastRowLastColumn="0"/>
            </w:pPr>
            <w:r w:rsidRPr="00A2132A">
              <w:t>0,00</w:t>
            </w:r>
          </w:p>
        </w:tc>
        <w:tc>
          <w:tcPr>
            <w:tcW w:w="1669" w:type="dxa"/>
          </w:tcPr>
          <w:p w14:paraId="345DF4A6" w14:textId="77777777" w:rsidR="00C47AA7" w:rsidRPr="00A2132A" w:rsidRDefault="00C47AA7" w:rsidP="00F84A3C">
            <w:pPr>
              <w:pStyle w:val="elementgraficznytabela"/>
              <w:spacing w:after="240" w:line="259" w:lineRule="auto"/>
              <w:cnfStyle w:val="000000000000" w:firstRow="0" w:lastRow="0" w:firstColumn="0" w:lastColumn="0" w:oddVBand="0" w:evenVBand="0" w:oddHBand="0" w:evenHBand="0" w:firstRowFirstColumn="0" w:firstRowLastColumn="0" w:lastRowFirstColumn="0" w:lastRowLastColumn="0"/>
            </w:pPr>
            <w:r w:rsidRPr="00A2132A">
              <w:t>0%</w:t>
            </w:r>
          </w:p>
        </w:tc>
        <w:tc>
          <w:tcPr>
            <w:tcW w:w="1688" w:type="dxa"/>
            <w:noWrap/>
            <w:hideMark/>
          </w:tcPr>
          <w:p w14:paraId="137F44F9" w14:textId="77777777" w:rsidR="00C47AA7" w:rsidRPr="00A2132A" w:rsidRDefault="00C47AA7" w:rsidP="00F84A3C">
            <w:pPr>
              <w:pStyle w:val="elementgraficznytabela"/>
              <w:spacing w:after="240" w:line="259" w:lineRule="auto"/>
              <w:cnfStyle w:val="000000000000" w:firstRow="0" w:lastRow="0" w:firstColumn="0" w:lastColumn="0" w:oddVBand="0" w:evenVBand="0" w:oddHBand="0" w:evenHBand="0" w:firstRowFirstColumn="0" w:firstRowLastColumn="0" w:lastRowFirstColumn="0" w:lastRowLastColumn="0"/>
            </w:pPr>
            <w:r w:rsidRPr="00A2132A">
              <w:t>0,00</w:t>
            </w:r>
          </w:p>
        </w:tc>
        <w:tc>
          <w:tcPr>
            <w:tcW w:w="1471" w:type="dxa"/>
            <w:noWrap/>
            <w:hideMark/>
          </w:tcPr>
          <w:p w14:paraId="1485AE92" w14:textId="77777777" w:rsidR="00C47AA7" w:rsidRPr="00A2132A" w:rsidRDefault="00C47AA7" w:rsidP="00F84A3C">
            <w:pPr>
              <w:pStyle w:val="elementgraficznytabela"/>
              <w:spacing w:after="240" w:line="259" w:lineRule="auto"/>
              <w:cnfStyle w:val="000000000000" w:firstRow="0" w:lastRow="0" w:firstColumn="0" w:lastColumn="0" w:oddVBand="0" w:evenVBand="0" w:oddHBand="0" w:evenHBand="0" w:firstRowFirstColumn="0" w:firstRowLastColumn="0" w:lastRowFirstColumn="0" w:lastRowLastColumn="0"/>
            </w:pPr>
            <w:r w:rsidRPr="00A2132A">
              <w:t>0,00</w:t>
            </w:r>
          </w:p>
        </w:tc>
        <w:tc>
          <w:tcPr>
            <w:tcW w:w="1478" w:type="dxa"/>
            <w:noWrap/>
            <w:hideMark/>
          </w:tcPr>
          <w:p w14:paraId="6786CDA9" w14:textId="77777777" w:rsidR="00C47AA7" w:rsidRPr="00A2132A" w:rsidRDefault="00C47AA7" w:rsidP="00F84A3C">
            <w:pPr>
              <w:pStyle w:val="elementgraficznytabela"/>
              <w:spacing w:after="240" w:line="259" w:lineRule="auto"/>
              <w:cnfStyle w:val="000000000000" w:firstRow="0" w:lastRow="0" w:firstColumn="0" w:lastColumn="0" w:oddVBand="0" w:evenVBand="0" w:oddHBand="0" w:evenHBand="0" w:firstRowFirstColumn="0" w:firstRowLastColumn="0" w:lastRowFirstColumn="0" w:lastRowLastColumn="0"/>
            </w:pPr>
            <w:r w:rsidRPr="00A2132A">
              <w:t>0,00</w:t>
            </w:r>
          </w:p>
        </w:tc>
        <w:tc>
          <w:tcPr>
            <w:tcW w:w="1483" w:type="dxa"/>
            <w:noWrap/>
            <w:hideMark/>
          </w:tcPr>
          <w:p w14:paraId="398CB632" w14:textId="77777777" w:rsidR="00C47AA7" w:rsidRPr="00A2132A" w:rsidRDefault="00C47AA7" w:rsidP="00F84A3C">
            <w:pPr>
              <w:pStyle w:val="elementgraficznytabela"/>
              <w:spacing w:after="240" w:line="259" w:lineRule="auto"/>
              <w:cnfStyle w:val="000000000000" w:firstRow="0" w:lastRow="0" w:firstColumn="0" w:lastColumn="0" w:oddVBand="0" w:evenVBand="0" w:oddHBand="0" w:evenHBand="0" w:firstRowFirstColumn="0" w:firstRowLastColumn="0" w:lastRowFirstColumn="0" w:lastRowLastColumn="0"/>
            </w:pPr>
            <w:r w:rsidRPr="00A2132A">
              <w:t>0,00</w:t>
            </w:r>
          </w:p>
        </w:tc>
      </w:tr>
      <w:tr w:rsidR="00C47AA7" w:rsidRPr="003963BA" w14:paraId="2E777BC1" w14:textId="77777777" w:rsidTr="00E736E3">
        <w:trPr>
          <w:trHeight w:val="289"/>
        </w:trPr>
        <w:tc>
          <w:tcPr>
            <w:cnfStyle w:val="001000000000" w:firstRow="0" w:lastRow="0" w:firstColumn="1" w:lastColumn="0" w:oddVBand="0" w:evenVBand="0" w:oddHBand="0" w:evenHBand="0" w:firstRowFirstColumn="0" w:firstRowLastColumn="0" w:lastRowFirstColumn="0" w:lastRowLastColumn="0"/>
            <w:tcW w:w="3649" w:type="dxa"/>
            <w:hideMark/>
          </w:tcPr>
          <w:p w14:paraId="4F5778B2" w14:textId="2B4A7A96" w:rsidR="00C47AA7" w:rsidRPr="00A33A7C" w:rsidRDefault="00494C2D" w:rsidP="00F84A3C">
            <w:pPr>
              <w:pStyle w:val="elementgraficznytabela"/>
              <w:spacing w:after="240" w:line="259" w:lineRule="auto"/>
              <w:rPr>
                <w:b w:val="0"/>
                <w:bCs/>
              </w:rPr>
            </w:pPr>
            <w:r>
              <w:rPr>
                <w:b w:val="0"/>
                <w:bCs/>
              </w:rPr>
              <w:t>Z</w:t>
            </w:r>
            <w:r w:rsidR="00C47AA7" w:rsidRPr="00A33A7C">
              <w:rPr>
                <w:b w:val="0"/>
                <w:bCs/>
              </w:rPr>
              <w:t>espoły przyrodniczo-krajobrazowe (w ha)</w:t>
            </w:r>
          </w:p>
        </w:tc>
        <w:tc>
          <w:tcPr>
            <w:tcW w:w="1477" w:type="dxa"/>
            <w:noWrap/>
            <w:hideMark/>
          </w:tcPr>
          <w:p w14:paraId="69BE15F6" w14:textId="47249259" w:rsidR="00C47AA7" w:rsidRPr="00A2132A" w:rsidRDefault="00C47AA7" w:rsidP="00F84A3C">
            <w:pPr>
              <w:pStyle w:val="elementgraficznytabela"/>
              <w:spacing w:after="240" w:line="259" w:lineRule="auto"/>
              <w:cnfStyle w:val="000000000000" w:firstRow="0" w:lastRow="0" w:firstColumn="0" w:lastColumn="0" w:oddVBand="0" w:evenVBand="0" w:oddHBand="0" w:evenHBand="0" w:firstRowFirstColumn="0" w:firstRowLastColumn="0" w:lastRowFirstColumn="0" w:lastRowLastColumn="0"/>
            </w:pPr>
            <w:r w:rsidRPr="00A2132A">
              <w:t>24</w:t>
            </w:r>
            <w:r w:rsidR="00797E0C">
              <w:t xml:space="preserve"> </w:t>
            </w:r>
            <w:r w:rsidRPr="00A2132A">
              <w:t>517,31</w:t>
            </w:r>
          </w:p>
        </w:tc>
        <w:tc>
          <w:tcPr>
            <w:tcW w:w="1496" w:type="dxa"/>
          </w:tcPr>
          <w:p w14:paraId="3C5D5B47" w14:textId="232E5984" w:rsidR="00C47AA7" w:rsidRPr="00A2132A" w:rsidRDefault="00C47AA7" w:rsidP="00F84A3C">
            <w:pPr>
              <w:pStyle w:val="elementgraficznytabela"/>
              <w:spacing w:after="240" w:line="259" w:lineRule="auto"/>
              <w:cnfStyle w:val="000000000000" w:firstRow="0" w:lastRow="0" w:firstColumn="0" w:lastColumn="0" w:oddVBand="0" w:evenVBand="0" w:oddHBand="0" w:evenHBand="0" w:firstRowFirstColumn="0" w:firstRowLastColumn="0" w:lastRowFirstColumn="0" w:lastRowLastColumn="0"/>
            </w:pPr>
            <w:r w:rsidRPr="00A2132A">
              <w:t>7</w:t>
            </w:r>
            <w:r w:rsidR="00797E0C">
              <w:t xml:space="preserve"> </w:t>
            </w:r>
            <w:r w:rsidRPr="00A2132A">
              <w:t>056,43</w:t>
            </w:r>
          </w:p>
        </w:tc>
        <w:tc>
          <w:tcPr>
            <w:tcW w:w="1669" w:type="dxa"/>
          </w:tcPr>
          <w:p w14:paraId="6483959F" w14:textId="77777777" w:rsidR="00C47AA7" w:rsidRPr="00A2132A" w:rsidRDefault="00C47AA7" w:rsidP="00F84A3C">
            <w:pPr>
              <w:pStyle w:val="elementgraficznytabela"/>
              <w:spacing w:after="240" w:line="259" w:lineRule="auto"/>
              <w:cnfStyle w:val="000000000000" w:firstRow="0" w:lastRow="0" w:firstColumn="0" w:lastColumn="0" w:oddVBand="0" w:evenVBand="0" w:oddHBand="0" w:evenHBand="0" w:firstRowFirstColumn="0" w:firstRowLastColumn="0" w:lastRowFirstColumn="0" w:lastRowLastColumn="0"/>
            </w:pPr>
            <w:r w:rsidRPr="00A2132A">
              <w:t>28,78%</w:t>
            </w:r>
          </w:p>
        </w:tc>
        <w:tc>
          <w:tcPr>
            <w:tcW w:w="1688" w:type="dxa"/>
            <w:noWrap/>
            <w:hideMark/>
          </w:tcPr>
          <w:p w14:paraId="270FE502" w14:textId="77777777" w:rsidR="00C47AA7" w:rsidRPr="00A2132A" w:rsidRDefault="00C47AA7" w:rsidP="00F84A3C">
            <w:pPr>
              <w:pStyle w:val="elementgraficznytabela"/>
              <w:spacing w:after="240" w:line="259" w:lineRule="auto"/>
              <w:cnfStyle w:val="000000000000" w:firstRow="0" w:lastRow="0" w:firstColumn="0" w:lastColumn="0" w:oddVBand="0" w:evenVBand="0" w:oddHBand="0" w:evenHBand="0" w:firstRowFirstColumn="0" w:firstRowLastColumn="0" w:lastRowFirstColumn="0" w:lastRowLastColumn="0"/>
            </w:pPr>
            <w:r w:rsidRPr="00A2132A">
              <w:t>365,00</w:t>
            </w:r>
          </w:p>
        </w:tc>
        <w:tc>
          <w:tcPr>
            <w:tcW w:w="1471" w:type="dxa"/>
            <w:noWrap/>
            <w:hideMark/>
          </w:tcPr>
          <w:p w14:paraId="27D134F3" w14:textId="77777777" w:rsidR="00C47AA7" w:rsidRPr="00A2132A" w:rsidRDefault="00C47AA7" w:rsidP="00F84A3C">
            <w:pPr>
              <w:pStyle w:val="elementgraficznytabela"/>
              <w:spacing w:after="240" w:line="259" w:lineRule="auto"/>
              <w:cnfStyle w:val="000000000000" w:firstRow="0" w:lastRow="0" w:firstColumn="0" w:lastColumn="0" w:oddVBand="0" w:evenVBand="0" w:oddHBand="0" w:evenHBand="0" w:firstRowFirstColumn="0" w:firstRowLastColumn="0" w:lastRowFirstColumn="0" w:lastRowLastColumn="0"/>
            </w:pPr>
            <w:r w:rsidRPr="00A2132A">
              <w:t>620,00</w:t>
            </w:r>
          </w:p>
        </w:tc>
        <w:tc>
          <w:tcPr>
            <w:tcW w:w="1478" w:type="dxa"/>
            <w:noWrap/>
            <w:hideMark/>
          </w:tcPr>
          <w:p w14:paraId="1FE92319" w14:textId="77777777" w:rsidR="00C47AA7" w:rsidRPr="00A2132A" w:rsidRDefault="00C47AA7" w:rsidP="00F84A3C">
            <w:pPr>
              <w:pStyle w:val="elementgraficznytabela"/>
              <w:spacing w:after="240" w:line="259" w:lineRule="auto"/>
              <w:cnfStyle w:val="000000000000" w:firstRow="0" w:lastRow="0" w:firstColumn="0" w:lastColumn="0" w:oddVBand="0" w:evenVBand="0" w:oddHBand="0" w:evenHBand="0" w:firstRowFirstColumn="0" w:firstRowLastColumn="0" w:lastRowFirstColumn="0" w:lastRowLastColumn="0"/>
            </w:pPr>
            <w:r w:rsidRPr="00A2132A">
              <w:t>0,00</w:t>
            </w:r>
          </w:p>
        </w:tc>
        <w:tc>
          <w:tcPr>
            <w:tcW w:w="1483" w:type="dxa"/>
            <w:noWrap/>
            <w:hideMark/>
          </w:tcPr>
          <w:p w14:paraId="4DF4413C" w14:textId="09E273FE" w:rsidR="00C47AA7" w:rsidRPr="00A2132A" w:rsidRDefault="00C47AA7" w:rsidP="00F84A3C">
            <w:pPr>
              <w:pStyle w:val="elementgraficznytabela"/>
              <w:spacing w:after="240" w:line="259" w:lineRule="auto"/>
              <w:cnfStyle w:val="000000000000" w:firstRow="0" w:lastRow="0" w:firstColumn="0" w:lastColumn="0" w:oddVBand="0" w:evenVBand="0" w:oddHBand="0" w:evenHBand="0" w:firstRowFirstColumn="0" w:firstRowLastColumn="0" w:lastRowFirstColumn="0" w:lastRowLastColumn="0"/>
            </w:pPr>
            <w:r w:rsidRPr="00A2132A">
              <w:t>6</w:t>
            </w:r>
            <w:r w:rsidR="00797E0C">
              <w:t xml:space="preserve"> </w:t>
            </w:r>
            <w:r w:rsidRPr="00A2132A">
              <w:t>071,43</w:t>
            </w:r>
          </w:p>
        </w:tc>
      </w:tr>
      <w:tr w:rsidR="00C47AA7" w:rsidRPr="003963BA" w14:paraId="6287D14C" w14:textId="77777777" w:rsidTr="00E736E3">
        <w:trPr>
          <w:trHeight w:val="289"/>
        </w:trPr>
        <w:tc>
          <w:tcPr>
            <w:cnfStyle w:val="001000000000" w:firstRow="0" w:lastRow="0" w:firstColumn="1" w:lastColumn="0" w:oddVBand="0" w:evenVBand="0" w:oddHBand="0" w:evenHBand="0" w:firstRowFirstColumn="0" w:firstRowLastColumn="0" w:lastRowFirstColumn="0" w:lastRowLastColumn="0"/>
            <w:tcW w:w="3649" w:type="dxa"/>
            <w:noWrap/>
            <w:hideMark/>
          </w:tcPr>
          <w:p w14:paraId="38D3769A" w14:textId="3E4184A0" w:rsidR="00C47AA7" w:rsidRPr="00A33A7C" w:rsidRDefault="00494C2D" w:rsidP="00F84A3C">
            <w:pPr>
              <w:pStyle w:val="elementgraficznytabela"/>
              <w:spacing w:after="240" w:line="259" w:lineRule="auto"/>
              <w:rPr>
                <w:b w:val="0"/>
                <w:bCs/>
              </w:rPr>
            </w:pPr>
            <w:r>
              <w:rPr>
                <w:b w:val="0"/>
                <w:bCs/>
              </w:rPr>
              <w:t>P</w:t>
            </w:r>
            <w:r w:rsidR="00C47AA7" w:rsidRPr="00A33A7C">
              <w:rPr>
                <w:b w:val="0"/>
                <w:bCs/>
              </w:rPr>
              <w:t>omniki przyrody (w szt.)</w:t>
            </w:r>
          </w:p>
        </w:tc>
        <w:tc>
          <w:tcPr>
            <w:tcW w:w="1477" w:type="dxa"/>
            <w:noWrap/>
            <w:hideMark/>
          </w:tcPr>
          <w:p w14:paraId="2379C378" w14:textId="77777777" w:rsidR="00C47AA7" w:rsidRPr="00A2132A" w:rsidRDefault="00C47AA7" w:rsidP="00F84A3C">
            <w:pPr>
              <w:pStyle w:val="elementgraficznytabela"/>
              <w:spacing w:after="240" w:line="259" w:lineRule="auto"/>
              <w:cnfStyle w:val="000000000000" w:firstRow="0" w:lastRow="0" w:firstColumn="0" w:lastColumn="0" w:oddVBand="0" w:evenVBand="0" w:oddHBand="0" w:evenHBand="0" w:firstRowFirstColumn="0" w:firstRowLastColumn="0" w:lastRowFirstColumn="0" w:lastRowLastColumn="0"/>
            </w:pPr>
            <w:r w:rsidRPr="00A2132A">
              <w:t>2.330</w:t>
            </w:r>
          </w:p>
        </w:tc>
        <w:tc>
          <w:tcPr>
            <w:tcW w:w="1496" w:type="dxa"/>
          </w:tcPr>
          <w:p w14:paraId="114C9E0D" w14:textId="77777777" w:rsidR="00C47AA7" w:rsidRPr="00A2132A" w:rsidRDefault="00C47AA7" w:rsidP="00F84A3C">
            <w:pPr>
              <w:pStyle w:val="elementgraficznytabela"/>
              <w:spacing w:after="240" w:line="259" w:lineRule="auto"/>
              <w:cnfStyle w:val="000000000000" w:firstRow="0" w:lastRow="0" w:firstColumn="0" w:lastColumn="0" w:oddVBand="0" w:evenVBand="0" w:oddHBand="0" w:evenHBand="0" w:firstRowFirstColumn="0" w:firstRowLastColumn="0" w:lastRowFirstColumn="0" w:lastRowLastColumn="0"/>
            </w:pPr>
            <w:r w:rsidRPr="00A2132A">
              <w:t>362</w:t>
            </w:r>
          </w:p>
        </w:tc>
        <w:tc>
          <w:tcPr>
            <w:tcW w:w="1669" w:type="dxa"/>
          </w:tcPr>
          <w:p w14:paraId="435808D4" w14:textId="77777777" w:rsidR="00C47AA7" w:rsidRPr="00A2132A" w:rsidRDefault="00C47AA7" w:rsidP="00F84A3C">
            <w:pPr>
              <w:pStyle w:val="elementgraficznytabela"/>
              <w:spacing w:after="240" w:line="259" w:lineRule="auto"/>
              <w:cnfStyle w:val="000000000000" w:firstRow="0" w:lastRow="0" w:firstColumn="0" w:lastColumn="0" w:oddVBand="0" w:evenVBand="0" w:oddHBand="0" w:evenHBand="0" w:firstRowFirstColumn="0" w:firstRowLastColumn="0" w:lastRowFirstColumn="0" w:lastRowLastColumn="0"/>
            </w:pPr>
            <w:r w:rsidRPr="00A2132A">
              <w:t>15,54%</w:t>
            </w:r>
          </w:p>
        </w:tc>
        <w:tc>
          <w:tcPr>
            <w:tcW w:w="1688" w:type="dxa"/>
            <w:noWrap/>
            <w:hideMark/>
          </w:tcPr>
          <w:p w14:paraId="23577805" w14:textId="77777777" w:rsidR="00C47AA7" w:rsidRPr="00A2132A" w:rsidRDefault="00C47AA7" w:rsidP="00F84A3C">
            <w:pPr>
              <w:pStyle w:val="elementgraficznytabela"/>
              <w:spacing w:after="240" w:line="259" w:lineRule="auto"/>
              <w:cnfStyle w:val="000000000000" w:firstRow="0" w:lastRow="0" w:firstColumn="0" w:lastColumn="0" w:oddVBand="0" w:evenVBand="0" w:oddHBand="0" w:evenHBand="0" w:firstRowFirstColumn="0" w:firstRowLastColumn="0" w:lastRowFirstColumn="0" w:lastRowLastColumn="0"/>
            </w:pPr>
            <w:r w:rsidRPr="00A2132A">
              <w:t>101</w:t>
            </w:r>
          </w:p>
        </w:tc>
        <w:tc>
          <w:tcPr>
            <w:tcW w:w="1471" w:type="dxa"/>
            <w:noWrap/>
            <w:hideMark/>
          </w:tcPr>
          <w:p w14:paraId="6DA42AD6" w14:textId="77777777" w:rsidR="00C47AA7" w:rsidRPr="00A2132A" w:rsidRDefault="00C47AA7" w:rsidP="00F84A3C">
            <w:pPr>
              <w:pStyle w:val="elementgraficznytabela"/>
              <w:spacing w:after="240" w:line="259" w:lineRule="auto"/>
              <w:cnfStyle w:val="000000000000" w:firstRow="0" w:lastRow="0" w:firstColumn="0" w:lastColumn="0" w:oddVBand="0" w:evenVBand="0" w:oddHBand="0" w:evenHBand="0" w:firstRowFirstColumn="0" w:firstRowLastColumn="0" w:lastRowFirstColumn="0" w:lastRowLastColumn="0"/>
            </w:pPr>
            <w:r w:rsidRPr="00A2132A">
              <w:t>22</w:t>
            </w:r>
          </w:p>
        </w:tc>
        <w:tc>
          <w:tcPr>
            <w:tcW w:w="1478" w:type="dxa"/>
            <w:noWrap/>
            <w:hideMark/>
          </w:tcPr>
          <w:p w14:paraId="4E0C3779" w14:textId="77777777" w:rsidR="00C47AA7" w:rsidRPr="00A2132A" w:rsidRDefault="00C47AA7" w:rsidP="00F84A3C">
            <w:pPr>
              <w:pStyle w:val="elementgraficznytabela"/>
              <w:spacing w:after="240" w:line="259" w:lineRule="auto"/>
              <w:cnfStyle w:val="000000000000" w:firstRow="0" w:lastRow="0" w:firstColumn="0" w:lastColumn="0" w:oddVBand="0" w:evenVBand="0" w:oddHBand="0" w:evenHBand="0" w:firstRowFirstColumn="0" w:firstRowLastColumn="0" w:lastRowFirstColumn="0" w:lastRowLastColumn="0"/>
            </w:pPr>
            <w:r w:rsidRPr="00A2132A">
              <w:t>123</w:t>
            </w:r>
          </w:p>
        </w:tc>
        <w:tc>
          <w:tcPr>
            <w:tcW w:w="1483" w:type="dxa"/>
            <w:noWrap/>
            <w:hideMark/>
          </w:tcPr>
          <w:p w14:paraId="45B8EDCE" w14:textId="77777777" w:rsidR="00C47AA7" w:rsidRPr="00A2132A" w:rsidRDefault="00C47AA7" w:rsidP="00F84A3C">
            <w:pPr>
              <w:pStyle w:val="elementgraficznytabela"/>
              <w:spacing w:after="240" w:line="259" w:lineRule="auto"/>
              <w:cnfStyle w:val="000000000000" w:firstRow="0" w:lastRow="0" w:firstColumn="0" w:lastColumn="0" w:oddVBand="0" w:evenVBand="0" w:oddHBand="0" w:evenHBand="0" w:firstRowFirstColumn="0" w:firstRowLastColumn="0" w:lastRowFirstColumn="0" w:lastRowLastColumn="0"/>
            </w:pPr>
            <w:r w:rsidRPr="00A2132A">
              <w:t>116</w:t>
            </w:r>
          </w:p>
        </w:tc>
      </w:tr>
    </w:tbl>
    <w:p w14:paraId="21F7D541" w14:textId="6AE84643" w:rsidR="00C47AA7" w:rsidRPr="00733091" w:rsidRDefault="00C47AA7" w:rsidP="00733091">
      <w:pPr>
        <w:pStyle w:val="podpiselementu"/>
        <w:spacing w:after="240"/>
        <w:rPr>
          <w:lang w:val="pl-PL"/>
        </w:rPr>
      </w:pPr>
      <w:r w:rsidRPr="00733091">
        <w:rPr>
          <w:lang w:val="pl-PL"/>
        </w:rPr>
        <w:t>Źródło: opracowanie własne na podstawie danych BDL.</w:t>
      </w:r>
    </w:p>
    <w:p w14:paraId="170EC943" w14:textId="77777777" w:rsidR="00797E0C" w:rsidRDefault="00797E0C" w:rsidP="002E24A9">
      <w:pPr>
        <w:pStyle w:val="Legenda"/>
        <w:rPr>
          <w:lang w:val="pl-PL"/>
        </w:rPr>
        <w:sectPr w:rsidR="00797E0C" w:rsidSect="00E736E3">
          <w:pgSz w:w="16838" w:h="11906" w:orient="landscape"/>
          <w:pgMar w:top="1418" w:right="1418" w:bottom="1418" w:left="1701" w:header="709" w:footer="709" w:gutter="0"/>
          <w:cols w:space="708"/>
          <w:docGrid w:linePitch="360"/>
        </w:sectPr>
      </w:pPr>
    </w:p>
    <w:p w14:paraId="3C4EA83B" w14:textId="73C6C3B7" w:rsidR="00BA5A72" w:rsidRPr="00733091" w:rsidRDefault="00BA5A72" w:rsidP="002E24A9">
      <w:pPr>
        <w:pStyle w:val="Legenda"/>
        <w:rPr>
          <w:lang w:val="pl-PL"/>
        </w:rPr>
      </w:pPr>
      <w:bookmarkStart w:id="149" w:name="_Toc69596614"/>
      <w:r w:rsidRPr="00733091">
        <w:rPr>
          <w:lang w:val="pl-PL"/>
        </w:rPr>
        <w:lastRenderedPageBreak/>
        <w:t xml:space="preserve">Mapa </w:t>
      </w:r>
      <w:r w:rsidR="00733091">
        <w:fldChar w:fldCharType="begin"/>
      </w:r>
      <w:r w:rsidR="00733091" w:rsidRPr="00733091">
        <w:rPr>
          <w:lang w:val="pl-PL"/>
        </w:rPr>
        <w:instrText xml:space="preserve"> SEQ Mapa \* ARABIC </w:instrText>
      </w:r>
      <w:r w:rsidR="00733091">
        <w:fldChar w:fldCharType="separate"/>
      </w:r>
      <w:r w:rsidR="00B14787">
        <w:rPr>
          <w:noProof/>
          <w:lang w:val="pl-PL"/>
        </w:rPr>
        <w:t>14</w:t>
      </w:r>
      <w:r w:rsidR="00733091">
        <w:rPr>
          <w:noProof/>
        </w:rPr>
        <w:fldChar w:fldCharType="end"/>
      </w:r>
      <w:r w:rsidRPr="00733091">
        <w:rPr>
          <w:lang w:val="pl-PL"/>
        </w:rPr>
        <w:t>: Formy ochrony przyrody</w:t>
      </w:r>
      <w:bookmarkEnd w:id="149"/>
    </w:p>
    <w:p w14:paraId="3BBCEAF7" w14:textId="77777777" w:rsidR="00C47AA7" w:rsidRPr="00733091" w:rsidRDefault="00C47AA7" w:rsidP="00733091">
      <w:pPr>
        <w:pStyle w:val="podpiselementu"/>
        <w:spacing w:after="240"/>
        <w:rPr>
          <w:lang w:val="pl-PL"/>
        </w:rPr>
      </w:pPr>
      <w:r w:rsidRPr="003C78E2">
        <w:rPr>
          <w:noProof/>
        </w:rPr>
        <w:drawing>
          <wp:inline distT="0" distB="0" distL="0" distR="0" wp14:anchorId="5CB41D3C" wp14:editId="4FC201AB">
            <wp:extent cx="5756699" cy="3676650"/>
            <wp:effectExtent l="19050" t="19050" r="15875" b="19050"/>
            <wp:docPr id="67" name="Obraz 67" descr="mapa części województwa warmińsko-mazurskiego pokazująca formy ochrony przyrody: rezerwaty (kolor czerwony), Natura 2000 PLH (kolor pomarańczowy, obszary chronionego krajobrazu (kolor zielony), parki krajobrazowe (zielone kropki), Natura 2000 PLB (pomarańczowe paski), pomniki przyrody (zielone krop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Obraz 67" descr="mapa części województwa warmińsko-mazurskiego pokazująca formy ochrony przyrody: rezerwaty (kolor czerwony), Natura 2000 PLH (kolor pomarańczowy, obszary chronionego krajobrazu (kolor zielony), parki krajobrazowe (zielone kropki), Natura 2000 PLB (pomarańczowe paski), pomniki przyrody (zielone kropki)]"/>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5837137" cy="3728024"/>
                    </a:xfrm>
                    <a:prstGeom prst="rect">
                      <a:avLst/>
                    </a:prstGeom>
                    <a:noFill/>
                    <a:ln>
                      <a:solidFill>
                        <a:schemeClr val="tx2"/>
                      </a:solidFill>
                    </a:ln>
                  </pic:spPr>
                </pic:pic>
              </a:graphicData>
            </a:graphic>
          </wp:inline>
        </w:drawing>
      </w:r>
      <w:r w:rsidRPr="00733091">
        <w:rPr>
          <w:lang w:val="pl-PL"/>
        </w:rPr>
        <w:br/>
        <w:t>Źródło: opracowanie ZMP na podstawie danych GDOŚ</w:t>
      </w:r>
    </w:p>
    <w:p w14:paraId="08EC515F" w14:textId="77777777" w:rsidR="00C47AA7" w:rsidRPr="00733091" w:rsidRDefault="00C47AA7" w:rsidP="00733091">
      <w:pPr>
        <w:contextualSpacing/>
        <w:rPr>
          <w:rFonts w:cstheme="minorHAnsi"/>
          <w:lang w:val="pl-PL"/>
        </w:rPr>
      </w:pPr>
    </w:p>
    <w:p w14:paraId="6CFA62FB" w14:textId="66502881" w:rsidR="00C47AA7" w:rsidRPr="00733091" w:rsidRDefault="00C47AA7" w:rsidP="00733091">
      <w:pPr>
        <w:rPr>
          <w:lang w:val="pl-PL"/>
        </w:rPr>
      </w:pPr>
      <w:r w:rsidRPr="00733091">
        <w:rPr>
          <w:lang w:val="pl-PL"/>
        </w:rPr>
        <w:t xml:space="preserve">Tereny zielone (w szczególności lasy) Południowych Mazur są jednym z kluczowych zasobów Partnerstwa.  Jednakże </w:t>
      </w:r>
      <w:r w:rsidRPr="00733091">
        <w:rPr>
          <w:b/>
          <w:bCs/>
          <w:lang w:val="pl-PL"/>
        </w:rPr>
        <w:t>rodzaj i zakres ochrony prawnej terenów cennych przyrodniczo</w:t>
      </w:r>
      <w:r w:rsidRPr="00733091">
        <w:rPr>
          <w:lang w:val="pl-PL"/>
        </w:rPr>
        <w:t xml:space="preserve">: parków krajobrazowych, obszarów chronionego krajobrazu, obszaru Natura 2000 (ograniczenia w użytkowaniu, w tym zakazy zabudowy, zakazy inwestycyjne) zestawione z dużym nasyceniem Partnerstwa obszarami prawnie chronionymi </w:t>
      </w:r>
      <w:r w:rsidRPr="00733091">
        <w:rPr>
          <w:b/>
          <w:bCs/>
          <w:lang w:val="pl-PL"/>
        </w:rPr>
        <w:t>może wpływać negatywnie na rozwój gospodarczy Partnerstwa</w:t>
      </w:r>
      <w:r w:rsidRPr="00733091">
        <w:rPr>
          <w:lang w:val="pl-PL"/>
        </w:rPr>
        <w:t>.</w:t>
      </w:r>
    </w:p>
    <w:p w14:paraId="2AF5A855" w14:textId="392AEAFA" w:rsidR="001E162D" w:rsidRPr="00690E7F" w:rsidRDefault="004E158E" w:rsidP="00733091">
      <w:pPr>
        <w:pStyle w:val="Nagwek4"/>
        <w:spacing w:before="120" w:after="240"/>
      </w:pPr>
      <w:r w:rsidRPr="004E158E">
        <w:t>Jakość powietrza na obszarze Partnerstwa</w:t>
      </w:r>
    </w:p>
    <w:p w14:paraId="08203B96" w14:textId="3E3D6202" w:rsidR="00F00D78" w:rsidRPr="00733091" w:rsidRDefault="00F00D78" w:rsidP="00F84A3C">
      <w:pPr>
        <w:rPr>
          <w:lang w:val="pl-PL"/>
        </w:rPr>
      </w:pPr>
      <w:r w:rsidRPr="00733091">
        <w:rPr>
          <w:lang w:val="pl-PL"/>
        </w:rPr>
        <w:t>Jakość powietrza na terenie Południowych Mazur kształtowana jest przede wszystkim przez rozkład przestrzenny i wielkość emisji zanieczyszczeń ze źródeł stacjonarnych i mobilnych, napływowych (transgranicznych) oraz przemian fizykochemicznych zachodzących w atmosferze</w:t>
      </w:r>
      <w:r w:rsidRPr="000250BB">
        <w:rPr>
          <w:rStyle w:val="Odwoanieprzypisudolnego"/>
          <w:rFonts w:cstheme="minorHAnsi"/>
        </w:rPr>
        <w:footnoteReference w:id="99"/>
      </w:r>
      <w:r w:rsidRPr="00733091">
        <w:rPr>
          <w:lang w:val="pl-PL"/>
        </w:rPr>
        <w:t>.</w:t>
      </w:r>
    </w:p>
    <w:p w14:paraId="579A8ECE" w14:textId="53E5AFB5" w:rsidR="00F00D78" w:rsidRPr="00733091" w:rsidRDefault="00F00D78" w:rsidP="00733091">
      <w:pPr>
        <w:rPr>
          <w:lang w:val="pl-PL"/>
        </w:rPr>
      </w:pPr>
      <w:r w:rsidRPr="00733091">
        <w:rPr>
          <w:lang w:val="pl-PL"/>
        </w:rPr>
        <w:lastRenderedPageBreak/>
        <w:t xml:space="preserve">Na koniec 2019 r. zakłady szczególnie uciążliwe zlokalizowane na obszarze Partnerstwa wyemitowały łącznie 200.354 tony zanieczyszczeń gazowych oraz 103 tony zanieczyszczeń pyłowych, co stanowiło odpowiednio 11,6% i 16,3% emisji </w:t>
      </w:r>
      <w:r w:rsidR="00F84A3C">
        <w:rPr>
          <w:lang w:val="pl-PL"/>
        </w:rPr>
        <w:br/>
      </w:r>
      <w:r w:rsidRPr="00733091">
        <w:rPr>
          <w:lang w:val="pl-PL"/>
        </w:rPr>
        <w:t>w skali województwa. Niemal całość (99,4%) zanieczyszczeń gazowych przypadała na dwutlenek węgla, z czego niemal połowa (41,3%) wytworzona została na terenie powiatu piskiego.</w:t>
      </w:r>
    </w:p>
    <w:p w14:paraId="4F28B642" w14:textId="4A92FE92" w:rsidR="00F00D78" w:rsidRPr="002B3D05" w:rsidRDefault="00F00D78" w:rsidP="002B3D05">
      <w:pPr>
        <w:rPr>
          <w:lang w:val="pl-PL"/>
        </w:rPr>
      </w:pPr>
      <w:r w:rsidRPr="00733091">
        <w:rPr>
          <w:lang w:val="pl-PL"/>
        </w:rPr>
        <w:t>W latach 2012-2019</w:t>
      </w:r>
      <w:r w:rsidRPr="000250BB">
        <w:rPr>
          <w:rStyle w:val="Odwoanieprzypisudolnego"/>
          <w:rFonts w:cstheme="minorHAnsi"/>
        </w:rPr>
        <w:footnoteReference w:id="100"/>
      </w:r>
      <w:r w:rsidRPr="00733091">
        <w:rPr>
          <w:lang w:val="pl-PL"/>
        </w:rPr>
        <w:t xml:space="preserve"> emisja zanieczyszczeń gazowych podlegała wahaniom, osiągając szczyt w 2017 r. (wykres poniżej).</w:t>
      </w:r>
    </w:p>
    <w:p w14:paraId="67E4D61E" w14:textId="37F62B0B" w:rsidR="00F00D78" w:rsidRPr="00733091" w:rsidRDefault="00480473" w:rsidP="002E24A9">
      <w:pPr>
        <w:pStyle w:val="Legenda"/>
        <w:rPr>
          <w:lang w:val="pl-PL"/>
        </w:rPr>
      </w:pPr>
      <w:bookmarkStart w:id="150" w:name="_Toc69723210"/>
      <w:r w:rsidRPr="00733091">
        <w:rPr>
          <w:lang w:val="pl-PL"/>
        </w:rPr>
        <w:t xml:space="preserve">Wykres </w:t>
      </w:r>
      <w:r w:rsidR="00733091">
        <w:fldChar w:fldCharType="begin"/>
      </w:r>
      <w:r w:rsidR="00733091" w:rsidRPr="00733091">
        <w:rPr>
          <w:lang w:val="pl-PL"/>
        </w:rPr>
        <w:instrText xml:space="preserve"> SEQ Wykres \* ARABIC </w:instrText>
      </w:r>
      <w:r w:rsidR="00733091">
        <w:fldChar w:fldCharType="separate"/>
      </w:r>
      <w:r w:rsidR="00B14787">
        <w:rPr>
          <w:noProof/>
          <w:lang w:val="pl-PL"/>
        </w:rPr>
        <w:t>52</w:t>
      </w:r>
      <w:r w:rsidR="00733091">
        <w:rPr>
          <w:noProof/>
        </w:rPr>
        <w:fldChar w:fldCharType="end"/>
      </w:r>
      <w:r w:rsidRPr="00733091">
        <w:rPr>
          <w:lang w:val="pl-PL"/>
        </w:rPr>
        <w:t xml:space="preserve">: </w:t>
      </w:r>
      <w:r w:rsidR="00F00D78" w:rsidRPr="00733091">
        <w:rPr>
          <w:lang w:val="pl-PL"/>
        </w:rPr>
        <w:t>Emisja zanieczyszczeń gazowych na terenie Południowych Mazur w latach 2012-2019 (w tonach)</w:t>
      </w:r>
      <w:bookmarkEnd w:id="150"/>
    </w:p>
    <w:p w14:paraId="50F73C6D" w14:textId="77777777" w:rsidR="00F00D78" w:rsidRPr="00F25EBD" w:rsidRDefault="00F00D78" w:rsidP="00260544">
      <w:pPr>
        <w:ind w:hanging="851"/>
        <w:rPr>
          <w:rFonts w:asciiTheme="majorHAnsi" w:hAnsiTheme="majorHAnsi" w:cstheme="majorHAnsi"/>
        </w:rPr>
      </w:pPr>
      <w:r w:rsidRPr="00F25EBD">
        <w:rPr>
          <w:rFonts w:asciiTheme="majorHAnsi" w:hAnsiTheme="majorHAnsi" w:cstheme="majorHAnsi"/>
          <w:noProof/>
          <w:lang w:eastAsia="pl-PL"/>
        </w:rPr>
        <w:drawing>
          <wp:inline distT="0" distB="0" distL="0" distR="0" wp14:anchorId="726342D5" wp14:editId="0950DCFC">
            <wp:extent cx="5759450" cy="2830664"/>
            <wp:effectExtent l="0" t="0" r="12700" b="8255"/>
            <wp:docPr id="95" name="Wykres 95" descr="wykres słupkowy pokazujący Emisja zanieczyszczeń gazowych na terenie Południowych Mazur w latach 2012-2019 w tonach">
              <a:extLst xmlns:a="http://schemas.openxmlformats.org/drawingml/2006/main">
                <a:ext uri="{FF2B5EF4-FFF2-40B4-BE49-F238E27FC236}">
                  <a16:creationId xmlns:a16="http://schemas.microsoft.com/office/drawing/2014/main" id="{A994D67D-90D7-4E37-9517-14A9BEC9D6A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3"/>
              </a:graphicData>
            </a:graphic>
          </wp:inline>
        </w:drawing>
      </w:r>
    </w:p>
    <w:p w14:paraId="34713CBD" w14:textId="39375B20" w:rsidR="002B3D05" w:rsidRPr="002B3D05" w:rsidRDefault="00F00D78" w:rsidP="00A33A7C">
      <w:pPr>
        <w:pStyle w:val="podpiselementu"/>
        <w:spacing w:after="240"/>
        <w:rPr>
          <w:lang w:val="pl-PL"/>
        </w:rPr>
      </w:pPr>
      <w:r w:rsidRPr="00733091">
        <w:rPr>
          <w:lang w:val="pl-PL"/>
        </w:rPr>
        <w:t>Źródło: opracowanie własne na podstawie danych BDL</w:t>
      </w:r>
    </w:p>
    <w:p w14:paraId="185B149B" w14:textId="2D928973" w:rsidR="00F00D78" w:rsidRPr="00A33A7C" w:rsidRDefault="00F00D78" w:rsidP="00A33A7C">
      <w:pPr>
        <w:rPr>
          <w:lang w:val="pl-PL"/>
        </w:rPr>
      </w:pPr>
      <w:r w:rsidRPr="00733091">
        <w:rPr>
          <w:lang w:val="pl-PL"/>
        </w:rPr>
        <w:t>Znaczna część zanieczyszczeń pyłowych (84,5%) emitowanych na terenie Południowych Mazur w 2019 r. powstała w wyniku spalania paliw, przy czym udział poszczególnych powiatów był w tym zakresie nierównomierny. Najwyższy odsetek tego typu zanieczyszczeń wytworzyły jednostki zlokalizowane na ternie powiatu piskiego (39,1%), a następnie działdowskiego (37,9%), szczycieńskiego (18,4%) i na końcu nidzickiego (4,6%). Intensywność emisji zanieczyszczeń pyłowych podlegała w latach 2012-2019 wahaniom. Od 2016 r. zauważalny jest wyraźny trend spadkowy (w 2019 r. odnotowano o 39,4% mniej zanieczyszczeń niż z 2012 r. - wykres poniżej)</w:t>
      </w:r>
      <w:r w:rsidR="00A33A7C">
        <w:rPr>
          <w:lang w:val="pl-PL"/>
        </w:rPr>
        <w:t>.</w:t>
      </w:r>
    </w:p>
    <w:p w14:paraId="793243EA" w14:textId="30BC95F7" w:rsidR="00F00D78" w:rsidRPr="00733091" w:rsidRDefault="00480473" w:rsidP="002E24A9">
      <w:pPr>
        <w:pStyle w:val="Legenda"/>
        <w:rPr>
          <w:lang w:val="pl-PL"/>
        </w:rPr>
      </w:pPr>
      <w:bookmarkStart w:id="151" w:name="_Toc69723211"/>
      <w:r w:rsidRPr="00733091">
        <w:rPr>
          <w:lang w:val="pl-PL"/>
        </w:rPr>
        <w:lastRenderedPageBreak/>
        <w:t xml:space="preserve">Wykres </w:t>
      </w:r>
      <w:r w:rsidR="00733091">
        <w:fldChar w:fldCharType="begin"/>
      </w:r>
      <w:r w:rsidR="00733091" w:rsidRPr="00733091">
        <w:rPr>
          <w:lang w:val="pl-PL"/>
        </w:rPr>
        <w:instrText xml:space="preserve"> SEQ Wykres \* ARABIC </w:instrText>
      </w:r>
      <w:r w:rsidR="00733091">
        <w:fldChar w:fldCharType="separate"/>
      </w:r>
      <w:r w:rsidR="00B14787">
        <w:rPr>
          <w:noProof/>
          <w:lang w:val="pl-PL"/>
        </w:rPr>
        <w:t>53</w:t>
      </w:r>
      <w:r w:rsidR="00733091">
        <w:rPr>
          <w:noProof/>
        </w:rPr>
        <w:fldChar w:fldCharType="end"/>
      </w:r>
      <w:r w:rsidRPr="00733091">
        <w:rPr>
          <w:lang w:val="pl-PL"/>
        </w:rPr>
        <w:t xml:space="preserve">: </w:t>
      </w:r>
      <w:r w:rsidR="00F00D78" w:rsidRPr="00733091">
        <w:rPr>
          <w:lang w:val="pl-PL"/>
        </w:rPr>
        <w:t>Emisja zanieczyszczeń pyłowych na terenie Południowych Mazur w latach 2012-2019 (w tonach)</w:t>
      </w:r>
      <w:bookmarkEnd w:id="151"/>
    </w:p>
    <w:p w14:paraId="5D86223B" w14:textId="3FBDE805" w:rsidR="00F00D78" w:rsidRPr="007477A4" w:rsidRDefault="00F00D78" w:rsidP="00733091">
      <w:pPr>
        <w:pStyle w:val="podpiselementu"/>
        <w:spacing w:after="240"/>
        <w:rPr>
          <w:lang w:val="pl-PL"/>
        </w:rPr>
      </w:pPr>
      <w:r w:rsidRPr="00F25EBD">
        <w:rPr>
          <w:noProof/>
          <w:lang w:eastAsia="pl-PL"/>
        </w:rPr>
        <w:drawing>
          <wp:inline distT="0" distB="0" distL="0" distR="0" wp14:anchorId="77929E64" wp14:editId="78A64C82">
            <wp:extent cx="5759450" cy="2902227"/>
            <wp:effectExtent l="0" t="0" r="12700" b="12700"/>
            <wp:docPr id="96" name="Wykres 96" descr="wykres słupkowy pokazujący emisję zanieczyszczeń pyłowych na terenie Południowych Mazur w latach 2012-2019 w tonach">
              <a:extLst xmlns:a="http://schemas.openxmlformats.org/drawingml/2006/main">
                <a:ext uri="{FF2B5EF4-FFF2-40B4-BE49-F238E27FC236}">
                  <a16:creationId xmlns:a16="http://schemas.microsoft.com/office/drawing/2014/main" id="{225179BC-5830-485E-B748-3E8909A5DF4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4"/>
              </a:graphicData>
            </a:graphic>
          </wp:inline>
        </w:drawing>
      </w:r>
      <w:r w:rsidRPr="00733091">
        <w:rPr>
          <w:lang w:val="pl-PL"/>
        </w:rPr>
        <w:t>Źródło: opracowanie własne na podstawie danych BDL</w:t>
      </w:r>
    </w:p>
    <w:p w14:paraId="7E026A17" w14:textId="77777777" w:rsidR="00F00D78" w:rsidRPr="00733091" w:rsidRDefault="00F00D78" w:rsidP="00733091">
      <w:pPr>
        <w:contextualSpacing/>
        <w:rPr>
          <w:rFonts w:cstheme="minorHAnsi"/>
          <w:lang w:val="pl-PL"/>
        </w:rPr>
      </w:pPr>
    </w:p>
    <w:p w14:paraId="3054F876" w14:textId="5426E94B" w:rsidR="002B3D05" w:rsidRDefault="00F00D78" w:rsidP="007477A4">
      <w:pPr>
        <w:rPr>
          <w:lang w:val="pl-PL"/>
        </w:rPr>
      </w:pPr>
      <w:r w:rsidRPr="00733091">
        <w:rPr>
          <w:lang w:val="pl-PL"/>
        </w:rPr>
        <w:t xml:space="preserve">Południowe Mazury są obszarem charakteryzującym się (mimo występujących emisji) bardzo </w:t>
      </w:r>
      <w:r w:rsidRPr="00733091">
        <w:rPr>
          <w:b/>
          <w:bCs/>
          <w:lang w:val="pl-PL"/>
        </w:rPr>
        <w:t>dobrym i poprawiającym się stanem jakości powietrza</w:t>
      </w:r>
      <w:r w:rsidRPr="00733091">
        <w:rPr>
          <w:lang w:val="pl-PL"/>
        </w:rPr>
        <w:t>.</w:t>
      </w:r>
      <w:r w:rsidR="002B3D05">
        <w:rPr>
          <w:lang w:val="pl-PL"/>
        </w:rPr>
        <w:t xml:space="preserve"> </w:t>
      </w:r>
      <w:r w:rsidRPr="00733091">
        <w:rPr>
          <w:lang w:val="pl-PL"/>
        </w:rPr>
        <w:t xml:space="preserve">Świadczą </w:t>
      </w:r>
      <w:r w:rsidR="00F84A3C">
        <w:rPr>
          <w:lang w:val="pl-PL"/>
        </w:rPr>
        <w:br/>
      </w:r>
      <w:r w:rsidRPr="00733091">
        <w:rPr>
          <w:lang w:val="pl-PL"/>
        </w:rPr>
        <w:t>o tym wyniki oceny jakości powietrza Południowych Mazur</w:t>
      </w:r>
      <w:r>
        <w:rPr>
          <w:rStyle w:val="Odwoanieprzypisudolnego"/>
          <w:rFonts w:cstheme="minorHAnsi"/>
        </w:rPr>
        <w:footnoteReference w:id="101"/>
      </w:r>
      <w:r w:rsidRPr="00733091">
        <w:rPr>
          <w:lang w:val="pl-PL"/>
        </w:rPr>
        <w:t xml:space="preserve">. Zanieczyszczenie powietrza w strefie, do której zakwalifikowano Południowe Mazury tylko </w:t>
      </w:r>
      <w:r w:rsidR="00F84A3C">
        <w:rPr>
          <w:lang w:val="pl-PL"/>
        </w:rPr>
        <w:br/>
      </w:r>
      <w:r w:rsidRPr="00733091">
        <w:rPr>
          <w:lang w:val="pl-PL"/>
        </w:rPr>
        <w:t xml:space="preserve">w przypadku pyłu zawieszonego PM10 (w tym benzo(a)pirenu) przekroczyło dopuszczalny poziom. W przypadku pozostałych substancji poziom stężeń </w:t>
      </w:r>
      <w:r w:rsidR="00F84A3C">
        <w:rPr>
          <w:lang w:val="pl-PL"/>
        </w:rPr>
        <w:br/>
      </w:r>
      <w:r w:rsidRPr="00733091">
        <w:rPr>
          <w:lang w:val="pl-PL"/>
        </w:rPr>
        <w:t>w powietrzu był niższy od dopuszczalnego</w:t>
      </w:r>
      <w:r>
        <w:rPr>
          <w:rStyle w:val="Odwoanieprzypisudolnego"/>
          <w:rFonts w:cstheme="minorHAnsi"/>
        </w:rPr>
        <w:footnoteReference w:id="102"/>
      </w:r>
      <w:r w:rsidRPr="00733091">
        <w:rPr>
          <w:lang w:val="pl-PL"/>
        </w:rPr>
        <w:t>.</w:t>
      </w:r>
    </w:p>
    <w:p w14:paraId="73D0C3A6" w14:textId="295EBF8F" w:rsidR="00F84A3C" w:rsidRDefault="00F84A3C" w:rsidP="007477A4">
      <w:pPr>
        <w:rPr>
          <w:lang w:val="pl-PL"/>
        </w:rPr>
      </w:pPr>
      <w:r>
        <w:rPr>
          <w:lang w:val="pl-PL"/>
        </w:rPr>
        <w:t xml:space="preserve">Największe stężenie zanieczyszczeń występuje w większych ośrodkach osiedleńczych Partnerstwa, szczególnie w sezonie grzewczym. </w:t>
      </w:r>
    </w:p>
    <w:p w14:paraId="3AB10090" w14:textId="77777777" w:rsidR="007477A4" w:rsidRPr="00260544" w:rsidRDefault="007477A4" w:rsidP="00A33A7C">
      <w:pPr>
        <w:ind w:left="0"/>
        <w:rPr>
          <w:lang w:val="pl-PL"/>
        </w:rPr>
      </w:pPr>
    </w:p>
    <w:p w14:paraId="1FE2A101" w14:textId="36E60EF6" w:rsidR="00F00D78" w:rsidRPr="00733091" w:rsidRDefault="00F00D78" w:rsidP="002E24A9">
      <w:pPr>
        <w:pStyle w:val="Legenda"/>
        <w:rPr>
          <w:lang w:val="pl-PL"/>
        </w:rPr>
      </w:pPr>
      <w:bookmarkStart w:id="152" w:name="_Toc69723276"/>
      <w:r w:rsidRPr="00733091">
        <w:rPr>
          <w:lang w:val="pl-PL"/>
        </w:rPr>
        <w:lastRenderedPageBreak/>
        <w:t xml:space="preserve">Tabela </w:t>
      </w:r>
      <w:r w:rsidR="00733091">
        <w:fldChar w:fldCharType="begin"/>
      </w:r>
      <w:r w:rsidR="00733091" w:rsidRPr="00733091">
        <w:rPr>
          <w:lang w:val="pl-PL"/>
        </w:rPr>
        <w:instrText xml:space="preserve"> SEQ Tabela \* ARABIC </w:instrText>
      </w:r>
      <w:r w:rsidR="00733091">
        <w:fldChar w:fldCharType="separate"/>
      </w:r>
      <w:r w:rsidR="00B14787">
        <w:rPr>
          <w:noProof/>
          <w:lang w:val="pl-PL"/>
        </w:rPr>
        <w:t>27</w:t>
      </w:r>
      <w:r w:rsidR="00733091">
        <w:rPr>
          <w:noProof/>
        </w:rPr>
        <w:fldChar w:fldCharType="end"/>
      </w:r>
      <w:r w:rsidRPr="00733091">
        <w:rPr>
          <w:lang w:val="pl-PL"/>
        </w:rPr>
        <w:t>. Klasy zanieczyszczeń w strefie warmińsko-mazurskiej uzyskane na podstawie oceny pięcioletniej (2014-2018) z uwzględnieniem kryteriów ustanowionych w celu</w:t>
      </w:r>
      <w:r w:rsidR="00C01FFB" w:rsidRPr="00733091">
        <w:rPr>
          <w:lang w:val="pl-PL"/>
        </w:rPr>
        <w:t xml:space="preserve"> </w:t>
      </w:r>
      <w:r w:rsidRPr="00733091">
        <w:rPr>
          <w:lang w:val="pl-PL"/>
        </w:rPr>
        <w:t>ochrony zdrowia ludzi i ochrony roślin.</w:t>
      </w:r>
      <w:bookmarkEnd w:id="152"/>
    </w:p>
    <w:tbl>
      <w:tblPr>
        <w:tblStyle w:val="CWD"/>
        <w:tblpPr w:leftFromText="141" w:rightFromText="141" w:vertAnchor="text" w:tblpY="1"/>
        <w:tblOverlap w:val="never"/>
        <w:tblW w:w="9072" w:type="dxa"/>
        <w:tblLayout w:type="fixed"/>
        <w:tblLook w:val="04A0" w:firstRow="1" w:lastRow="0" w:firstColumn="1" w:lastColumn="0" w:noHBand="0" w:noVBand="1"/>
      </w:tblPr>
      <w:tblGrid>
        <w:gridCol w:w="2892"/>
        <w:gridCol w:w="3090"/>
        <w:gridCol w:w="3090"/>
      </w:tblGrid>
      <w:tr w:rsidR="00F00D78" w:rsidRPr="0053042E" w14:paraId="5B01C23D" w14:textId="77777777" w:rsidTr="002B3D05">
        <w:trPr>
          <w:cnfStyle w:val="100000000000" w:firstRow="1" w:lastRow="0" w:firstColumn="0" w:lastColumn="0" w:oddVBand="0" w:evenVBand="0" w:oddHBand="0"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2122" w:type="dxa"/>
            <w:vMerge w:val="restart"/>
            <w:shd w:val="clear" w:color="auto" w:fill="FFC000"/>
          </w:tcPr>
          <w:p w14:paraId="54476E71" w14:textId="77777777" w:rsidR="00F00D78" w:rsidRPr="0053042E" w:rsidRDefault="00F00D78" w:rsidP="00F84A3C">
            <w:pPr>
              <w:pStyle w:val="elementgraficznytabela"/>
              <w:spacing w:after="240" w:line="259" w:lineRule="auto"/>
              <w:contextualSpacing/>
            </w:pPr>
            <w:r w:rsidRPr="0053042E">
              <w:t>Substancja</w:t>
            </w:r>
          </w:p>
        </w:tc>
        <w:tc>
          <w:tcPr>
            <w:tcW w:w="4536" w:type="dxa"/>
            <w:gridSpan w:val="2"/>
            <w:shd w:val="clear" w:color="auto" w:fill="FFC000"/>
          </w:tcPr>
          <w:p w14:paraId="5364BF0A" w14:textId="77777777" w:rsidR="00F00D78" w:rsidRPr="0053042E" w:rsidRDefault="00F00D78" w:rsidP="00F84A3C">
            <w:pPr>
              <w:pStyle w:val="elementgraficznytabela"/>
              <w:spacing w:after="240" w:line="259" w:lineRule="auto"/>
              <w:contextualSpacing/>
              <w:jc w:val="center"/>
              <w:cnfStyle w:val="100000000000" w:firstRow="1" w:lastRow="0" w:firstColumn="0" w:lastColumn="0" w:oddVBand="0" w:evenVBand="0" w:oddHBand="0" w:evenHBand="0" w:firstRowFirstColumn="0" w:firstRowLastColumn="0" w:lastRowFirstColumn="0" w:lastRowLastColumn="0"/>
            </w:pPr>
            <w:r w:rsidRPr="0053042E">
              <w:t>Kryterium</w:t>
            </w:r>
          </w:p>
        </w:tc>
      </w:tr>
      <w:tr w:rsidR="00F00D78" w:rsidRPr="0053042E" w14:paraId="419A63A3" w14:textId="77777777" w:rsidTr="002B3D05">
        <w:trPr>
          <w:trHeight w:val="127"/>
        </w:trPr>
        <w:tc>
          <w:tcPr>
            <w:cnfStyle w:val="001000000000" w:firstRow="0" w:lastRow="0" w:firstColumn="1" w:lastColumn="0" w:oddVBand="0" w:evenVBand="0" w:oddHBand="0" w:evenHBand="0" w:firstRowFirstColumn="0" w:firstRowLastColumn="0" w:lastRowFirstColumn="0" w:lastRowLastColumn="0"/>
            <w:tcW w:w="2122" w:type="dxa"/>
            <w:vMerge/>
            <w:shd w:val="clear" w:color="auto" w:fill="FFC000"/>
            <w:hideMark/>
          </w:tcPr>
          <w:p w14:paraId="6D8595AB" w14:textId="77777777" w:rsidR="00F00D78" w:rsidRPr="0053042E" w:rsidRDefault="00F00D78" w:rsidP="00F84A3C">
            <w:pPr>
              <w:pStyle w:val="elementgraficznytabela"/>
              <w:spacing w:after="240" w:line="259" w:lineRule="auto"/>
              <w:contextualSpacing/>
            </w:pPr>
          </w:p>
        </w:tc>
        <w:tc>
          <w:tcPr>
            <w:tcW w:w="2268" w:type="dxa"/>
            <w:shd w:val="clear" w:color="auto" w:fill="FFC000"/>
            <w:hideMark/>
          </w:tcPr>
          <w:p w14:paraId="38CBB676" w14:textId="77777777" w:rsidR="00F00D78" w:rsidRPr="0053042E" w:rsidRDefault="00F00D78" w:rsidP="00F84A3C">
            <w:pPr>
              <w:pStyle w:val="elementgraficznytabela"/>
              <w:spacing w:after="240" w:line="259" w:lineRule="auto"/>
              <w:contextualSpacing/>
              <w:jc w:val="center"/>
              <w:cnfStyle w:val="000000000000" w:firstRow="0" w:lastRow="0" w:firstColumn="0" w:lastColumn="0" w:oddVBand="0" w:evenVBand="0" w:oddHBand="0" w:evenHBand="0" w:firstRowFirstColumn="0" w:firstRowLastColumn="0" w:lastRowFirstColumn="0" w:lastRowLastColumn="0"/>
              <w:rPr>
                <w:b/>
              </w:rPr>
            </w:pPr>
            <w:r w:rsidRPr="0053042E">
              <w:rPr>
                <w:b/>
              </w:rPr>
              <w:t>ochrona zdrowia ludzi</w:t>
            </w:r>
          </w:p>
        </w:tc>
        <w:tc>
          <w:tcPr>
            <w:tcW w:w="2268" w:type="dxa"/>
            <w:shd w:val="clear" w:color="auto" w:fill="FFC000"/>
            <w:hideMark/>
          </w:tcPr>
          <w:p w14:paraId="7A2391B9" w14:textId="77777777" w:rsidR="00F00D78" w:rsidRPr="0053042E" w:rsidRDefault="00F00D78" w:rsidP="00F84A3C">
            <w:pPr>
              <w:pStyle w:val="elementgraficznytabela"/>
              <w:spacing w:after="240" w:line="259" w:lineRule="auto"/>
              <w:contextualSpacing/>
              <w:jc w:val="center"/>
              <w:cnfStyle w:val="000000000000" w:firstRow="0" w:lastRow="0" w:firstColumn="0" w:lastColumn="0" w:oddVBand="0" w:evenVBand="0" w:oddHBand="0" w:evenHBand="0" w:firstRowFirstColumn="0" w:firstRowLastColumn="0" w:lastRowFirstColumn="0" w:lastRowLastColumn="0"/>
              <w:rPr>
                <w:b/>
              </w:rPr>
            </w:pPr>
            <w:r w:rsidRPr="0053042E">
              <w:rPr>
                <w:b/>
              </w:rPr>
              <w:t>ochrona roślin</w:t>
            </w:r>
          </w:p>
        </w:tc>
      </w:tr>
      <w:tr w:rsidR="00F00D78" w:rsidRPr="0053042E" w14:paraId="398FA92D" w14:textId="77777777" w:rsidTr="000570F1">
        <w:trPr>
          <w:trHeight w:val="300"/>
        </w:trPr>
        <w:tc>
          <w:tcPr>
            <w:cnfStyle w:val="001000000000" w:firstRow="0" w:lastRow="0" w:firstColumn="1" w:lastColumn="0" w:oddVBand="0" w:evenVBand="0" w:oddHBand="0" w:evenHBand="0" w:firstRowFirstColumn="0" w:firstRowLastColumn="0" w:lastRowFirstColumn="0" w:lastRowLastColumn="0"/>
            <w:tcW w:w="2122" w:type="dxa"/>
            <w:hideMark/>
          </w:tcPr>
          <w:p w14:paraId="5AED40C0" w14:textId="77777777" w:rsidR="00F00D78" w:rsidRPr="00A33A7C" w:rsidRDefault="00F00D78" w:rsidP="00F84A3C">
            <w:pPr>
              <w:pStyle w:val="elementgraficznytabela"/>
              <w:spacing w:after="240" w:line="259" w:lineRule="auto"/>
              <w:contextualSpacing/>
              <w:rPr>
                <w:b w:val="0"/>
                <w:bCs/>
              </w:rPr>
            </w:pPr>
            <w:r w:rsidRPr="00A33A7C">
              <w:rPr>
                <w:b w:val="0"/>
                <w:bCs/>
              </w:rPr>
              <w:t>SO</w:t>
            </w:r>
            <w:r w:rsidRPr="00A33A7C">
              <w:rPr>
                <w:b w:val="0"/>
                <w:bCs/>
                <w:vertAlign w:val="subscript"/>
              </w:rPr>
              <w:t xml:space="preserve">2 </w:t>
            </w:r>
            <w:r w:rsidRPr="00A33A7C">
              <w:rPr>
                <w:b w:val="0"/>
                <w:bCs/>
              </w:rPr>
              <w:t>-</w:t>
            </w:r>
            <w:r w:rsidRPr="00A33A7C">
              <w:rPr>
                <w:b w:val="0"/>
                <w:bCs/>
                <w:vertAlign w:val="subscript"/>
              </w:rPr>
              <w:t xml:space="preserve"> </w:t>
            </w:r>
            <w:r w:rsidRPr="00A33A7C">
              <w:rPr>
                <w:rFonts w:cstheme="minorHAnsi"/>
                <w:b w:val="0"/>
                <w:bCs/>
              </w:rPr>
              <w:t>dwutlenek siarki</w:t>
            </w:r>
          </w:p>
        </w:tc>
        <w:tc>
          <w:tcPr>
            <w:tcW w:w="2268" w:type="dxa"/>
          </w:tcPr>
          <w:p w14:paraId="5AD9EC1A" w14:textId="77777777" w:rsidR="00F00D78" w:rsidRPr="0053042E" w:rsidRDefault="00F00D78" w:rsidP="00F84A3C">
            <w:pPr>
              <w:pStyle w:val="elementgraficznytabela"/>
              <w:spacing w:after="240" w:line="259" w:lineRule="auto"/>
              <w:contextualSpacing/>
              <w:cnfStyle w:val="000000000000" w:firstRow="0" w:lastRow="0" w:firstColumn="0" w:lastColumn="0" w:oddVBand="0" w:evenVBand="0" w:oddHBand="0" w:evenHBand="0" w:firstRowFirstColumn="0" w:firstRowLastColumn="0" w:lastRowFirstColumn="0" w:lastRowLastColumn="0"/>
            </w:pPr>
            <w:r w:rsidRPr="0053042E">
              <w:t>klasa 1</w:t>
            </w:r>
          </w:p>
        </w:tc>
        <w:tc>
          <w:tcPr>
            <w:tcW w:w="2268" w:type="dxa"/>
          </w:tcPr>
          <w:p w14:paraId="75437FED" w14:textId="77777777" w:rsidR="00F00D78" w:rsidRPr="0053042E" w:rsidRDefault="00F00D78" w:rsidP="00F84A3C">
            <w:pPr>
              <w:pStyle w:val="elementgraficznytabela"/>
              <w:spacing w:after="240" w:line="259" w:lineRule="auto"/>
              <w:contextualSpacing/>
              <w:cnfStyle w:val="000000000000" w:firstRow="0" w:lastRow="0" w:firstColumn="0" w:lastColumn="0" w:oddVBand="0" w:evenVBand="0" w:oddHBand="0" w:evenHBand="0" w:firstRowFirstColumn="0" w:firstRowLastColumn="0" w:lastRowFirstColumn="0" w:lastRowLastColumn="0"/>
            </w:pPr>
            <w:r w:rsidRPr="0053042E">
              <w:t>klasa 1</w:t>
            </w:r>
          </w:p>
        </w:tc>
      </w:tr>
      <w:tr w:rsidR="00F00D78" w:rsidRPr="0053042E" w14:paraId="58C0E7C9" w14:textId="77777777" w:rsidTr="000570F1">
        <w:trPr>
          <w:trHeight w:val="300"/>
        </w:trPr>
        <w:tc>
          <w:tcPr>
            <w:cnfStyle w:val="001000000000" w:firstRow="0" w:lastRow="0" w:firstColumn="1" w:lastColumn="0" w:oddVBand="0" w:evenVBand="0" w:oddHBand="0" w:evenHBand="0" w:firstRowFirstColumn="0" w:firstRowLastColumn="0" w:lastRowFirstColumn="0" w:lastRowLastColumn="0"/>
            <w:tcW w:w="2122" w:type="dxa"/>
            <w:hideMark/>
          </w:tcPr>
          <w:p w14:paraId="5759E369" w14:textId="77777777" w:rsidR="00F00D78" w:rsidRPr="00A33A7C" w:rsidRDefault="00F00D78" w:rsidP="00F84A3C">
            <w:pPr>
              <w:pStyle w:val="elementgraficznytabela"/>
              <w:spacing w:after="240" w:line="259" w:lineRule="auto"/>
              <w:contextualSpacing/>
              <w:rPr>
                <w:b w:val="0"/>
                <w:bCs/>
              </w:rPr>
            </w:pPr>
            <w:r w:rsidRPr="00A33A7C">
              <w:rPr>
                <w:b w:val="0"/>
                <w:bCs/>
              </w:rPr>
              <w:t>NO</w:t>
            </w:r>
            <w:r w:rsidRPr="00A33A7C">
              <w:rPr>
                <w:b w:val="0"/>
                <w:bCs/>
                <w:vertAlign w:val="subscript"/>
              </w:rPr>
              <w:t>2</w:t>
            </w:r>
            <w:r w:rsidRPr="00A33A7C">
              <w:rPr>
                <w:rFonts w:cstheme="minorHAnsi"/>
                <w:b w:val="0"/>
                <w:bCs/>
              </w:rPr>
              <w:t xml:space="preserve"> - dwutlenek azotu</w:t>
            </w:r>
          </w:p>
        </w:tc>
        <w:tc>
          <w:tcPr>
            <w:tcW w:w="2268" w:type="dxa"/>
          </w:tcPr>
          <w:p w14:paraId="2E761899" w14:textId="77777777" w:rsidR="00F00D78" w:rsidRPr="0053042E" w:rsidRDefault="00F00D78" w:rsidP="00F84A3C">
            <w:pPr>
              <w:pStyle w:val="elementgraficznytabela"/>
              <w:spacing w:after="240" w:line="259" w:lineRule="auto"/>
              <w:contextualSpacing/>
              <w:cnfStyle w:val="000000000000" w:firstRow="0" w:lastRow="0" w:firstColumn="0" w:lastColumn="0" w:oddVBand="0" w:evenVBand="0" w:oddHBand="0" w:evenHBand="0" w:firstRowFirstColumn="0" w:firstRowLastColumn="0" w:lastRowFirstColumn="0" w:lastRowLastColumn="0"/>
            </w:pPr>
            <w:r w:rsidRPr="0053042E">
              <w:t>klasa 1</w:t>
            </w:r>
          </w:p>
        </w:tc>
        <w:tc>
          <w:tcPr>
            <w:tcW w:w="2268" w:type="dxa"/>
          </w:tcPr>
          <w:p w14:paraId="039A7D2D" w14:textId="77777777" w:rsidR="00F00D78" w:rsidRPr="0053042E" w:rsidRDefault="00F00D78" w:rsidP="00F84A3C">
            <w:pPr>
              <w:pStyle w:val="elementgraficznytabela"/>
              <w:spacing w:after="240" w:line="259" w:lineRule="auto"/>
              <w:contextualSpacing/>
              <w:cnfStyle w:val="000000000000" w:firstRow="0" w:lastRow="0" w:firstColumn="0" w:lastColumn="0" w:oddVBand="0" w:evenVBand="0" w:oddHBand="0" w:evenHBand="0" w:firstRowFirstColumn="0" w:firstRowLastColumn="0" w:lastRowFirstColumn="0" w:lastRowLastColumn="0"/>
            </w:pPr>
            <w:r w:rsidRPr="0053042E">
              <w:t>nie dotyczy</w:t>
            </w:r>
          </w:p>
        </w:tc>
      </w:tr>
      <w:tr w:rsidR="00F00D78" w:rsidRPr="0053042E" w14:paraId="3469248A" w14:textId="77777777" w:rsidTr="000570F1">
        <w:trPr>
          <w:trHeight w:val="300"/>
        </w:trPr>
        <w:tc>
          <w:tcPr>
            <w:cnfStyle w:val="001000000000" w:firstRow="0" w:lastRow="0" w:firstColumn="1" w:lastColumn="0" w:oddVBand="0" w:evenVBand="0" w:oddHBand="0" w:evenHBand="0" w:firstRowFirstColumn="0" w:firstRowLastColumn="0" w:lastRowFirstColumn="0" w:lastRowLastColumn="0"/>
            <w:tcW w:w="2122" w:type="dxa"/>
            <w:hideMark/>
          </w:tcPr>
          <w:p w14:paraId="7B88EBF3" w14:textId="77777777" w:rsidR="00F00D78" w:rsidRPr="00A33A7C" w:rsidRDefault="00F00D78" w:rsidP="00F84A3C">
            <w:pPr>
              <w:pStyle w:val="elementgraficznytabela"/>
              <w:spacing w:after="240" w:line="259" w:lineRule="auto"/>
              <w:contextualSpacing/>
              <w:rPr>
                <w:b w:val="0"/>
                <w:bCs/>
              </w:rPr>
            </w:pPr>
            <w:r w:rsidRPr="00A33A7C">
              <w:rPr>
                <w:b w:val="0"/>
                <w:bCs/>
              </w:rPr>
              <w:t>C</w:t>
            </w:r>
            <w:r w:rsidRPr="00A33A7C">
              <w:rPr>
                <w:b w:val="0"/>
                <w:bCs/>
                <w:vertAlign w:val="subscript"/>
              </w:rPr>
              <w:t>6</w:t>
            </w:r>
            <w:r w:rsidRPr="00A33A7C">
              <w:rPr>
                <w:b w:val="0"/>
                <w:bCs/>
              </w:rPr>
              <w:t>H</w:t>
            </w:r>
            <w:r w:rsidRPr="00A33A7C">
              <w:rPr>
                <w:b w:val="0"/>
                <w:bCs/>
                <w:vertAlign w:val="subscript"/>
              </w:rPr>
              <w:t>6 -</w:t>
            </w:r>
            <w:r w:rsidRPr="00A33A7C">
              <w:rPr>
                <w:rFonts w:cstheme="minorHAnsi"/>
                <w:b w:val="0"/>
                <w:bCs/>
              </w:rPr>
              <w:t>benzen</w:t>
            </w:r>
          </w:p>
        </w:tc>
        <w:tc>
          <w:tcPr>
            <w:tcW w:w="2268" w:type="dxa"/>
          </w:tcPr>
          <w:p w14:paraId="4ED0B2A0" w14:textId="77777777" w:rsidR="00F00D78" w:rsidRPr="0053042E" w:rsidRDefault="00F00D78" w:rsidP="00F84A3C">
            <w:pPr>
              <w:pStyle w:val="elementgraficznytabela"/>
              <w:spacing w:after="240" w:line="259" w:lineRule="auto"/>
              <w:contextualSpacing/>
              <w:cnfStyle w:val="000000000000" w:firstRow="0" w:lastRow="0" w:firstColumn="0" w:lastColumn="0" w:oddVBand="0" w:evenVBand="0" w:oddHBand="0" w:evenHBand="0" w:firstRowFirstColumn="0" w:firstRowLastColumn="0" w:lastRowFirstColumn="0" w:lastRowLastColumn="0"/>
            </w:pPr>
            <w:r w:rsidRPr="0053042E">
              <w:t>klasa 1</w:t>
            </w:r>
          </w:p>
        </w:tc>
        <w:tc>
          <w:tcPr>
            <w:tcW w:w="2268" w:type="dxa"/>
          </w:tcPr>
          <w:p w14:paraId="37618CF3" w14:textId="77777777" w:rsidR="00F00D78" w:rsidRPr="0053042E" w:rsidRDefault="00F00D78" w:rsidP="00F84A3C">
            <w:pPr>
              <w:pStyle w:val="elementgraficznytabela"/>
              <w:spacing w:after="240" w:line="259" w:lineRule="auto"/>
              <w:contextualSpacing/>
              <w:cnfStyle w:val="000000000000" w:firstRow="0" w:lastRow="0" w:firstColumn="0" w:lastColumn="0" w:oddVBand="0" w:evenVBand="0" w:oddHBand="0" w:evenHBand="0" w:firstRowFirstColumn="0" w:firstRowLastColumn="0" w:lastRowFirstColumn="0" w:lastRowLastColumn="0"/>
            </w:pPr>
            <w:r w:rsidRPr="0053042E">
              <w:t>nie dotyczy</w:t>
            </w:r>
          </w:p>
        </w:tc>
      </w:tr>
      <w:tr w:rsidR="00F00D78" w:rsidRPr="0053042E" w14:paraId="1FE53BF7" w14:textId="77777777" w:rsidTr="000570F1">
        <w:trPr>
          <w:trHeight w:val="300"/>
        </w:trPr>
        <w:tc>
          <w:tcPr>
            <w:cnfStyle w:val="001000000000" w:firstRow="0" w:lastRow="0" w:firstColumn="1" w:lastColumn="0" w:oddVBand="0" w:evenVBand="0" w:oddHBand="0" w:evenHBand="0" w:firstRowFirstColumn="0" w:firstRowLastColumn="0" w:lastRowFirstColumn="0" w:lastRowLastColumn="0"/>
            <w:tcW w:w="2122" w:type="dxa"/>
            <w:hideMark/>
          </w:tcPr>
          <w:p w14:paraId="40AB88F1" w14:textId="77777777" w:rsidR="00F00D78" w:rsidRPr="00A33A7C" w:rsidRDefault="00F00D78" w:rsidP="00F84A3C">
            <w:pPr>
              <w:pStyle w:val="elementgraficznytabela"/>
              <w:spacing w:after="240" w:line="259" w:lineRule="auto"/>
              <w:contextualSpacing/>
              <w:rPr>
                <w:b w:val="0"/>
                <w:bCs/>
              </w:rPr>
            </w:pPr>
            <w:r w:rsidRPr="00A33A7C">
              <w:rPr>
                <w:b w:val="0"/>
                <w:bCs/>
              </w:rPr>
              <w:t xml:space="preserve">CO - </w:t>
            </w:r>
            <w:r w:rsidRPr="00A33A7C">
              <w:rPr>
                <w:rFonts w:cstheme="minorHAnsi"/>
                <w:b w:val="0"/>
                <w:bCs/>
              </w:rPr>
              <w:t>tlenek węgla</w:t>
            </w:r>
          </w:p>
        </w:tc>
        <w:tc>
          <w:tcPr>
            <w:tcW w:w="2268" w:type="dxa"/>
          </w:tcPr>
          <w:p w14:paraId="0FB151FB" w14:textId="77777777" w:rsidR="00F00D78" w:rsidRPr="0053042E" w:rsidRDefault="00F00D78" w:rsidP="00F84A3C">
            <w:pPr>
              <w:pStyle w:val="elementgraficznytabela"/>
              <w:spacing w:after="240" w:line="259" w:lineRule="auto"/>
              <w:contextualSpacing/>
              <w:cnfStyle w:val="000000000000" w:firstRow="0" w:lastRow="0" w:firstColumn="0" w:lastColumn="0" w:oddVBand="0" w:evenVBand="0" w:oddHBand="0" w:evenHBand="0" w:firstRowFirstColumn="0" w:firstRowLastColumn="0" w:lastRowFirstColumn="0" w:lastRowLastColumn="0"/>
            </w:pPr>
            <w:r w:rsidRPr="0053042E">
              <w:t>klasa 1</w:t>
            </w:r>
          </w:p>
        </w:tc>
        <w:tc>
          <w:tcPr>
            <w:tcW w:w="2268" w:type="dxa"/>
          </w:tcPr>
          <w:p w14:paraId="20A2C827" w14:textId="77777777" w:rsidR="00F00D78" w:rsidRPr="0053042E" w:rsidRDefault="00F00D78" w:rsidP="00F84A3C">
            <w:pPr>
              <w:pStyle w:val="elementgraficznytabela"/>
              <w:spacing w:after="240" w:line="259" w:lineRule="auto"/>
              <w:contextualSpacing/>
              <w:cnfStyle w:val="000000000000" w:firstRow="0" w:lastRow="0" w:firstColumn="0" w:lastColumn="0" w:oddVBand="0" w:evenVBand="0" w:oddHBand="0" w:evenHBand="0" w:firstRowFirstColumn="0" w:firstRowLastColumn="0" w:lastRowFirstColumn="0" w:lastRowLastColumn="0"/>
            </w:pPr>
            <w:r w:rsidRPr="0053042E">
              <w:t>nie dotyczy</w:t>
            </w:r>
          </w:p>
        </w:tc>
      </w:tr>
      <w:tr w:rsidR="00F00D78" w:rsidRPr="0053042E" w14:paraId="01183D5E" w14:textId="77777777" w:rsidTr="000570F1">
        <w:trPr>
          <w:trHeight w:val="300"/>
        </w:trPr>
        <w:tc>
          <w:tcPr>
            <w:cnfStyle w:val="001000000000" w:firstRow="0" w:lastRow="0" w:firstColumn="1" w:lastColumn="0" w:oddVBand="0" w:evenVBand="0" w:oddHBand="0" w:evenHBand="0" w:firstRowFirstColumn="0" w:firstRowLastColumn="0" w:lastRowFirstColumn="0" w:lastRowLastColumn="0"/>
            <w:tcW w:w="2122" w:type="dxa"/>
            <w:hideMark/>
          </w:tcPr>
          <w:p w14:paraId="383A2442" w14:textId="77777777" w:rsidR="00F00D78" w:rsidRPr="00A33A7C" w:rsidRDefault="00F00D78" w:rsidP="00F84A3C">
            <w:pPr>
              <w:pStyle w:val="elementgraficznytabela"/>
              <w:spacing w:after="240" w:line="259" w:lineRule="auto"/>
              <w:contextualSpacing/>
              <w:rPr>
                <w:b w:val="0"/>
                <w:bCs/>
              </w:rPr>
            </w:pPr>
            <w:r w:rsidRPr="00A33A7C">
              <w:rPr>
                <w:b w:val="0"/>
                <w:bCs/>
              </w:rPr>
              <w:t>O</w:t>
            </w:r>
            <w:r w:rsidRPr="00A33A7C">
              <w:rPr>
                <w:b w:val="0"/>
                <w:bCs/>
                <w:vertAlign w:val="subscript"/>
              </w:rPr>
              <w:t xml:space="preserve">3 - </w:t>
            </w:r>
            <w:r w:rsidRPr="00A33A7C">
              <w:rPr>
                <w:b w:val="0"/>
                <w:bCs/>
              </w:rPr>
              <w:t>ozon</w:t>
            </w:r>
          </w:p>
        </w:tc>
        <w:tc>
          <w:tcPr>
            <w:tcW w:w="2268" w:type="dxa"/>
          </w:tcPr>
          <w:p w14:paraId="298DD44A" w14:textId="77777777" w:rsidR="00F00D78" w:rsidRPr="0053042E" w:rsidRDefault="00F00D78" w:rsidP="00F84A3C">
            <w:pPr>
              <w:pStyle w:val="elementgraficznytabela"/>
              <w:spacing w:after="240" w:line="259" w:lineRule="auto"/>
              <w:contextualSpacing/>
              <w:cnfStyle w:val="000000000000" w:firstRow="0" w:lastRow="0" w:firstColumn="0" w:lastColumn="0" w:oddVBand="0" w:evenVBand="0" w:oddHBand="0" w:evenHBand="0" w:firstRowFirstColumn="0" w:firstRowLastColumn="0" w:lastRowFirstColumn="0" w:lastRowLastColumn="0"/>
            </w:pPr>
            <w:r w:rsidRPr="0053042E">
              <w:t>klasa 3a</w:t>
            </w:r>
          </w:p>
        </w:tc>
        <w:tc>
          <w:tcPr>
            <w:tcW w:w="2268" w:type="dxa"/>
          </w:tcPr>
          <w:p w14:paraId="4115EC55" w14:textId="77777777" w:rsidR="00F00D78" w:rsidRPr="0053042E" w:rsidRDefault="00F00D78" w:rsidP="00F84A3C">
            <w:pPr>
              <w:pStyle w:val="elementgraficznytabela"/>
              <w:spacing w:after="240" w:line="259" w:lineRule="auto"/>
              <w:contextualSpacing/>
              <w:cnfStyle w:val="000000000000" w:firstRow="0" w:lastRow="0" w:firstColumn="0" w:lastColumn="0" w:oddVBand="0" w:evenVBand="0" w:oddHBand="0" w:evenHBand="0" w:firstRowFirstColumn="0" w:firstRowLastColumn="0" w:lastRowFirstColumn="0" w:lastRowLastColumn="0"/>
            </w:pPr>
            <w:r w:rsidRPr="0053042E">
              <w:t>klasa 3a</w:t>
            </w:r>
          </w:p>
        </w:tc>
      </w:tr>
      <w:tr w:rsidR="00F00D78" w:rsidRPr="0053042E" w14:paraId="622156E6" w14:textId="77777777" w:rsidTr="000570F1">
        <w:trPr>
          <w:trHeight w:val="300"/>
        </w:trPr>
        <w:tc>
          <w:tcPr>
            <w:cnfStyle w:val="001000000000" w:firstRow="0" w:lastRow="0" w:firstColumn="1" w:lastColumn="0" w:oddVBand="0" w:evenVBand="0" w:oddHBand="0" w:evenHBand="0" w:firstRowFirstColumn="0" w:firstRowLastColumn="0" w:lastRowFirstColumn="0" w:lastRowLastColumn="0"/>
            <w:tcW w:w="2122" w:type="dxa"/>
            <w:hideMark/>
          </w:tcPr>
          <w:p w14:paraId="19F6F360" w14:textId="580729A1" w:rsidR="00F00D78" w:rsidRPr="00A33A7C" w:rsidRDefault="00F00D78" w:rsidP="00F84A3C">
            <w:pPr>
              <w:pStyle w:val="elementgraficznytabela"/>
              <w:spacing w:after="240" w:line="259" w:lineRule="auto"/>
              <w:contextualSpacing/>
              <w:rPr>
                <w:b w:val="0"/>
                <w:bCs/>
              </w:rPr>
            </w:pPr>
            <w:r w:rsidRPr="00A33A7C">
              <w:rPr>
                <w:b w:val="0"/>
                <w:bCs/>
              </w:rPr>
              <w:t xml:space="preserve">PM10 – pył zawieszony </w:t>
            </w:r>
          </w:p>
        </w:tc>
        <w:tc>
          <w:tcPr>
            <w:tcW w:w="2268" w:type="dxa"/>
          </w:tcPr>
          <w:p w14:paraId="31E37482" w14:textId="77777777" w:rsidR="00F00D78" w:rsidRPr="0053042E" w:rsidRDefault="00F00D78" w:rsidP="00F84A3C">
            <w:pPr>
              <w:pStyle w:val="elementgraficznytabela"/>
              <w:spacing w:after="240" w:line="259" w:lineRule="auto"/>
              <w:contextualSpacing/>
              <w:cnfStyle w:val="000000000000" w:firstRow="0" w:lastRow="0" w:firstColumn="0" w:lastColumn="0" w:oddVBand="0" w:evenVBand="0" w:oddHBand="0" w:evenHBand="0" w:firstRowFirstColumn="0" w:firstRowLastColumn="0" w:lastRowFirstColumn="0" w:lastRowLastColumn="0"/>
            </w:pPr>
            <w:r w:rsidRPr="0053042E">
              <w:t>klasa 3b</w:t>
            </w:r>
          </w:p>
        </w:tc>
        <w:tc>
          <w:tcPr>
            <w:tcW w:w="2268" w:type="dxa"/>
          </w:tcPr>
          <w:p w14:paraId="7DF95AE7" w14:textId="77777777" w:rsidR="00F00D78" w:rsidRPr="0053042E" w:rsidRDefault="00F00D78" w:rsidP="00F84A3C">
            <w:pPr>
              <w:pStyle w:val="elementgraficznytabela"/>
              <w:spacing w:after="240" w:line="259" w:lineRule="auto"/>
              <w:contextualSpacing/>
              <w:cnfStyle w:val="000000000000" w:firstRow="0" w:lastRow="0" w:firstColumn="0" w:lastColumn="0" w:oddVBand="0" w:evenVBand="0" w:oddHBand="0" w:evenHBand="0" w:firstRowFirstColumn="0" w:firstRowLastColumn="0" w:lastRowFirstColumn="0" w:lastRowLastColumn="0"/>
            </w:pPr>
            <w:r w:rsidRPr="0053042E">
              <w:t>nie dotyczy</w:t>
            </w:r>
          </w:p>
        </w:tc>
      </w:tr>
      <w:tr w:rsidR="00F00D78" w:rsidRPr="0053042E" w14:paraId="39A57C01" w14:textId="77777777" w:rsidTr="000570F1">
        <w:trPr>
          <w:trHeight w:val="300"/>
        </w:trPr>
        <w:tc>
          <w:tcPr>
            <w:cnfStyle w:val="001000000000" w:firstRow="0" w:lastRow="0" w:firstColumn="1" w:lastColumn="0" w:oddVBand="0" w:evenVBand="0" w:oddHBand="0" w:evenHBand="0" w:firstRowFirstColumn="0" w:firstRowLastColumn="0" w:lastRowFirstColumn="0" w:lastRowLastColumn="0"/>
            <w:tcW w:w="2122" w:type="dxa"/>
            <w:hideMark/>
          </w:tcPr>
          <w:p w14:paraId="340FAB45" w14:textId="77777777" w:rsidR="00F00D78" w:rsidRPr="00A33A7C" w:rsidRDefault="00F00D78" w:rsidP="00F84A3C">
            <w:pPr>
              <w:pStyle w:val="elementgraficznytabela"/>
              <w:spacing w:after="240" w:line="259" w:lineRule="auto"/>
              <w:contextualSpacing/>
              <w:rPr>
                <w:b w:val="0"/>
                <w:bCs/>
              </w:rPr>
            </w:pPr>
            <w:r w:rsidRPr="00A33A7C">
              <w:rPr>
                <w:b w:val="0"/>
                <w:bCs/>
              </w:rPr>
              <w:t>Pb(PM10) – ołów w PM10</w:t>
            </w:r>
          </w:p>
        </w:tc>
        <w:tc>
          <w:tcPr>
            <w:tcW w:w="2268" w:type="dxa"/>
          </w:tcPr>
          <w:p w14:paraId="582A3741" w14:textId="77777777" w:rsidR="00F00D78" w:rsidRPr="0053042E" w:rsidRDefault="00F00D78" w:rsidP="00F84A3C">
            <w:pPr>
              <w:pStyle w:val="elementgraficznytabela"/>
              <w:spacing w:after="240" w:line="259" w:lineRule="auto"/>
              <w:contextualSpacing/>
              <w:cnfStyle w:val="000000000000" w:firstRow="0" w:lastRow="0" w:firstColumn="0" w:lastColumn="0" w:oddVBand="0" w:evenVBand="0" w:oddHBand="0" w:evenHBand="0" w:firstRowFirstColumn="0" w:firstRowLastColumn="0" w:lastRowFirstColumn="0" w:lastRowLastColumn="0"/>
            </w:pPr>
            <w:r w:rsidRPr="0053042E">
              <w:t>klasa 1</w:t>
            </w:r>
          </w:p>
        </w:tc>
        <w:tc>
          <w:tcPr>
            <w:tcW w:w="2268" w:type="dxa"/>
          </w:tcPr>
          <w:p w14:paraId="66969380" w14:textId="77777777" w:rsidR="00F00D78" w:rsidRPr="0053042E" w:rsidRDefault="00F00D78" w:rsidP="00F84A3C">
            <w:pPr>
              <w:pStyle w:val="elementgraficznytabela"/>
              <w:spacing w:after="240" w:line="259" w:lineRule="auto"/>
              <w:contextualSpacing/>
              <w:cnfStyle w:val="000000000000" w:firstRow="0" w:lastRow="0" w:firstColumn="0" w:lastColumn="0" w:oddVBand="0" w:evenVBand="0" w:oddHBand="0" w:evenHBand="0" w:firstRowFirstColumn="0" w:firstRowLastColumn="0" w:lastRowFirstColumn="0" w:lastRowLastColumn="0"/>
            </w:pPr>
            <w:r w:rsidRPr="0053042E">
              <w:t>nie dotyczy</w:t>
            </w:r>
          </w:p>
        </w:tc>
      </w:tr>
      <w:tr w:rsidR="00F00D78" w:rsidRPr="0053042E" w14:paraId="5EBE6315" w14:textId="77777777" w:rsidTr="000570F1">
        <w:trPr>
          <w:trHeight w:val="300"/>
        </w:trPr>
        <w:tc>
          <w:tcPr>
            <w:cnfStyle w:val="001000000000" w:firstRow="0" w:lastRow="0" w:firstColumn="1" w:lastColumn="0" w:oddVBand="0" w:evenVBand="0" w:oddHBand="0" w:evenHBand="0" w:firstRowFirstColumn="0" w:firstRowLastColumn="0" w:lastRowFirstColumn="0" w:lastRowLastColumn="0"/>
            <w:tcW w:w="2122" w:type="dxa"/>
            <w:hideMark/>
          </w:tcPr>
          <w:p w14:paraId="1C92F86C" w14:textId="77777777" w:rsidR="00F00D78" w:rsidRPr="00A33A7C" w:rsidRDefault="00F00D78" w:rsidP="00F84A3C">
            <w:pPr>
              <w:pStyle w:val="elementgraficznytabela"/>
              <w:spacing w:after="240" w:line="259" w:lineRule="auto"/>
              <w:contextualSpacing/>
              <w:rPr>
                <w:b w:val="0"/>
                <w:bCs/>
                <w:lang w:val="en-US"/>
              </w:rPr>
            </w:pPr>
            <w:r w:rsidRPr="00A33A7C">
              <w:rPr>
                <w:b w:val="0"/>
                <w:bCs/>
                <w:lang w:val="en-US"/>
              </w:rPr>
              <w:t>As(PM10) – arsen w PM10</w:t>
            </w:r>
          </w:p>
        </w:tc>
        <w:tc>
          <w:tcPr>
            <w:tcW w:w="2268" w:type="dxa"/>
          </w:tcPr>
          <w:p w14:paraId="4D511AB4" w14:textId="77777777" w:rsidR="00F00D78" w:rsidRPr="0053042E" w:rsidRDefault="00F00D78" w:rsidP="00F84A3C">
            <w:pPr>
              <w:pStyle w:val="elementgraficznytabela"/>
              <w:spacing w:after="240" w:line="259" w:lineRule="auto"/>
              <w:contextualSpacing/>
              <w:cnfStyle w:val="000000000000" w:firstRow="0" w:lastRow="0" w:firstColumn="0" w:lastColumn="0" w:oddVBand="0" w:evenVBand="0" w:oddHBand="0" w:evenHBand="0" w:firstRowFirstColumn="0" w:firstRowLastColumn="0" w:lastRowFirstColumn="0" w:lastRowLastColumn="0"/>
            </w:pPr>
            <w:r w:rsidRPr="0053042E">
              <w:t>klasa 1</w:t>
            </w:r>
          </w:p>
        </w:tc>
        <w:tc>
          <w:tcPr>
            <w:tcW w:w="2268" w:type="dxa"/>
          </w:tcPr>
          <w:p w14:paraId="3B7A5291" w14:textId="77777777" w:rsidR="00F00D78" w:rsidRPr="0053042E" w:rsidRDefault="00F00D78" w:rsidP="00F84A3C">
            <w:pPr>
              <w:pStyle w:val="elementgraficznytabela"/>
              <w:spacing w:after="240" w:line="259" w:lineRule="auto"/>
              <w:contextualSpacing/>
              <w:cnfStyle w:val="000000000000" w:firstRow="0" w:lastRow="0" w:firstColumn="0" w:lastColumn="0" w:oddVBand="0" w:evenVBand="0" w:oddHBand="0" w:evenHBand="0" w:firstRowFirstColumn="0" w:firstRowLastColumn="0" w:lastRowFirstColumn="0" w:lastRowLastColumn="0"/>
            </w:pPr>
            <w:r w:rsidRPr="0053042E">
              <w:t>nie dotyczy</w:t>
            </w:r>
          </w:p>
        </w:tc>
      </w:tr>
      <w:tr w:rsidR="00F00D78" w:rsidRPr="0053042E" w14:paraId="1899E5FA" w14:textId="77777777" w:rsidTr="000570F1">
        <w:trPr>
          <w:trHeight w:val="300"/>
        </w:trPr>
        <w:tc>
          <w:tcPr>
            <w:cnfStyle w:val="001000000000" w:firstRow="0" w:lastRow="0" w:firstColumn="1" w:lastColumn="0" w:oddVBand="0" w:evenVBand="0" w:oddHBand="0" w:evenHBand="0" w:firstRowFirstColumn="0" w:firstRowLastColumn="0" w:lastRowFirstColumn="0" w:lastRowLastColumn="0"/>
            <w:tcW w:w="2122" w:type="dxa"/>
            <w:hideMark/>
          </w:tcPr>
          <w:p w14:paraId="48EC17BC" w14:textId="77777777" w:rsidR="00F00D78" w:rsidRPr="00A33A7C" w:rsidRDefault="00F00D78" w:rsidP="00F84A3C">
            <w:pPr>
              <w:pStyle w:val="elementgraficznytabela"/>
              <w:spacing w:after="240" w:line="259" w:lineRule="auto"/>
              <w:contextualSpacing/>
              <w:rPr>
                <w:b w:val="0"/>
                <w:bCs/>
              </w:rPr>
            </w:pPr>
            <w:r w:rsidRPr="00A33A7C">
              <w:rPr>
                <w:b w:val="0"/>
                <w:bCs/>
              </w:rPr>
              <w:t>Cd(PM10) – kadm W PM10</w:t>
            </w:r>
          </w:p>
        </w:tc>
        <w:tc>
          <w:tcPr>
            <w:tcW w:w="2268" w:type="dxa"/>
          </w:tcPr>
          <w:p w14:paraId="245771D9" w14:textId="77777777" w:rsidR="00F00D78" w:rsidRPr="0053042E" w:rsidRDefault="00F00D78" w:rsidP="00F84A3C">
            <w:pPr>
              <w:pStyle w:val="elementgraficznytabela"/>
              <w:spacing w:after="240" w:line="259" w:lineRule="auto"/>
              <w:contextualSpacing/>
              <w:cnfStyle w:val="000000000000" w:firstRow="0" w:lastRow="0" w:firstColumn="0" w:lastColumn="0" w:oddVBand="0" w:evenVBand="0" w:oddHBand="0" w:evenHBand="0" w:firstRowFirstColumn="0" w:firstRowLastColumn="0" w:lastRowFirstColumn="0" w:lastRowLastColumn="0"/>
            </w:pPr>
            <w:r w:rsidRPr="0053042E">
              <w:t>klasa 1</w:t>
            </w:r>
          </w:p>
        </w:tc>
        <w:tc>
          <w:tcPr>
            <w:tcW w:w="2268" w:type="dxa"/>
          </w:tcPr>
          <w:p w14:paraId="49B7508C" w14:textId="77777777" w:rsidR="00F00D78" w:rsidRPr="0053042E" w:rsidRDefault="00F00D78" w:rsidP="00F84A3C">
            <w:pPr>
              <w:pStyle w:val="elementgraficznytabela"/>
              <w:spacing w:after="240" w:line="259" w:lineRule="auto"/>
              <w:contextualSpacing/>
              <w:cnfStyle w:val="000000000000" w:firstRow="0" w:lastRow="0" w:firstColumn="0" w:lastColumn="0" w:oddVBand="0" w:evenVBand="0" w:oddHBand="0" w:evenHBand="0" w:firstRowFirstColumn="0" w:firstRowLastColumn="0" w:lastRowFirstColumn="0" w:lastRowLastColumn="0"/>
            </w:pPr>
            <w:r w:rsidRPr="0053042E">
              <w:t>nie dotyczy</w:t>
            </w:r>
          </w:p>
        </w:tc>
      </w:tr>
      <w:tr w:rsidR="00F00D78" w:rsidRPr="0053042E" w14:paraId="498A571B" w14:textId="77777777" w:rsidTr="000570F1">
        <w:trPr>
          <w:trHeight w:val="300"/>
        </w:trPr>
        <w:tc>
          <w:tcPr>
            <w:cnfStyle w:val="001000000000" w:firstRow="0" w:lastRow="0" w:firstColumn="1" w:lastColumn="0" w:oddVBand="0" w:evenVBand="0" w:oddHBand="0" w:evenHBand="0" w:firstRowFirstColumn="0" w:firstRowLastColumn="0" w:lastRowFirstColumn="0" w:lastRowLastColumn="0"/>
            <w:tcW w:w="2122" w:type="dxa"/>
            <w:hideMark/>
          </w:tcPr>
          <w:p w14:paraId="63185680" w14:textId="77777777" w:rsidR="00F00D78" w:rsidRPr="00A33A7C" w:rsidRDefault="00F00D78" w:rsidP="00F84A3C">
            <w:pPr>
              <w:pStyle w:val="elementgraficznytabela"/>
              <w:spacing w:after="240" w:line="259" w:lineRule="auto"/>
              <w:contextualSpacing/>
              <w:rPr>
                <w:b w:val="0"/>
                <w:bCs/>
              </w:rPr>
            </w:pPr>
            <w:r w:rsidRPr="00A33A7C">
              <w:rPr>
                <w:b w:val="0"/>
                <w:bCs/>
              </w:rPr>
              <w:t>Ni(PM10) – nikiel w PM10</w:t>
            </w:r>
          </w:p>
        </w:tc>
        <w:tc>
          <w:tcPr>
            <w:tcW w:w="2268" w:type="dxa"/>
          </w:tcPr>
          <w:p w14:paraId="37BB4C8F" w14:textId="77777777" w:rsidR="00F00D78" w:rsidRPr="0053042E" w:rsidRDefault="00F00D78" w:rsidP="00F84A3C">
            <w:pPr>
              <w:pStyle w:val="elementgraficznytabela"/>
              <w:spacing w:after="240" w:line="259" w:lineRule="auto"/>
              <w:contextualSpacing/>
              <w:cnfStyle w:val="000000000000" w:firstRow="0" w:lastRow="0" w:firstColumn="0" w:lastColumn="0" w:oddVBand="0" w:evenVBand="0" w:oddHBand="0" w:evenHBand="0" w:firstRowFirstColumn="0" w:firstRowLastColumn="0" w:lastRowFirstColumn="0" w:lastRowLastColumn="0"/>
            </w:pPr>
            <w:r w:rsidRPr="0053042E">
              <w:t>klasa 1</w:t>
            </w:r>
          </w:p>
        </w:tc>
        <w:tc>
          <w:tcPr>
            <w:tcW w:w="2268" w:type="dxa"/>
          </w:tcPr>
          <w:p w14:paraId="2774DE8C" w14:textId="77777777" w:rsidR="00F00D78" w:rsidRPr="0053042E" w:rsidRDefault="00F00D78" w:rsidP="00F84A3C">
            <w:pPr>
              <w:pStyle w:val="elementgraficznytabela"/>
              <w:spacing w:after="240" w:line="259" w:lineRule="auto"/>
              <w:contextualSpacing/>
              <w:cnfStyle w:val="000000000000" w:firstRow="0" w:lastRow="0" w:firstColumn="0" w:lastColumn="0" w:oddVBand="0" w:evenVBand="0" w:oddHBand="0" w:evenHBand="0" w:firstRowFirstColumn="0" w:firstRowLastColumn="0" w:lastRowFirstColumn="0" w:lastRowLastColumn="0"/>
            </w:pPr>
            <w:r w:rsidRPr="0053042E">
              <w:t>nie dotyczy</w:t>
            </w:r>
          </w:p>
        </w:tc>
      </w:tr>
      <w:tr w:rsidR="00F00D78" w:rsidRPr="0053042E" w14:paraId="0D30E391" w14:textId="77777777" w:rsidTr="000570F1">
        <w:trPr>
          <w:trHeight w:val="300"/>
        </w:trPr>
        <w:tc>
          <w:tcPr>
            <w:cnfStyle w:val="001000000000" w:firstRow="0" w:lastRow="0" w:firstColumn="1" w:lastColumn="0" w:oddVBand="0" w:evenVBand="0" w:oddHBand="0" w:evenHBand="0" w:firstRowFirstColumn="0" w:firstRowLastColumn="0" w:lastRowFirstColumn="0" w:lastRowLastColumn="0"/>
            <w:tcW w:w="2122" w:type="dxa"/>
            <w:hideMark/>
          </w:tcPr>
          <w:p w14:paraId="5B3C9421" w14:textId="77777777" w:rsidR="00F00D78" w:rsidRPr="00A33A7C" w:rsidRDefault="00F00D78" w:rsidP="00F84A3C">
            <w:pPr>
              <w:pStyle w:val="elementgraficznytabela"/>
              <w:spacing w:after="240" w:line="259" w:lineRule="auto"/>
              <w:contextualSpacing/>
              <w:rPr>
                <w:b w:val="0"/>
                <w:bCs/>
                <w:lang w:val="en-US"/>
              </w:rPr>
            </w:pPr>
            <w:r w:rsidRPr="00A33A7C">
              <w:rPr>
                <w:b w:val="0"/>
                <w:bCs/>
                <w:lang w:val="en-US"/>
              </w:rPr>
              <w:t xml:space="preserve">BaP(PM10) - </w:t>
            </w:r>
            <w:r w:rsidRPr="00A33A7C">
              <w:rPr>
                <w:rFonts w:cstheme="minorHAnsi"/>
                <w:b w:val="0"/>
                <w:bCs/>
                <w:lang w:val="en-US"/>
              </w:rPr>
              <w:t>benzo(a)pirenu  WPM10</w:t>
            </w:r>
          </w:p>
        </w:tc>
        <w:tc>
          <w:tcPr>
            <w:tcW w:w="2268" w:type="dxa"/>
          </w:tcPr>
          <w:p w14:paraId="3E0B905A" w14:textId="77777777" w:rsidR="00F00D78" w:rsidRPr="0053042E" w:rsidRDefault="00F00D78" w:rsidP="00F84A3C">
            <w:pPr>
              <w:pStyle w:val="elementgraficznytabela"/>
              <w:spacing w:after="240" w:line="259" w:lineRule="auto"/>
              <w:contextualSpacing/>
              <w:cnfStyle w:val="000000000000" w:firstRow="0" w:lastRow="0" w:firstColumn="0" w:lastColumn="0" w:oddVBand="0" w:evenVBand="0" w:oddHBand="0" w:evenHBand="0" w:firstRowFirstColumn="0" w:firstRowLastColumn="0" w:lastRowFirstColumn="0" w:lastRowLastColumn="0"/>
            </w:pPr>
            <w:r w:rsidRPr="0053042E">
              <w:t>klasa 3b</w:t>
            </w:r>
          </w:p>
        </w:tc>
        <w:tc>
          <w:tcPr>
            <w:tcW w:w="2268" w:type="dxa"/>
          </w:tcPr>
          <w:p w14:paraId="5CADA8C8" w14:textId="77777777" w:rsidR="00F00D78" w:rsidRPr="0053042E" w:rsidRDefault="00F00D78" w:rsidP="00F84A3C">
            <w:pPr>
              <w:pStyle w:val="elementgraficznytabela"/>
              <w:spacing w:after="240" w:line="259" w:lineRule="auto"/>
              <w:contextualSpacing/>
              <w:cnfStyle w:val="000000000000" w:firstRow="0" w:lastRow="0" w:firstColumn="0" w:lastColumn="0" w:oddVBand="0" w:evenVBand="0" w:oddHBand="0" w:evenHBand="0" w:firstRowFirstColumn="0" w:firstRowLastColumn="0" w:lastRowFirstColumn="0" w:lastRowLastColumn="0"/>
            </w:pPr>
            <w:r w:rsidRPr="0053042E">
              <w:t>nie dotyczy</w:t>
            </w:r>
          </w:p>
        </w:tc>
      </w:tr>
      <w:tr w:rsidR="00F00D78" w:rsidRPr="0053042E" w14:paraId="26859508" w14:textId="77777777" w:rsidTr="000570F1">
        <w:trPr>
          <w:trHeight w:val="300"/>
        </w:trPr>
        <w:tc>
          <w:tcPr>
            <w:cnfStyle w:val="001000000000" w:firstRow="0" w:lastRow="0" w:firstColumn="1" w:lastColumn="0" w:oddVBand="0" w:evenVBand="0" w:oddHBand="0" w:evenHBand="0" w:firstRowFirstColumn="0" w:firstRowLastColumn="0" w:lastRowFirstColumn="0" w:lastRowLastColumn="0"/>
            <w:tcW w:w="2122" w:type="dxa"/>
            <w:hideMark/>
          </w:tcPr>
          <w:p w14:paraId="2796DC29" w14:textId="3F41BD47" w:rsidR="00F00D78" w:rsidRPr="00A33A7C" w:rsidRDefault="00F00D78" w:rsidP="00F84A3C">
            <w:pPr>
              <w:pStyle w:val="elementgraficznytabela"/>
              <w:spacing w:after="240" w:line="259" w:lineRule="auto"/>
              <w:contextualSpacing/>
              <w:rPr>
                <w:b w:val="0"/>
                <w:bCs/>
              </w:rPr>
            </w:pPr>
            <w:r w:rsidRPr="00A33A7C">
              <w:rPr>
                <w:b w:val="0"/>
                <w:bCs/>
              </w:rPr>
              <w:t xml:space="preserve">PM2,5- pył zawieszony </w:t>
            </w:r>
          </w:p>
        </w:tc>
        <w:tc>
          <w:tcPr>
            <w:tcW w:w="2268" w:type="dxa"/>
          </w:tcPr>
          <w:p w14:paraId="6188EA5B" w14:textId="77777777" w:rsidR="00F00D78" w:rsidRPr="0053042E" w:rsidRDefault="00F00D78" w:rsidP="00F84A3C">
            <w:pPr>
              <w:pStyle w:val="elementgraficznytabela"/>
              <w:spacing w:after="240" w:line="259" w:lineRule="auto"/>
              <w:contextualSpacing/>
              <w:cnfStyle w:val="000000000000" w:firstRow="0" w:lastRow="0" w:firstColumn="0" w:lastColumn="0" w:oddVBand="0" w:evenVBand="0" w:oddHBand="0" w:evenHBand="0" w:firstRowFirstColumn="0" w:firstRowLastColumn="0" w:lastRowFirstColumn="0" w:lastRowLastColumn="0"/>
            </w:pPr>
            <w:r w:rsidRPr="0053042E">
              <w:t>klasa 2</w:t>
            </w:r>
          </w:p>
        </w:tc>
        <w:tc>
          <w:tcPr>
            <w:tcW w:w="2268" w:type="dxa"/>
          </w:tcPr>
          <w:p w14:paraId="5C93A09D" w14:textId="77777777" w:rsidR="00F00D78" w:rsidRPr="0053042E" w:rsidRDefault="00F00D78" w:rsidP="00F84A3C">
            <w:pPr>
              <w:pStyle w:val="elementgraficznytabela"/>
              <w:spacing w:after="240" w:line="259" w:lineRule="auto"/>
              <w:contextualSpacing/>
              <w:cnfStyle w:val="000000000000" w:firstRow="0" w:lastRow="0" w:firstColumn="0" w:lastColumn="0" w:oddVBand="0" w:evenVBand="0" w:oddHBand="0" w:evenHBand="0" w:firstRowFirstColumn="0" w:firstRowLastColumn="0" w:lastRowFirstColumn="0" w:lastRowLastColumn="0"/>
            </w:pPr>
            <w:r w:rsidRPr="0053042E">
              <w:t>nie dotyczy</w:t>
            </w:r>
          </w:p>
        </w:tc>
      </w:tr>
      <w:tr w:rsidR="00F00D78" w:rsidRPr="0053042E" w14:paraId="4D34B393" w14:textId="77777777" w:rsidTr="000570F1">
        <w:trPr>
          <w:trHeight w:val="300"/>
        </w:trPr>
        <w:tc>
          <w:tcPr>
            <w:cnfStyle w:val="001000000000" w:firstRow="0" w:lastRow="0" w:firstColumn="1" w:lastColumn="0" w:oddVBand="0" w:evenVBand="0" w:oddHBand="0" w:evenHBand="0" w:firstRowFirstColumn="0" w:firstRowLastColumn="0" w:lastRowFirstColumn="0" w:lastRowLastColumn="0"/>
            <w:tcW w:w="2122" w:type="dxa"/>
            <w:hideMark/>
          </w:tcPr>
          <w:p w14:paraId="6DB32041" w14:textId="77777777" w:rsidR="00F00D78" w:rsidRPr="00A33A7C" w:rsidRDefault="00F00D78" w:rsidP="00F84A3C">
            <w:pPr>
              <w:pStyle w:val="elementgraficznytabela"/>
              <w:spacing w:after="240" w:line="259" w:lineRule="auto"/>
              <w:contextualSpacing/>
              <w:rPr>
                <w:b w:val="0"/>
                <w:bCs/>
              </w:rPr>
            </w:pPr>
            <w:r w:rsidRPr="00A33A7C">
              <w:rPr>
                <w:b w:val="0"/>
                <w:bCs/>
              </w:rPr>
              <w:t>NO</w:t>
            </w:r>
            <w:r w:rsidRPr="00A33A7C">
              <w:rPr>
                <w:b w:val="0"/>
                <w:bCs/>
                <w:vertAlign w:val="subscript"/>
              </w:rPr>
              <w:t xml:space="preserve">X – </w:t>
            </w:r>
            <w:r w:rsidRPr="00A33A7C">
              <w:rPr>
                <w:b w:val="0"/>
                <w:bCs/>
              </w:rPr>
              <w:t>tlenek azotu</w:t>
            </w:r>
          </w:p>
        </w:tc>
        <w:tc>
          <w:tcPr>
            <w:tcW w:w="2268" w:type="dxa"/>
          </w:tcPr>
          <w:p w14:paraId="0BE96157" w14:textId="77777777" w:rsidR="00F00D78" w:rsidRPr="0053042E" w:rsidRDefault="00F00D78" w:rsidP="00F84A3C">
            <w:pPr>
              <w:pStyle w:val="elementgraficznytabela"/>
              <w:spacing w:after="240" w:line="259" w:lineRule="auto"/>
              <w:contextualSpacing/>
              <w:cnfStyle w:val="000000000000" w:firstRow="0" w:lastRow="0" w:firstColumn="0" w:lastColumn="0" w:oddVBand="0" w:evenVBand="0" w:oddHBand="0" w:evenHBand="0" w:firstRowFirstColumn="0" w:firstRowLastColumn="0" w:lastRowFirstColumn="0" w:lastRowLastColumn="0"/>
            </w:pPr>
            <w:r w:rsidRPr="0053042E">
              <w:t>nie dotyczy</w:t>
            </w:r>
          </w:p>
        </w:tc>
        <w:tc>
          <w:tcPr>
            <w:tcW w:w="2268" w:type="dxa"/>
          </w:tcPr>
          <w:p w14:paraId="134806AC" w14:textId="77777777" w:rsidR="00F00D78" w:rsidRPr="0053042E" w:rsidRDefault="00F00D78" w:rsidP="00F84A3C">
            <w:pPr>
              <w:pStyle w:val="elementgraficznytabela"/>
              <w:spacing w:after="240" w:line="259" w:lineRule="auto"/>
              <w:contextualSpacing/>
              <w:cnfStyle w:val="000000000000" w:firstRow="0" w:lastRow="0" w:firstColumn="0" w:lastColumn="0" w:oddVBand="0" w:evenVBand="0" w:oddHBand="0" w:evenHBand="0" w:firstRowFirstColumn="0" w:firstRowLastColumn="0" w:lastRowFirstColumn="0" w:lastRowLastColumn="0"/>
            </w:pPr>
            <w:r w:rsidRPr="0053042E">
              <w:t>klasa 1</w:t>
            </w:r>
          </w:p>
        </w:tc>
      </w:tr>
    </w:tbl>
    <w:p w14:paraId="37592813" w14:textId="09C5BB56" w:rsidR="00F00D78" w:rsidRPr="00733091" w:rsidRDefault="00F00D78" w:rsidP="00C16CB1">
      <w:pPr>
        <w:pStyle w:val="podpiselementu"/>
        <w:spacing w:after="240"/>
        <w:rPr>
          <w:lang w:val="pl-PL"/>
        </w:rPr>
      </w:pPr>
      <w:r w:rsidRPr="00733091">
        <w:rPr>
          <w:lang w:val="pl-PL"/>
        </w:rPr>
        <w:t>Źródło: Pięcioletnia ocena jakości powietrza w województwie warmińsko-mazurskim. Raport wojewódzki za lata 2014-2018. Regionalny Wydział Monitoringu Środowiska Głównego Inspektoratu Ochrony Środowiska, Olsztyn 2019</w:t>
      </w:r>
    </w:p>
    <w:p w14:paraId="1E6898BD" w14:textId="69A69B31" w:rsidR="001E162D" w:rsidRPr="00690E7F" w:rsidRDefault="000C65BC" w:rsidP="00733091">
      <w:pPr>
        <w:pStyle w:val="Nagwek4"/>
        <w:spacing w:before="120" w:after="240"/>
      </w:pPr>
      <w:r w:rsidRPr="000C65BC">
        <w:t>Infrastruktura służąca ochronie środowiska</w:t>
      </w:r>
    </w:p>
    <w:p w14:paraId="66F56CFE" w14:textId="3D17ADB7" w:rsidR="00F00D78" w:rsidRPr="00733091" w:rsidRDefault="00F00D78" w:rsidP="002B3D05">
      <w:pPr>
        <w:rPr>
          <w:lang w:val="pl-PL"/>
        </w:rPr>
      </w:pPr>
      <w:r w:rsidRPr="00733091">
        <w:rPr>
          <w:lang w:val="pl-PL"/>
        </w:rPr>
        <w:t>Poważnym zagrożeniem dla środowiska naturalnego są wytworzone przez człowieka odpady i nieczystości.</w:t>
      </w:r>
    </w:p>
    <w:p w14:paraId="2C48D831" w14:textId="44E55B9E" w:rsidR="00F00D78" w:rsidRPr="00733091" w:rsidRDefault="00F00D78" w:rsidP="002B3D05">
      <w:pPr>
        <w:rPr>
          <w:lang w:val="pl-PL"/>
        </w:rPr>
      </w:pPr>
      <w:r w:rsidRPr="00733091">
        <w:rPr>
          <w:lang w:val="pl-PL"/>
        </w:rPr>
        <w:t xml:space="preserve">W 2019 r. każdy mieszkaniec Południowych Mazur wytworzył średnio 275 kg śmieci, przy czym najwięcej tego typu odpadów pojawiło się na terenie powiatu piskiego (350 kg na osobę), natomiast najmniej szczycieńskiego (234 kg na osobę). Suma odpadów komunalnych zebrana ogółem na terenie PM wyniosła 61.922,41 </w:t>
      </w:r>
      <w:r w:rsidRPr="00733091">
        <w:rPr>
          <w:lang w:val="pl-PL"/>
        </w:rPr>
        <w:lastRenderedPageBreak/>
        <w:t>ton (co stanowiło 14,2% odpadów wygenerowanych w całym województwie). Zdecydowaną większość stanowiły odpady wytworzone przez gospodarstwa domowe, których udział w ogólnej masie śmieci zebranych na terenie Południowych Mazur w ciągu ostatnich trzech lat</w:t>
      </w:r>
      <w:r w:rsidRPr="006D336B">
        <w:rPr>
          <w:rStyle w:val="Odwoanieprzypisudolnego"/>
          <w:rFonts w:cstheme="majorHAnsi"/>
        </w:rPr>
        <w:footnoteReference w:id="103"/>
      </w:r>
      <w:r w:rsidRPr="00733091">
        <w:rPr>
          <w:lang w:val="pl-PL"/>
        </w:rPr>
        <w:t xml:space="preserve"> wyniósł odpowiednio: 81,9% w 2017 r., 81,0% w 2018 r. i 79,0% w 2019 r.</w:t>
      </w:r>
    </w:p>
    <w:p w14:paraId="245C9669" w14:textId="6D2107E3" w:rsidR="00F00D78" w:rsidRPr="00733091" w:rsidRDefault="00F00D78" w:rsidP="002B3D05">
      <w:pPr>
        <w:rPr>
          <w:lang w:val="pl-PL"/>
        </w:rPr>
      </w:pPr>
      <w:r w:rsidRPr="00733091">
        <w:rPr>
          <w:lang w:val="pl-PL"/>
        </w:rPr>
        <w:t xml:space="preserve">Jedną z form ochrony środowiska naturalnego jest przetwarzanie odpadów, </w:t>
      </w:r>
      <w:r w:rsidR="00E74850">
        <w:rPr>
          <w:lang w:val="pl-PL"/>
        </w:rPr>
        <w:br/>
      </w:r>
      <w:r w:rsidRPr="00733091">
        <w:rPr>
          <w:lang w:val="pl-PL"/>
        </w:rPr>
        <w:t>a pierwszym krokiem w tym kierunku – wprowadzenie selektywnej zbiórki odpadów. Najwyższy odsetek odpadów zebranych w ten sposób w relacji do ogółu odpadów odnotowano w 2019 r. w powiecie działdowskim (53,9% przy średniej wojewódzkiej wynoszącej 22,1%), natomiast najniższy w piskim (14,5%). Pomimo występujących różnic w tym zakresie na terenie Partnerstwa odsetek odpadów segregowanych w odpadach ogółem na terenie Południowych Mazur zwiększył się o 4,83 punktu procentowego od 2017 r.</w:t>
      </w:r>
    </w:p>
    <w:p w14:paraId="16336FB2" w14:textId="77777777" w:rsidR="00E74850" w:rsidRDefault="00F00D78" w:rsidP="00E74850">
      <w:pPr>
        <w:rPr>
          <w:lang w:val="pl-PL"/>
        </w:rPr>
      </w:pPr>
      <w:r w:rsidRPr="00733091">
        <w:rPr>
          <w:lang w:val="pl-PL"/>
        </w:rPr>
        <w:t>W ramach gospodarki wodno-ściekowej rozpatrywana jest m.in. wielkość poboru wody oraz sprawność systemu oczyszczania ścieków.</w:t>
      </w:r>
    </w:p>
    <w:p w14:paraId="69435EF4" w14:textId="400EE351" w:rsidR="00F00D78" w:rsidRPr="00733091" w:rsidRDefault="00F00D78" w:rsidP="00E74850">
      <w:pPr>
        <w:rPr>
          <w:lang w:val="pl-PL"/>
        </w:rPr>
      </w:pPr>
      <w:r w:rsidRPr="00733091">
        <w:rPr>
          <w:lang w:val="pl-PL"/>
        </w:rPr>
        <w:t>Zużycie wody na terenie Południowych Mazur podlegało w ciągu ostatnich dziewięciu lat wahaniom, osiągając wartość maksymalną w 2010 r. (15.656,4 dam</w:t>
      </w:r>
      <w:r w:rsidRPr="00733091">
        <w:rPr>
          <w:vertAlign w:val="superscript"/>
          <w:lang w:val="pl-PL"/>
        </w:rPr>
        <w:t>3</w:t>
      </w:r>
      <w:r w:rsidRPr="00733091">
        <w:rPr>
          <w:lang w:val="pl-PL"/>
        </w:rPr>
        <w:t>) i minimalną w 2019 r. (12.187,8 dam</w:t>
      </w:r>
      <w:r w:rsidRPr="00733091">
        <w:rPr>
          <w:vertAlign w:val="superscript"/>
          <w:lang w:val="pl-PL"/>
        </w:rPr>
        <w:t>3</w:t>
      </w:r>
      <w:r w:rsidRPr="00733091">
        <w:rPr>
          <w:lang w:val="pl-PL"/>
        </w:rPr>
        <w:t>). Różnica wynosząca 3.468,6 dam</w:t>
      </w:r>
      <w:r w:rsidRPr="00733091">
        <w:rPr>
          <w:vertAlign w:val="superscript"/>
          <w:lang w:val="pl-PL"/>
        </w:rPr>
        <w:t>3</w:t>
      </w:r>
      <w:r w:rsidRPr="00733091">
        <w:rPr>
          <w:lang w:val="pl-PL"/>
        </w:rPr>
        <w:t xml:space="preserve"> to efekt ograniczenia wykorzystania tego zasobu, o czym świadczą indeksy jednopodstawowe</w:t>
      </w:r>
      <w:r w:rsidRPr="006D336B">
        <w:rPr>
          <w:rStyle w:val="Odwoanieprzypisudolnego"/>
          <w:rFonts w:cstheme="majorHAnsi"/>
        </w:rPr>
        <w:footnoteReference w:id="104"/>
      </w:r>
      <w:r w:rsidRPr="00733091">
        <w:rPr>
          <w:lang w:val="pl-PL"/>
        </w:rPr>
        <w:t xml:space="preserve"> zużycia wody 2019/2010 wyznaczone dla poszczególnych powiatów. Wskazują one, m.in. że przemysł zlokalizowany na terenie powiatu nidzickiego zużył w 2019 r. o 76,4% wody mniej niż w 2010 r., na obszarze powiatu działdowskiego o 52,1%, a redukcja zużycia wody na potrzeby rolnictwa i leśnictwa w powiecie szczycieńskim wyniosła 98,6%</w:t>
      </w:r>
      <w:r>
        <w:rPr>
          <w:rStyle w:val="Odwoanieprzypisudolnego"/>
          <w:rFonts w:cstheme="majorHAnsi"/>
        </w:rPr>
        <w:footnoteReference w:id="105"/>
      </w:r>
      <w:r w:rsidRPr="00733091">
        <w:rPr>
          <w:lang w:val="pl-PL"/>
        </w:rPr>
        <w:t>.</w:t>
      </w:r>
    </w:p>
    <w:p w14:paraId="0B4509C9" w14:textId="4A979B2E" w:rsidR="00A33A7C" w:rsidRPr="00A33A7C" w:rsidRDefault="00F00D78" w:rsidP="00A33A7C">
      <w:pPr>
        <w:rPr>
          <w:lang w:val="pl-PL"/>
        </w:rPr>
      </w:pPr>
      <w:r w:rsidRPr="00733091">
        <w:rPr>
          <w:lang w:val="pl-PL"/>
        </w:rPr>
        <w:t>Gospodarstwa domowe i podmioty gospodarki narodowej wpływają na zasoby wodne także poprzez emisje ścieków o różnym stopniu oczyszczenia. W 2019 r. 100% wytworzonych ścieków wytworzonych na terenie Południowych Maur podlegało oczyszczaniu (w skali województwa odsetek ten wyniósł 93,6%).</w:t>
      </w:r>
      <w:r w:rsidR="00A33A7C">
        <w:rPr>
          <w:lang w:val="pl-PL"/>
        </w:rPr>
        <w:t xml:space="preserve"> </w:t>
      </w:r>
      <w:r w:rsidRPr="00733091">
        <w:rPr>
          <w:lang w:val="pl-PL"/>
        </w:rPr>
        <w:t xml:space="preserve">Zdecydowaną większość stanowiły ścieki komunalne, których w latach 2010-2019 </w:t>
      </w:r>
      <w:r w:rsidRPr="00733091">
        <w:rPr>
          <w:lang w:val="pl-PL"/>
        </w:rPr>
        <w:lastRenderedPageBreak/>
        <w:t>wytworzono średnio 107,87 dam</w:t>
      </w:r>
      <w:r w:rsidRPr="00733091">
        <w:rPr>
          <w:vertAlign w:val="superscript"/>
          <w:lang w:val="pl-PL"/>
        </w:rPr>
        <w:t>3</w:t>
      </w:r>
      <w:r w:rsidRPr="00733091">
        <w:rPr>
          <w:lang w:val="pl-PL"/>
        </w:rPr>
        <w:t>/100 km</w:t>
      </w:r>
      <w:r w:rsidRPr="00733091">
        <w:rPr>
          <w:vertAlign w:val="superscript"/>
          <w:lang w:val="pl-PL"/>
        </w:rPr>
        <w:t>2</w:t>
      </w:r>
      <w:r w:rsidRPr="00733091">
        <w:rPr>
          <w:lang w:val="pl-PL"/>
        </w:rPr>
        <w:t xml:space="preserve"> (w województwie 191,62 dam</w:t>
      </w:r>
      <w:r w:rsidRPr="00733091">
        <w:rPr>
          <w:vertAlign w:val="superscript"/>
          <w:lang w:val="pl-PL"/>
        </w:rPr>
        <w:t>3</w:t>
      </w:r>
      <w:r w:rsidRPr="00733091">
        <w:rPr>
          <w:lang w:val="pl-PL"/>
        </w:rPr>
        <w:t>/100 km</w:t>
      </w:r>
      <w:r w:rsidRPr="00733091">
        <w:rPr>
          <w:vertAlign w:val="superscript"/>
          <w:lang w:val="pl-PL"/>
        </w:rPr>
        <w:t>2</w:t>
      </w:r>
      <w:r w:rsidRPr="00733091">
        <w:rPr>
          <w:lang w:val="pl-PL"/>
        </w:rPr>
        <w:t>).</w:t>
      </w:r>
    </w:p>
    <w:p w14:paraId="670703E2" w14:textId="7D6D39F4" w:rsidR="001E162D" w:rsidRPr="00A33A7C" w:rsidRDefault="006E2A43" w:rsidP="00733091">
      <w:pPr>
        <w:pStyle w:val="Nagwek3"/>
        <w:spacing w:after="240"/>
        <w:rPr>
          <w:lang w:val="pl-PL"/>
        </w:rPr>
      </w:pPr>
      <w:bookmarkStart w:id="153" w:name="_Toc69725450"/>
      <w:r w:rsidRPr="00A33A7C">
        <w:rPr>
          <w:lang w:val="pl-PL"/>
        </w:rPr>
        <w:t>Ład i struktura przestrzenna obszaru</w:t>
      </w:r>
      <w:bookmarkEnd w:id="153"/>
    </w:p>
    <w:p w14:paraId="16ECE5CC" w14:textId="77777777" w:rsidR="00F00D78" w:rsidRPr="00733091" w:rsidRDefault="00F00D78" w:rsidP="00733091">
      <w:pPr>
        <w:rPr>
          <w:lang w:val="pl-PL"/>
        </w:rPr>
      </w:pPr>
      <w:r w:rsidRPr="00733091">
        <w:rPr>
          <w:lang w:val="pl-PL"/>
        </w:rPr>
        <w:t>Ład i struktura przestrzenna obszaru rozpatrywana jest w kontekście struktury administracyjnej oraz gęstości zaludnienia Południowych Mazur, a także stosowania – na terenie Partnerstwa – zintegrowanego systemu planowania przestrzennego.</w:t>
      </w:r>
    </w:p>
    <w:p w14:paraId="6829C241" w14:textId="464241BB" w:rsidR="001E162D" w:rsidRPr="00690E7F" w:rsidRDefault="00784AD0" w:rsidP="00733091">
      <w:pPr>
        <w:pStyle w:val="Nagwek4"/>
        <w:spacing w:before="120" w:after="240"/>
      </w:pPr>
      <w:r>
        <w:t>S</w:t>
      </w:r>
      <w:r w:rsidRPr="00784AD0">
        <w:t>truktura przestrzenna obszaru</w:t>
      </w:r>
    </w:p>
    <w:p w14:paraId="21AD78DD" w14:textId="7F9A5689" w:rsidR="00F00D78" w:rsidRPr="00733091" w:rsidRDefault="00F00D78" w:rsidP="00733091">
      <w:pPr>
        <w:rPr>
          <w:lang w:val="pl-PL"/>
        </w:rPr>
      </w:pPr>
      <w:r w:rsidRPr="00733091">
        <w:rPr>
          <w:lang w:val="pl-PL"/>
        </w:rPr>
        <w:t>Administracyjnie obszar Partnerstwa tworzą cztery powiaty ziemskie w obrębie których leżą 22 gminy</w:t>
      </w:r>
      <w:r>
        <w:rPr>
          <w:rStyle w:val="Odwoanieprzypisudolnego"/>
        </w:rPr>
        <w:footnoteReference w:id="106"/>
      </w:r>
      <w:r w:rsidRPr="00733091">
        <w:rPr>
          <w:lang w:val="pl-PL"/>
        </w:rPr>
        <w:t xml:space="preserve">, 483 sołectwa (w tym: 135 w powiecie szczycieńskim, 133 w piskim, 110 w nidzickim, 105 w działdowskim) oraz 752 miejscowości (w tym: 228 w powiecie szczycieńskim, 213 w </w:t>
      </w:r>
      <w:r w:rsidR="00E74850">
        <w:rPr>
          <w:lang w:val="pl-PL"/>
        </w:rPr>
        <w:t xml:space="preserve">powiecie </w:t>
      </w:r>
      <w:r w:rsidRPr="00733091">
        <w:rPr>
          <w:lang w:val="pl-PL"/>
        </w:rPr>
        <w:t xml:space="preserve">piskim, 172 w </w:t>
      </w:r>
      <w:r w:rsidR="00E74850">
        <w:rPr>
          <w:lang w:val="pl-PL"/>
        </w:rPr>
        <w:t xml:space="preserve">powiecie </w:t>
      </w:r>
      <w:r w:rsidRPr="00733091">
        <w:rPr>
          <w:lang w:val="pl-PL"/>
        </w:rPr>
        <w:t xml:space="preserve">nidzickim, 139 w </w:t>
      </w:r>
      <w:r w:rsidR="00E74850">
        <w:rPr>
          <w:lang w:val="pl-PL"/>
        </w:rPr>
        <w:t xml:space="preserve">powiecie </w:t>
      </w:r>
      <w:r w:rsidRPr="00733091">
        <w:rPr>
          <w:lang w:val="pl-PL"/>
        </w:rPr>
        <w:t>działdowskim).</w:t>
      </w:r>
    </w:p>
    <w:p w14:paraId="2D6D5CC3" w14:textId="203B8389" w:rsidR="00BA5A72" w:rsidRPr="007477A4" w:rsidRDefault="00BA5A72" w:rsidP="002E24A9">
      <w:pPr>
        <w:pStyle w:val="Legenda"/>
        <w:rPr>
          <w:lang w:val="pl-PL"/>
        </w:rPr>
      </w:pPr>
      <w:bookmarkStart w:id="154" w:name="_Toc69596615"/>
      <w:r w:rsidRPr="007477A4">
        <w:rPr>
          <w:lang w:val="pl-PL"/>
        </w:rPr>
        <w:t xml:space="preserve">Mapa </w:t>
      </w:r>
      <w:r w:rsidR="00733091">
        <w:fldChar w:fldCharType="begin"/>
      </w:r>
      <w:r w:rsidR="00733091" w:rsidRPr="007477A4">
        <w:rPr>
          <w:lang w:val="pl-PL"/>
        </w:rPr>
        <w:instrText xml:space="preserve"> SEQ Mapa \* ARABIC </w:instrText>
      </w:r>
      <w:r w:rsidR="00733091">
        <w:fldChar w:fldCharType="separate"/>
      </w:r>
      <w:r w:rsidR="00B14787">
        <w:rPr>
          <w:noProof/>
          <w:lang w:val="pl-PL"/>
        </w:rPr>
        <w:t>15</w:t>
      </w:r>
      <w:r w:rsidR="00733091">
        <w:rPr>
          <w:noProof/>
        </w:rPr>
        <w:fldChar w:fldCharType="end"/>
      </w:r>
      <w:r w:rsidRPr="007477A4">
        <w:rPr>
          <w:lang w:val="pl-PL"/>
        </w:rPr>
        <w:t>: Struktura administracyjna Południowych Mazur</w:t>
      </w:r>
      <w:bookmarkEnd w:id="154"/>
    </w:p>
    <w:p w14:paraId="23702D6D" w14:textId="1514AE01" w:rsidR="00F00D78" w:rsidRPr="002907DD" w:rsidRDefault="00F00D78" w:rsidP="00733091">
      <w:pPr>
        <w:pStyle w:val="podpiselementu"/>
        <w:spacing w:after="240"/>
        <w:rPr>
          <w:lang w:val="pl-PL"/>
        </w:rPr>
      </w:pPr>
      <w:r w:rsidRPr="00F00D78">
        <w:rPr>
          <w:noProof/>
        </w:rPr>
        <w:drawing>
          <wp:inline distT="0" distB="0" distL="0" distR="0" wp14:anchorId="2BD1ACC1" wp14:editId="7682926D">
            <wp:extent cx="5759658" cy="3630599"/>
            <wp:effectExtent l="19050" t="19050" r="12700" b="27305"/>
            <wp:docPr id="102" name="Obraz 102" descr="mapa województwa warmińsko-mazurskiego pokazująca układ administracyjny województwa, kolorem pomarańczowym oznaczono gminy miejskie, fioletowym miejsko-wiejskie a seledynowym - wiejski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Obraz 102" descr="mapa województwa warmińsko-mazurskiego pokazująca układ administracyjny województwa, kolorem pomarańczowym oznaczono gminy miejskie, fioletowym miejsko-wiejskie a seledynowym - wiejskiee"/>
                    <pic:cNvPicPr/>
                  </pic:nvPicPr>
                  <pic:blipFill>
                    <a:blip r:embed="rId155">
                      <a:extLst>
                        <a:ext uri="{28A0092B-C50C-407E-A947-70E740481C1C}">
                          <a14:useLocalDpi xmlns:a14="http://schemas.microsoft.com/office/drawing/2010/main" val="0"/>
                        </a:ext>
                      </a:extLst>
                    </a:blip>
                    <a:stretch>
                      <a:fillRect/>
                    </a:stretch>
                  </pic:blipFill>
                  <pic:spPr>
                    <a:xfrm>
                      <a:off x="0" y="0"/>
                      <a:ext cx="5759658" cy="3630599"/>
                    </a:xfrm>
                    <a:prstGeom prst="rect">
                      <a:avLst/>
                    </a:prstGeom>
                    <a:ln>
                      <a:solidFill>
                        <a:schemeClr val="tx2"/>
                      </a:solidFill>
                    </a:ln>
                  </pic:spPr>
                </pic:pic>
              </a:graphicData>
            </a:graphic>
          </wp:inline>
        </w:drawing>
      </w:r>
      <w:r w:rsidRPr="00733091">
        <w:rPr>
          <w:lang w:val="pl-PL"/>
        </w:rPr>
        <w:t>Źródło: Plan Zagospodarowania Przestrzennego Województwa Warmińsko-Mazurskiego. 2018. Warmińsko-Mazurskie Biuro Planowania Przestrzennego, Olsztyn.</w:t>
      </w:r>
    </w:p>
    <w:p w14:paraId="499B8C3E" w14:textId="77777777" w:rsidR="00F00D78" w:rsidRPr="00733091" w:rsidRDefault="00F00D78" w:rsidP="002B3D05">
      <w:pPr>
        <w:ind w:left="0"/>
        <w:contextualSpacing/>
        <w:rPr>
          <w:rFonts w:cstheme="majorHAnsi"/>
          <w:lang w:val="pl-PL"/>
        </w:rPr>
      </w:pPr>
    </w:p>
    <w:p w14:paraId="5328685E" w14:textId="3337490B" w:rsidR="00F00D78" w:rsidRPr="00733091" w:rsidRDefault="00F00D78" w:rsidP="002B3D05">
      <w:pPr>
        <w:rPr>
          <w:lang w:val="pl-PL"/>
        </w:rPr>
      </w:pPr>
      <w:r w:rsidRPr="00733091">
        <w:rPr>
          <w:lang w:val="pl-PL"/>
        </w:rPr>
        <w:lastRenderedPageBreak/>
        <w:t xml:space="preserve">Obszar Południowych Mazur jest </w:t>
      </w:r>
      <w:r w:rsidRPr="00733091">
        <w:rPr>
          <w:b/>
          <w:bCs/>
          <w:lang w:val="pl-PL"/>
        </w:rPr>
        <w:t>słabo zaludniony</w:t>
      </w:r>
      <w:r w:rsidRPr="00733091">
        <w:rPr>
          <w:lang w:val="pl-PL"/>
        </w:rPr>
        <w:t xml:space="preserve"> – w 2019 r. 1km</w:t>
      </w:r>
      <w:r w:rsidRPr="00733091">
        <w:rPr>
          <w:vertAlign w:val="superscript"/>
          <w:lang w:val="pl-PL"/>
        </w:rPr>
        <w:t>2</w:t>
      </w:r>
      <w:r w:rsidRPr="00733091">
        <w:rPr>
          <w:lang w:val="pl-PL"/>
        </w:rPr>
        <w:t xml:space="preserve"> powierzchni obszaru zamieszkiwało średnio 42,5 osoby (średnia w województwie warmińsko-mazurskim </w:t>
      </w:r>
      <w:r w:rsidR="00E2360E">
        <w:rPr>
          <w:lang w:val="pl-PL"/>
        </w:rPr>
        <w:t>– 59</w:t>
      </w:r>
      <w:r w:rsidRPr="00E2360E">
        <w:rPr>
          <w:lang w:val="pl-PL"/>
        </w:rPr>
        <w:t>;</w:t>
      </w:r>
      <w:r w:rsidRPr="00733091">
        <w:rPr>
          <w:lang w:val="pl-PL"/>
        </w:rPr>
        <w:t xml:space="preserve"> </w:t>
      </w:r>
      <w:r w:rsidR="00E2360E">
        <w:rPr>
          <w:lang w:val="pl-PL"/>
        </w:rPr>
        <w:t xml:space="preserve">a </w:t>
      </w:r>
      <w:r w:rsidRPr="00733091">
        <w:rPr>
          <w:lang w:val="pl-PL"/>
        </w:rPr>
        <w:t>w Polsce 123 osoby/k</w:t>
      </w:r>
      <w:r w:rsidRPr="00733091">
        <w:rPr>
          <w:vertAlign w:val="superscript"/>
          <w:lang w:val="pl-PL"/>
        </w:rPr>
        <w:t>2</w:t>
      </w:r>
      <w:r w:rsidRPr="00733091">
        <w:rPr>
          <w:lang w:val="pl-PL"/>
        </w:rPr>
        <w:t>). Największą gęstość zaludnienia odnotowały w 2019 r. powiat działdowski (68 osób na 1 km</w:t>
      </w:r>
      <w:r w:rsidRPr="00733091">
        <w:rPr>
          <w:vertAlign w:val="superscript"/>
          <w:lang w:val="pl-PL"/>
        </w:rPr>
        <w:t>2</w:t>
      </w:r>
      <w:r w:rsidRPr="00733091">
        <w:rPr>
          <w:lang w:val="pl-PL"/>
        </w:rPr>
        <w:t>) najniższą – piski (32 osoby na 1km</w:t>
      </w:r>
      <w:r w:rsidRPr="00733091">
        <w:rPr>
          <w:vertAlign w:val="superscript"/>
          <w:lang w:val="pl-PL"/>
        </w:rPr>
        <w:t>2</w:t>
      </w:r>
      <w:r w:rsidRPr="00733091">
        <w:rPr>
          <w:lang w:val="pl-PL"/>
        </w:rPr>
        <w:t>).</w:t>
      </w:r>
    </w:p>
    <w:p w14:paraId="5038BDAE" w14:textId="2BF1544B" w:rsidR="00F00D78" w:rsidRPr="00733091" w:rsidRDefault="00F00D78" w:rsidP="00733091">
      <w:pPr>
        <w:rPr>
          <w:lang w:val="pl-PL"/>
        </w:rPr>
      </w:pPr>
      <w:r w:rsidRPr="00733091">
        <w:rPr>
          <w:lang w:val="pl-PL"/>
        </w:rPr>
        <w:t xml:space="preserve">Gęstość zaludnienia Południowych Mazur od 2009 r. utrzymuje się na stałym poziomie (dynamika zmian -0,58%), </w:t>
      </w:r>
      <w:r w:rsidR="00E74850">
        <w:rPr>
          <w:lang w:val="pl-PL"/>
        </w:rPr>
        <w:t>a nieznaczna ujemna dynamika zmian ma</w:t>
      </w:r>
      <w:r w:rsidRPr="00733091">
        <w:rPr>
          <w:lang w:val="pl-PL"/>
        </w:rPr>
        <w:t xml:space="preserve"> przede wszystkim związek ze spadkiem liczby mieszkańców powodowanym migracjami i niskim przyrostem naturalnym. Największy spadek wskaźnika gęstości zaludnienia na 1m</w:t>
      </w:r>
      <w:r w:rsidRPr="00733091">
        <w:rPr>
          <w:vertAlign w:val="superscript"/>
          <w:lang w:val="pl-PL"/>
        </w:rPr>
        <w:t>2</w:t>
      </w:r>
      <w:r w:rsidRPr="00733091">
        <w:rPr>
          <w:lang w:val="pl-PL"/>
        </w:rPr>
        <w:t xml:space="preserve"> z tego powodu odnotowały w latach 2009-2019: Janowiec Kościelny (-4,00%), Janowo (-6,67%), Orzysz (-7,69%) i Ruciane-Nida (-4,35%)</w:t>
      </w:r>
      <w:r w:rsidRPr="00C9613B">
        <w:rPr>
          <w:rStyle w:val="Odwoanieprzypisudolnego"/>
          <w:rFonts w:cstheme="majorHAnsi"/>
        </w:rPr>
        <w:footnoteReference w:id="107"/>
      </w:r>
      <w:r w:rsidRPr="00733091">
        <w:rPr>
          <w:lang w:val="pl-PL"/>
        </w:rPr>
        <w:t xml:space="preserve">. Wysoka ujemna dynamika zmian charakteryzująca gminę miejską Szczytno </w:t>
      </w:r>
      <w:r w:rsidR="00E74850">
        <w:rPr>
          <w:lang w:val="pl-PL"/>
        </w:rPr>
        <w:br/>
      </w:r>
      <w:r w:rsidRPr="00733091">
        <w:rPr>
          <w:lang w:val="pl-PL"/>
        </w:rPr>
        <w:t>(-7,96%) ma również związek z procesem suburbanizacji (gmina wiejska Szczytno zanotowała w badanym okresie wzrost wskaźnika gęstości zaludnienia i wzrost liczby mieszkańców odpowiednio o 18,75% i 17,76%).</w:t>
      </w:r>
    </w:p>
    <w:p w14:paraId="3CB9A77D" w14:textId="3B8FFB28" w:rsidR="001E162D" w:rsidRPr="00690E7F" w:rsidRDefault="000906BD" w:rsidP="00733091">
      <w:pPr>
        <w:pStyle w:val="Nagwek4"/>
        <w:spacing w:before="120" w:after="240"/>
      </w:pPr>
      <w:r w:rsidRPr="000906BD">
        <w:t>Ład przestrzenny obszaru</w:t>
      </w:r>
    </w:p>
    <w:p w14:paraId="2B00D2F8" w14:textId="4609627B" w:rsidR="00F00D78" w:rsidRPr="00733091" w:rsidRDefault="00F00D78" w:rsidP="002B3D05">
      <w:pPr>
        <w:rPr>
          <w:lang w:val="pl-PL"/>
        </w:rPr>
      </w:pPr>
      <w:r w:rsidRPr="00733091">
        <w:rPr>
          <w:lang w:val="pl-PL"/>
        </w:rPr>
        <w:t>Ład przestrzenny zapewniany jest przez system planowania przestrzennego, którego głównymi instrumentami są: studia uwarunkowań i kierunków zagospodarowania przestrzennego oraz miejscowe plany zagospodarowania przestrzennego.</w:t>
      </w:r>
    </w:p>
    <w:p w14:paraId="70667614" w14:textId="643B8B93" w:rsidR="00F00D78" w:rsidRPr="00733091" w:rsidRDefault="00F00D78" w:rsidP="002B3D05">
      <w:pPr>
        <w:rPr>
          <w:rFonts w:cstheme="minorHAnsi"/>
          <w:lang w:val="pl-PL"/>
        </w:rPr>
      </w:pPr>
      <w:r w:rsidRPr="00733091">
        <w:rPr>
          <w:color w:val="000000"/>
          <w:lang w:val="pl-PL"/>
        </w:rPr>
        <w:t xml:space="preserve">Pod względem stosowania instrumentów planowania przestrzennego Partnerstwo jest </w:t>
      </w:r>
      <w:r w:rsidRPr="00733091">
        <w:rPr>
          <w:b/>
          <w:bCs/>
          <w:color w:val="000000"/>
          <w:lang w:val="pl-PL"/>
        </w:rPr>
        <w:t>obszarem zróżnicowanym</w:t>
      </w:r>
      <w:r w:rsidRPr="00733091">
        <w:rPr>
          <w:color w:val="000000"/>
          <w:lang w:val="pl-PL"/>
        </w:rPr>
        <w:t xml:space="preserve"> (pokrycie miejscowymi planami zagospodarowania przestrzennego obszarów gmin wchodzących w skład Partnerstwa waha się od 0,2% do 100%</w:t>
      </w:r>
      <w:r>
        <w:rPr>
          <w:rStyle w:val="Odwoanieprzypisudolnego"/>
          <w:color w:val="000000"/>
        </w:rPr>
        <w:footnoteReference w:id="108"/>
      </w:r>
      <w:r w:rsidRPr="00733091">
        <w:rPr>
          <w:color w:val="000000"/>
          <w:lang w:val="pl-PL"/>
        </w:rPr>
        <w:t xml:space="preserve">).  Wskaźnik pokrycia całego obszaru miejscowymi planami zagospodarowania przestrzennego wynosi </w:t>
      </w:r>
      <w:r w:rsidRPr="00733091">
        <w:rPr>
          <w:rFonts w:cstheme="minorHAnsi"/>
          <w:b/>
          <w:bCs/>
          <w:lang w:val="pl-PL"/>
        </w:rPr>
        <w:t xml:space="preserve">12,19% </w:t>
      </w:r>
      <w:r w:rsidRPr="00733091">
        <w:rPr>
          <w:rFonts w:cstheme="minorHAnsi"/>
          <w:lang w:val="pl-PL"/>
        </w:rPr>
        <w:t>(</w:t>
      </w:r>
      <w:r w:rsidRPr="00733091">
        <w:rPr>
          <w:lang w:val="pl-PL"/>
        </w:rPr>
        <w:t>w skali województwa warmińsko-mazurskiego współczynnik ten wynosi 14,6%, w skali kraju – 31,2%)</w:t>
      </w:r>
      <w:r w:rsidRPr="00733091">
        <w:rPr>
          <w:rFonts w:cstheme="minorHAnsi"/>
          <w:lang w:val="pl-PL"/>
        </w:rPr>
        <w:t xml:space="preserve">. </w:t>
      </w:r>
      <w:r w:rsidR="00E74850">
        <w:rPr>
          <w:rFonts w:cstheme="minorHAnsi"/>
          <w:lang w:val="pl-PL"/>
        </w:rPr>
        <w:br/>
      </w:r>
      <w:r w:rsidRPr="00733091">
        <w:rPr>
          <w:rFonts w:cstheme="minorHAnsi"/>
          <w:lang w:val="pl-PL"/>
        </w:rPr>
        <w:t>W 2019 r. na terenie Partnerstwa obowiązywało 448 miejscowych planów zagospodarowania przestrzennego, obejmujących swoim zasięgiem 68.549 ha.</w:t>
      </w:r>
    </w:p>
    <w:p w14:paraId="3D568D6A" w14:textId="51D8992E" w:rsidR="00F00D78" w:rsidRPr="00733091" w:rsidRDefault="00F00D78" w:rsidP="002B3D05">
      <w:pPr>
        <w:rPr>
          <w:rFonts w:cstheme="minorHAnsi"/>
          <w:b/>
          <w:bCs/>
          <w:lang w:val="pl-PL"/>
        </w:rPr>
      </w:pPr>
      <w:r w:rsidRPr="00733091">
        <w:rPr>
          <w:rFonts w:cstheme="minorHAnsi"/>
          <w:lang w:val="pl-PL"/>
        </w:rPr>
        <w:t xml:space="preserve">Mimo, iż liczba miejscowych planów zagospodarowania przestrzennego i pokrycie nimi obszaru Partnerstwa sukcesywnie wzrasta (w badanym okresie, tj. od 2009-2019 wartości te wzrosły - odpowiednio - 52,38% i 11,35%) to obowiązujące </w:t>
      </w:r>
      <w:r w:rsidRPr="00733091">
        <w:rPr>
          <w:rFonts w:cstheme="minorHAnsi"/>
          <w:b/>
          <w:bCs/>
          <w:lang w:val="pl-PL"/>
        </w:rPr>
        <w:t>miejscowe plany</w:t>
      </w:r>
      <w:r w:rsidRPr="00733091">
        <w:rPr>
          <w:rFonts w:cstheme="minorHAnsi"/>
          <w:lang w:val="pl-PL"/>
        </w:rPr>
        <w:t xml:space="preserve"> </w:t>
      </w:r>
      <w:r w:rsidRPr="00733091">
        <w:rPr>
          <w:rFonts w:cstheme="minorHAnsi"/>
          <w:b/>
          <w:bCs/>
          <w:lang w:val="pl-PL"/>
        </w:rPr>
        <w:t>zagospodarowania przestrzennego</w:t>
      </w:r>
      <w:r w:rsidRPr="00733091">
        <w:rPr>
          <w:rFonts w:cstheme="minorHAnsi"/>
          <w:lang w:val="pl-PL"/>
        </w:rPr>
        <w:t xml:space="preserve"> (zaspakajające potrzeby </w:t>
      </w:r>
      <w:r w:rsidRPr="00733091">
        <w:rPr>
          <w:rFonts w:cstheme="minorHAnsi"/>
          <w:lang w:val="pl-PL"/>
        </w:rPr>
        <w:lastRenderedPageBreak/>
        <w:t xml:space="preserve">pojedynczych JST w zakresie określania przestrzeni) </w:t>
      </w:r>
      <w:r w:rsidRPr="00733091">
        <w:rPr>
          <w:rFonts w:cstheme="minorHAnsi"/>
          <w:b/>
          <w:bCs/>
          <w:lang w:val="pl-PL"/>
        </w:rPr>
        <w:t xml:space="preserve">nie tworzą spójnego </w:t>
      </w:r>
      <w:r w:rsidRPr="00733091">
        <w:rPr>
          <w:rFonts w:cstheme="minorHAnsi"/>
          <w:b/>
          <w:bCs/>
          <w:lang w:val="pl-PL"/>
        </w:rPr>
        <w:br/>
        <w:t>i zintegrowanego systemu kształtowania przestrzeni całego obszaru</w:t>
      </w:r>
      <w:r w:rsidRPr="00747A68">
        <w:rPr>
          <w:rStyle w:val="Odwoanieprzypisudolnego"/>
          <w:rFonts w:cstheme="minorHAnsi"/>
          <w:b/>
          <w:bCs/>
        </w:rPr>
        <w:footnoteReference w:id="109"/>
      </w:r>
      <w:r w:rsidRPr="00733091">
        <w:rPr>
          <w:rFonts w:cstheme="minorHAnsi"/>
          <w:b/>
          <w:bCs/>
          <w:lang w:val="pl-PL"/>
        </w:rPr>
        <w:t>.</w:t>
      </w:r>
    </w:p>
    <w:p w14:paraId="7BBF3AA5" w14:textId="00D6D9FE" w:rsidR="00F00D78" w:rsidRPr="00733091" w:rsidRDefault="00F00D78" w:rsidP="002B3D05">
      <w:pPr>
        <w:rPr>
          <w:rFonts w:cstheme="minorHAnsi"/>
          <w:lang w:val="pl-PL"/>
        </w:rPr>
      </w:pPr>
      <w:r w:rsidRPr="00733091">
        <w:rPr>
          <w:rFonts w:cstheme="minorHAnsi"/>
          <w:lang w:val="pl-PL"/>
        </w:rPr>
        <w:t>Na terenach wchodzących w skład obszaru Partnerstwa, nieobjętych miejscowymi planami zagospodarowania przestrzennego (87,81%) planowanie przestrzenne odbywa się przy wykorzystaniu pozostałych instrumentów kształtowania przestrzeni: studiów uwarunkowań i kierunków zagospodarowania przestrzennego oraz decyzji o warunkach zabudowy i zagospodarowania terenu.</w:t>
      </w:r>
    </w:p>
    <w:p w14:paraId="7239CE9D" w14:textId="029AEFC9" w:rsidR="00F00D78" w:rsidRPr="00733091" w:rsidRDefault="00F00D78" w:rsidP="00733091">
      <w:pPr>
        <w:rPr>
          <w:rFonts w:cstheme="minorHAnsi"/>
          <w:lang w:val="pl-PL"/>
        </w:rPr>
      </w:pPr>
      <w:r w:rsidRPr="00733091">
        <w:rPr>
          <w:rFonts w:cstheme="minorHAnsi"/>
          <w:lang w:val="pl-PL"/>
        </w:rPr>
        <w:t xml:space="preserve">W okresie 2009-2019 na obszarze Partnerstwa wydano łącznie </w:t>
      </w:r>
      <w:r w:rsidRPr="00733091">
        <w:rPr>
          <w:rFonts w:cstheme="minorHAnsi"/>
          <w:b/>
          <w:bCs/>
          <w:lang w:val="pl-PL"/>
        </w:rPr>
        <w:t>17 965</w:t>
      </w:r>
      <w:r w:rsidRPr="00733091">
        <w:rPr>
          <w:rFonts w:cstheme="minorHAnsi"/>
          <w:lang w:val="pl-PL"/>
        </w:rPr>
        <w:t xml:space="preserve"> </w:t>
      </w:r>
      <w:r w:rsidRPr="00733091">
        <w:rPr>
          <w:rFonts w:cstheme="minorHAnsi"/>
          <w:b/>
          <w:bCs/>
          <w:lang w:val="pl-PL"/>
        </w:rPr>
        <w:t xml:space="preserve">decyzji </w:t>
      </w:r>
      <w:r w:rsidR="00E74850">
        <w:rPr>
          <w:rFonts w:cstheme="minorHAnsi"/>
          <w:b/>
          <w:bCs/>
          <w:lang w:val="pl-PL"/>
        </w:rPr>
        <w:br/>
      </w:r>
      <w:r w:rsidRPr="00733091">
        <w:rPr>
          <w:rFonts w:cstheme="minorHAnsi"/>
          <w:b/>
          <w:bCs/>
          <w:lang w:val="pl-PL"/>
        </w:rPr>
        <w:t xml:space="preserve">o warunkach zabudowy terenu, </w:t>
      </w:r>
      <w:r w:rsidRPr="00733091">
        <w:rPr>
          <w:rFonts w:cstheme="minorHAnsi"/>
          <w:lang w:val="pl-PL"/>
        </w:rPr>
        <w:t xml:space="preserve">najwięcej w Szczytnie, Piszu, Pasymiu, Lidzbarku </w:t>
      </w:r>
      <w:r w:rsidR="00E74850">
        <w:rPr>
          <w:rFonts w:cstheme="minorHAnsi"/>
          <w:lang w:val="pl-PL"/>
        </w:rPr>
        <w:br/>
      </w:r>
      <w:r w:rsidRPr="00733091">
        <w:rPr>
          <w:rFonts w:cstheme="minorHAnsi"/>
          <w:lang w:val="pl-PL"/>
        </w:rPr>
        <w:t>i Nidzicy.</w:t>
      </w:r>
    </w:p>
    <w:p w14:paraId="2EB854D9" w14:textId="0CED9910" w:rsidR="00F00D78" w:rsidRPr="00733091" w:rsidRDefault="00F00D78" w:rsidP="00733091">
      <w:pPr>
        <w:rPr>
          <w:rFonts w:cstheme="minorHAnsi"/>
          <w:lang w:val="pl-PL"/>
        </w:rPr>
      </w:pPr>
      <w:r w:rsidRPr="00733091">
        <w:rPr>
          <w:rFonts w:cstheme="minorHAnsi"/>
          <w:lang w:val="pl-PL"/>
        </w:rPr>
        <w:t>Dynamika zmiany liczby wydanych decyzji o warunkach zabudowy</w:t>
      </w:r>
      <w:r w:rsidR="00E74850">
        <w:rPr>
          <w:rFonts w:cstheme="minorHAnsi"/>
          <w:lang w:val="pl-PL"/>
        </w:rPr>
        <w:br/>
      </w:r>
      <w:r w:rsidRPr="00733091">
        <w:rPr>
          <w:rFonts w:cstheme="minorHAnsi"/>
          <w:lang w:val="pl-PL"/>
        </w:rPr>
        <w:t xml:space="preserve"> i zagospodarowania terenu (wzrost liczby wydanych decyzji o 23,52%), wyższa od dynamiki zmiany wielkości powierzchni objętej miejscowymi planami zagospodarowania przestrzennego (wzrost o 11,35%) świadczyć może                                   o niewystarczająco dobrej kondycji finansowej gmin lub braku długookresowej, strategicznej  polityki przestrzennej (rodzącej ryzyko wzrostu kosztów utrzymania infrastruktury technicznej w przyszłości).</w:t>
      </w:r>
    </w:p>
    <w:p w14:paraId="6E06D352" w14:textId="3A84108E" w:rsidR="00E035C6" w:rsidRPr="00690E7F" w:rsidRDefault="003D66A8" w:rsidP="00733091">
      <w:pPr>
        <w:pStyle w:val="Nagwek3"/>
        <w:spacing w:after="240"/>
        <w:rPr>
          <w:lang w:val="en-US"/>
        </w:rPr>
      </w:pPr>
      <w:bookmarkStart w:id="155" w:name="_Toc69725451"/>
      <w:r w:rsidRPr="003D66A8">
        <w:rPr>
          <w:lang w:val="en-US"/>
        </w:rPr>
        <w:t>Dostępność komunikacyjna Partnerstwa</w:t>
      </w:r>
      <w:bookmarkEnd w:id="155"/>
    </w:p>
    <w:p w14:paraId="49F95F30" w14:textId="25B42494" w:rsidR="00F00D78" w:rsidRPr="00733091" w:rsidRDefault="00F00D78" w:rsidP="00733091">
      <w:pPr>
        <w:rPr>
          <w:lang w:val="pl-PL"/>
        </w:rPr>
      </w:pPr>
      <w:r w:rsidRPr="00733091">
        <w:rPr>
          <w:lang w:val="pl-PL"/>
        </w:rPr>
        <w:t xml:space="preserve">Dostępność komunikacyjna Partnerstwa rozpatrywana jest w dwóch aspektach: dostępności drogowej (skorelowanej z infrastrukturą drogową Południowych Mazur, opisywanej z perspektywy poziomu życia mieszkańców i z poziomu atrakcyjności inwestycyjnej) oraz dostępności komunikacyjnej </w:t>
      </w:r>
      <w:r w:rsidRPr="00733091">
        <w:rPr>
          <w:lang w:val="pl-PL"/>
        </w:rPr>
        <w:br/>
        <w:t>w systemie zbiorowego transportu publicznego..</w:t>
      </w:r>
    </w:p>
    <w:p w14:paraId="7F3654E8" w14:textId="6A6089B9" w:rsidR="00E035C6" w:rsidRPr="00690E7F" w:rsidRDefault="00EF51C7" w:rsidP="00733091">
      <w:pPr>
        <w:pStyle w:val="Nagwek4"/>
        <w:spacing w:before="120" w:after="240"/>
      </w:pPr>
      <w:r w:rsidRPr="00EF51C7">
        <w:t>Infrastruktura komunikacyjna Partnerstwa</w:t>
      </w:r>
    </w:p>
    <w:p w14:paraId="4E228C31" w14:textId="77777777" w:rsidR="00F00D78" w:rsidRPr="00733091" w:rsidRDefault="00F00D78" w:rsidP="00733091">
      <w:pPr>
        <w:rPr>
          <w:lang w:val="pl-PL"/>
        </w:rPr>
      </w:pPr>
      <w:r w:rsidRPr="00733091">
        <w:rPr>
          <w:lang w:val="pl-PL"/>
        </w:rPr>
        <w:t>Infrastruktura komunikacyjna Południowych Mazur składa się z układu drogowego i układu kolejowego oraz infrastruktury lotniczej.</w:t>
      </w:r>
    </w:p>
    <w:p w14:paraId="49D91CF5" w14:textId="6E9628D2" w:rsidR="00BA5A72" w:rsidRPr="00733091" w:rsidRDefault="00BA5A72" w:rsidP="002E24A9">
      <w:pPr>
        <w:pStyle w:val="Legenda"/>
        <w:rPr>
          <w:lang w:val="pl-PL"/>
        </w:rPr>
      </w:pPr>
      <w:bookmarkStart w:id="156" w:name="_Toc69596616"/>
      <w:r w:rsidRPr="00733091">
        <w:rPr>
          <w:lang w:val="pl-PL"/>
        </w:rPr>
        <w:lastRenderedPageBreak/>
        <w:t xml:space="preserve">Mapa </w:t>
      </w:r>
      <w:r w:rsidR="00733091">
        <w:fldChar w:fldCharType="begin"/>
      </w:r>
      <w:r w:rsidR="00733091" w:rsidRPr="00733091">
        <w:rPr>
          <w:lang w:val="pl-PL"/>
        </w:rPr>
        <w:instrText xml:space="preserve"> SEQ Mapa \* ARABIC </w:instrText>
      </w:r>
      <w:r w:rsidR="00733091">
        <w:fldChar w:fldCharType="separate"/>
      </w:r>
      <w:r w:rsidR="00B14787">
        <w:rPr>
          <w:noProof/>
          <w:lang w:val="pl-PL"/>
        </w:rPr>
        <w:t>16</w:t>
      </w:r>
      <w:r w:rsidR="00733091">
        <w:rPr>
          <w:noProof/>
        </w:rPr>
        <w:fldChar w:fldCharType="end"/>
      </w:r>
      <w:r w:rsidRPr="00733091">
        <w:rPr>
          <w:lang w:val="pl-PL"/>
        </w:rPr>
        <w:t>: Infrastruktura komunikacyjna - Mazury Południowe na tle województwa warmińsko-mazurskiego</w:t>
      </w:r>
      <w:bookmarkEnd w:id="156"/>
    </w:p>
    <w:p w14:paraId="48E685D9" w14:textId="435FC176" w:rsidR="00F00D78" w:rsidRPr="002B3D05" w:rsidRDefault="00F00D78" w:rsidP="002B3D05">
      <w:pPr>
        <w:pStyle w:val="podpiselementu"/>
        <w:spacing w:after="240"/>
        <w:rPr>
          <w:rFonts w:cstheme="minorHAnsi"/>
          <w:lang w:val="pl-PL"/>
        </w:rPr>
      </w:pPr>
      <w:r w:rsidRPr="00F25EBD">
        <w:rPr>
          <w:rFonts w:asciiTheme="majorHAnsi" w:hAnsiTheme="majorHAnsi" w:cstheme="majorHAnsi"/>
          <w:noProof/>
          <w:lang w:eastAsia="pl-PL"/>
        </w:rPr>
        <w:drawing>
          <wp:inline distT="0" distB="0" distL="0" distR="0" wp14:anchorId="419D8558" wp14:editId="166CA6F7">
            <wp:extent cx="5760720" cy="3257550"/>
            <wp:effectExtent l="19050" t="19050" r="11430" b="19050"/>
            <wp:docPr id="100" name="Obraz 100" descr="mapa województwa warmińsko-mazurskiego pokazująca sieć drogową województ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Obraz 100" descr="mapa województwa warmińsko-mazurskiego pokazująca sieć drogową województwa"/>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5760720" cy="3257550"/>
                    </a:xfrm>
                    <a:prstGeom prst="rect">
                      <a:avLst/>
                    </a:prstGeom>
                    <a:ln>
                      <a:solidFill>
                        <a:schemeClr val="tx2"/>
                      </a:solidFill>
                    </a:ln>
                  </pic:spPr>
                </pic:pic>
              </a:graphicData>
            </a:graphic>
          </wp:inline>
        </w:drawing>
      </w:r>
      <w:r w:rsidRPr="00733091">
        <w:rPr>
          <w:lang w:val="pl-PL"/>
        </w:rPr>
        <w:t xml:space="preserve">Źródło: </w:t>
      </w:r>
      <w:r w:rsidRPr="00733091">
        <w:rPr>
          <w:iCs/>
          <w:lang w:val="pl-PL"/>
        </w:rPr>
        <w:t>Plan Zagospodarowania Przestrzennego Województwa Warmińsko-Mazurskiego</w:t>
      </w:r>
      <w:r w:rsidRPr="00733091">
        <w:rPr>
          <w:lang w:val="pl-PL"/>
        </w:rPr>
        <w:t>. 2018. Warmińsko-Mazurskie Biuro Planowania Przestrzennego, Olsztyn.</w:t>
      </w:r>
    </w:p>
    <w:p w14:paraId="4EA9BE5B" w14:textId="77777777" w:rsidR="00F00D78" w:rsidRPr="00733091" w:rsidRDefault="00F00D78" w:rsidP="00733091">
      <w:pPr>
        <w:pStyle w:val="Akapitzlist"/>
        <w:numPr>
          <w:ilvl w:val="0"/>
          <w:numId w:val="0"/>
        </w:numPr>
        <w:ind w:left="851"/>
        <w:rPr>
          <w:rFonts w:cstheme="minorHAnsi"/>
          <w:lang w:val="pl-PL"/>
        </w:rPr>
      </w:pPr>
      <w:r w:rsidRPr="00733091">
        <w:rPr>
          <w:rFonts w:cstheme="minorHAnsi"/>
          <w:lang w:val="pl-PL"/>
        </w:rPr>
        <w:t>Układ drogowy Południowych Mazur tworzą:</w:t>
      </w:r>
    </w:p>
    <w:p w14:paraId="60F891CF" w14:textId="77777777" w:rsidR="00F00D78" w:rsidRPr="00126788" w:rsidRDefault="00F00D78" w:rsidP="00733091">
      <w:pPr>
        <w:pStyle w:val="Akapitzlist"/>
        <w:numPr>
          <w:ilvl w:val="0"/>
          <w:numId w:val="0"/>
        </w:numPr>
        <w:ind w:left="851"/>
        <w:rPr>
          <w:rFonts w:cstheme="minorHAnsi"/>
          <w:b/>
          <w:bCs/>
          <w:u w:val="single"/>
        </w:rPr>
      </w:pPr>
      <w:r w:rsidRPr="00126788">
        <w:rPr>
          <w:rFonts w:cstheme="minorHAnsi"/>
          <w:b/>
          <w:bCs/>
          <w:u w:val="single"/>
        </w:rPr>
        <w:t>drogi ekspresowe i krajowe</w:t>
      </w:r>
    </w:p>
    <w:p w14:paraId="3AFE897E" w14:textId="77777777" w:rsidR="00F00D78" w:rsidRPr="00733091" w:rsidRDefault="00F00D78" w:rsidP="00B063F0">
      <w:pPr>
        <w:pStyle w:val="Akapitzlist"/>
        <w:numPr>
          <w:ilvl w:val="0"/>
          <w:numId w:val="19"/>
        </w:numPr>
        <w:ind w:left="1134" w:hanging="284"/>
        <w:rPr>
          <w:rFonts w:cstheme="minorHAnsi"/>
          <w:lang w:val="pl-PL"/>
        </w:rPr>
      </w:pPr>
      <w:r w:rsidRPr="00733091">
        <w:rPr>
          <w:rFonts w:cstheme="minorHAnsi"/>
          <w:lang w:val="pl-PL"/>
        </w:rPr>
        <w:t>S7 (granica województwa - Elbląg - Olsztynek - granica województwa), nr 53: Olsztyn - Szczytno - Rozogi - Myszyniec - Ostrołęka;</w:t>
      </w:r>
    </w:p>
    <w:p w14:paraId="51ED71B3" w14:textId="77777777" w:rsidR="00F00D78" w:rsidRPr="00733091" w:rsidRDefault="00F00D78" w:rsidP="00B063F0">
      <w:pPr>
        <w:pStyle w:val="Akapitzlist"/>
        <w:numPr>
          <w:ilvl w:val="0"/>
          <w:numId w:val="19"/>
        </w:numPr>
        <w:ind w:left="1134" w:hanging="284"/>
        <w:rPr>
          <w:rFonts w:cstheme="minorHAnsi"/>
          <w:lang w:val="pl-PL"/>
        </w:rPr>
      </w:pPr>
      <w:r w:rsidRPr="00733091">
        <w:rPr>
          <w:rFonts w:cstheme="minorHAnsi"/>
          <w:lang w:val="pl-PL"/>
        </w:rPr>
        <w:t>nr 57: Bartoszyce - Biskupiec - Szczytno - Przasnysz - Pułtusk;</w:t>
      </w:r>
    </w:p>
    <w:p w14:paraId="1D2FD272" w14:textId="77777777" w:rsidR="00F00D78" w:rsidRPr="00733091" w:rsidRDefault="00F00D78" w:rsidP="00B063F0">
      <w:pPr>
        <w:pStyle w:val="Akapitzlist"/>
        <w:numPr>
          <w:ilvl w:val="0"/>
          <w:numId w:val="19"/>
        </w:numPr>
        <w:ind w:left="1134" w:hanging="284"/>
        <w:rPr>
          <w:rFonts w:cstheme="minorHAnsi"/>
          <w:lang w:val="pl-PL"/>
        </w:rPr>
      </w:pPr>
      <w:r w:rsidRPr="00733091">
        <w:rPr>
          <w:rFonts w:cstheme="minorHAnsi"/>
          <w:lang w:val="pl-PL"/>
        </w:rPr>
        <w:t>nr 58: Olsztynek - Zgniłocha - Jedwabno - Szczytno - Babięta - Ruciane-Nida - Pisz -Biała-Piska- Szczuczyn;</w:t>
      </w:r>
    </w:p>
    <w:p w14:paraId="4EA920E7" w14:textId="77777777" w:rsidR="00F00D78" w:rsidRPr="00733091" w:rsidRDefault="00F00D78" w:rsidP="00B063F0">
      <w:pPr>
        <w:pStyle w:val="Akapitzlist"/>
        <w:numPr>
          <w:ilvl w:val="0"/>
          <w:numId w:val="19"/>
        </w:numPr>
        <w:ind w:left="1134" w:hanging="284"/>
        <w:rPr>
          <w:rFonts w:cstheme="minorHAnsi"/>
          <w:lang w:val="pl-PL"/>
        </w:rPr>
      </w:pPr>
      <w:r w:rsidRPr="00733091">
        <w:rPr>
          <w:rFonts w:cstheme="minorHAnsi"/>
          <w:lang w:val="pl-PL"/>
        </w:rPr>
        <w:t>nr 59: Giżycko - Ryn - Mrągowo - Nawiady - Rozogi;</w:t>
      </w:r>
    </w:p>
    <w:p w14:paraId="49600E51" w14:textId="77777777" w:rsidR="00F00D78" w:rsidRPr="00733091" w:rsidRDefault="00F00D78" w:rsidP="00B063F0">
      <w:pPr>
        <w:pStyle w:val="Akapitzlist"/>
        <w:numPr>
          <w:ilvl w:val="0"/>
          <w:numId w:val="19"/>
        </w:numPr>
        <w:ind w:left="1134" w:hanging="284"/>
        <w:rPr>
          <w:rFonts w:cstheme="minorHAnsi"/>
          <w:lang w:val="pl-PL"/>
        </w:rPr>
      </w:pPr>
      <w:r w:rsidRPr="00733091">
        <w:rPr>
          <w:rFonts w:cstheme="minorHAnsi"/>
          <w:lang w:val="pl-PL"/>
        </w:rPr>
        <w:t>nr 63: granica państwa - Węgorzewo - Giżycko - Pisz - Kisielnica - Łomża - Zambrów - Ceranów - Sokołów Podlaski - Siedlce - Łuków - Radzyń Podlaski - Wisznice - Sławatycze - granica państwa.</w:t>
      </w:r>
    </w:p>
    <w:p w14:paraId="05120F73" w14:textId="77777777" w:rsidR="00F00D78" w:rsidRPr="00126788" w:rsidRDefault="00F00D78" w:rsidP="00733091">
      <w:pPr>
        <w:pStyle w:val="Akapitzlist"/>
        <w:numPr>
          <w:ilvl w:val="0"/>
          <w:numId w:val="0"/>
        </w:numPr>
        <w:ind w:left="851"/>
        <w:rPr>
          <w:rFonts w:cstheme="minorHAnsi"/>
          <w:b/>
          <w:bCs/>
          <w:u w:val="single"/>
        </w:rPr>
      </w:pPr>
      <w:r w:rsidRPr="00126788">
        <w:rPr>
          <w:rFonts w:cstheme="minorHAnsi"/>
          <w:b/>
          <w:bCs/>
          <w:u w:val="single"/>
        </w:rPr>
        <w:t>drogi wojewódzkie</w:t>
      </w:r>
    </w:p>
    <w:p w14:paraId="20E74FF9" w14:textId="77777777" w:rsidR="00F00D78" w:rsidRPr="00122D6F" w:rsidRDefault="00F00D78" w:rsidP="00B063F0">
      <w:pPr>
        <w:pStyle w:val="Akapitzlist"/>
        <w:numPr>
          <w:ilvl w:val="0"/>
          <w:numId w:val="19"/>
        </w:numPr>
        <w:ind w:left="1134" w:hanging="284"/>
        <w:rPr>
          <w:rFonts w:cstheme="minorHAnsi"/>
        </w:rPr>
      </w:pPr>
      <w:r w:rsidRPr="00122D6F">
        <w:rPr>
          <w:rFonts w:cstheme="minorHAnsi"/>
        </w:rPr>
        <w:t>508: Jedwabno - Wielbark;</w:t>
      </w:r>
    </w:p>
    <w:p w14:paraId="64F3C8D7" w14:textId="77777777" w:rsidR="00F00D78" w:rsidRPr="00733091" w:rsidRDefault="00F00D78" w:rsidP="00B063F0">
      <w:pPr>
        <w:pStyle w:val="Akapitzlist"/>
        <w:numPr>
          <w:ilvl w:val="0"/>
          <w:numId w:val="19"/>
        </w:numPr>
        <w:ind w:left="1134" w:hanging="284"/>
        <w:rPr>
          <w:rFonts w:cstheme="minorHAnsi"/>
          <w:lang w:val="pl-PL"/>
        </w:rPr>
      </w:pPr>
      <w:r w:rsidRPr="00733091">
        <w:rPr>
          <w:rFonts w:cstheme="minorHAnsi"/>
          <w:lang w:val="pl-PL"/>
        </w:rPr>
        <w:t>538: Radzyń Chełmiński - Łasin - Nowe Miasto Lubawskie - Uzdowo - Rozdroże;</w:t>
      </w:r>
    </w:p>
    <w:p w14:paraId="776CC196" w14:textId="77777777" w:rsidR="00F00D78" w:rsidRPr="00733091" w:rsidRDefault="00F00D78" w:rsidP="00B063F0">
      <w:pPr>
        <w:pStyle w:val="Akapitzlist"/>
        <w:numPr>
          <w:ilvl w:val="0"/>
          <w:numId w:val="19"/>
        </w:numPr>
        <w:ind w:left="1134" w:hanging="284"/>
        <w:rPr>
          <w:rFonts w:cstheme="minorHAnsi"/>
          <w:lang w:val="pl-PL"/>
        </w:rPr>
      </w:pPr>
      <w:r w:rsidRPr="00733091">
        <w:rPr>
          <w:rFonts w:cstheme="minorHAnsi"/>
          <w:lang w:val="pl-PL"/>
        </w:rPr>
        <w:t>541: Lubawa - Lidzbark - Żuromin - Bieżuń - Sierpc - Tłuchowo - Dobrzyń nad Wisłą;</w:t>
      </w:r>
    </w:p>
    <w:p w14:paraId="224B7D66" w14:textId="77777777" w:rsidR="00F00D78" w:rsidRPr="00122D6F" w:rsidRDefault="00F00D78" w:rsidP="00B063F0">
      <w:pPr>
        <w:pStyle w:val="Akapitzlist"/>
        <w:numPr>
          <w:ilvl w:val="0"/>
          <w:numId w:val="19"/>
        </w:numPr>
        <w:ind w:left="1134" w:hanging="284"/>
        <w:rPr>
          <w:rFonts w:cstheme="minorHAnsi"/>
        </w:rPr>
      </w:pPr>
      <w:r w:rsidRPr="00122D6F">
        <w:rPr>
          <w:rFonts w:cstheme="minorHAnsi"/>
        </w:rPr>
        <w:t>542: Rychnowo - Działdowo;</w:t>
      </w:r>
    </w:p>
    <w:p w14:paraId="451666BB" w14:textId="77777777" w:rsidR="00F00D78" w:rsidRPr="00733091" w:rsidRDefault="00F00D78" w:rsidP="00B063F0">
      <w:pPr>
        <w:pStyle w:val="Akapitzlist"/>
        <w:numPr>
          <w:ilvl w:val="0"/>
          <w:numId w:val="19"/>
        </w:numPr>
        <w:ind w:left="1134" w:hanging="284"/>
        <w:rPr>
          <w:rFonts w:cstheme="minorHAnsi"/>
          <w:lang w:val="pl-PL"/>
        </w:rPr>
      </w:pPr>
      <w:r w:rsidRPr="00733091">
        <w:rPr>
          <w:rFonts w:cstheme="minorHAnsi"/>
          <w:lang w:val="pl-PL"/>
        </w:rPr>
        <w:t>544: Brodnica - Lidzbark - Działdowo - Mława - Przasnysz - Krasnosielc - Ostrołęka;</w:t>
      </w:r>
    </w:p>
    <w:p w14:paraId="076FE203" w14:textId="77777777" w:rsidR="00F00D78" w:rsidRPr="00122D6F" w:rsidRDefault="00F00D78" w:rsidP="00B063F0">
      <w:pPr>
        <w:pStyle w:val="Akapitzlist"/>
        <w:numPr>
          <w:ilvl w:val="0"/>
          <w:numId w:val="19"/>
        </w:numPr>
        <w:ind w:left="1134" w:hanging="284"/>
        <w:rPr>
          <w:rFonts w:cstheme="minorHAnsi"/>
        </w:rPr>
      </w:pPr>
      <w:r w:rsidRPr="00122D6F">
        <w:rPr>
          <w:rFonts w:cstheme="minorHAnsi"/>
        </w:rPr>
        <w:t>545: Działdowo - Nidzica - Jedwabno;</w:t>
      </w:r>
    </w:p>
    <w:p w14:paraId="6A3E4AE7" w14:textId="77777777" w:rsidR="00F00D78" w:rsidRPr="00122D6F" w:rsidRDefault="00F00D78" w:rsidP="00B063F0">
      <w:pPr>
        <w:pStyle w:val="Akapitzlist"/>
        <w:numPr>
          <w:ilvl w:val="0"/>
          <w:numId w:val="19"/>
        </w:numPr>
        <w:ind w:left="1134" w:hanging="284"/>
        <w:rPr>
          <w:rFonts w:cstheme="minorHAnsi"/>
        </w:rPr>
      </w:pPr>
      <w:r w:rsidRPr="00122D6F">
        <w:rPr>
          <w:rFonts w:cstheme="minorHAnsi"/>
        </w:rPr>
        <w:t>600: Mrągowo - Kałęczyn - Szczytno;</w:t>
      </w:r>
    </w:p>
    <w:p w14:paraId="72CC7A7F" w14:textId="77777777" w:rsidR="00F00D78" w:rsidRPr="00122D6F" w:rsidRDefault="00F00D78" w:rsidP="00B063F0">
      <w:pPr>
        <w:pStyle w:val="Akapitzlist"/>
        <w:numPr>
          <w:ilvl w:val="0"/>
          <w:numId w:val="19"/>
        </w:numPr>
        <w:ind w:left="1134" w:hanging="284"/>
        <w:rPr>
          <w:rFonts w:cstheme="minorHAnsi"/>
        </w:rPr>
      </w:pPr>
      <w:r w:rsidRPr="00122D6F">
        <w:rPr>
          <w:rFonts w:cstheme="minorHAnsi"/>
        </w:rPr>
        <w:lastRenderedPageBreak/>
        <w:t>604: Nidzica - Wielbark;</w:t>
      </w:r>
    </w:p>
    <w:p w14:paraId="298460A2" w14:textId="77777777" w:rsidR="00F00D78" w:rsidRPr="00122D6F" w:rsidRDefault="00F00D78" w:rsidP="00B063F0">
      <w:pPr>
        <w:pStyle w:val="Akapitzlist"/>
        <w:numPr>
          <w:ilvl w:val="0"/>
          <w:numId w:val="19"/>
        </w:numPr>
        <w:ind w:left="1134" w:hanging="284"/>
        <w:rPr>
          <w:rFonts w:cstheme="minorHAnsi"/>
        </w:rPr>
      </w:pPr>
      <w:r w:rsidRPr="00122D6F">
        <w:rPr>
          <w:rFonts w:cstheme="minorHAnsi"/>
        </w:rPr>
        <w:t>609: Mikołajki - Ukta;</w:t>
      </w:r>
    </w:p>
    <w:p w14:paraId="567C027D" w14:textId="77777777" w:rsidR="00F00D78" w:rsidRPr="00122D6F" w:rsidRDefault="00F00D78" w:rsidP="00B063F0">
      <w:pPr>
        <w:pStyle w:val="Akapitzlist"/>
        <w:numPr>
          <w:ilvl w:val="0"/>
          <w:numId w:val="19"/>
        </w:numPr>
        <w:ind w:left="1134" w:hanging="284"/>
        <w:rPr>
          <w:rFonts w:cstheme="minorHAnsi"/>
        </w:rPr>
      </w:pPr>
      <w:r w:rsidRPr="00122D6F">
        <w:rPr>
          <w:rFonts w:cstheme="minorHAnsi"/>
        </w:rPr>
        <w:t>610: Piecki - Ruciane-Nida;</w:t>
      </w:r>
    </w:p>
    <w:p w14:paraId="6E7854DE" w14:textId="77777777" w:rsidR="00F00D78" w:rsidRPr="00733091" w:rsidRDefault="00F00D78" w:rsidP="00B063F0">
      <w:pPr>
        <w:pStyle w:val="Akapitzlist"/>
        <w:numPr>
          <w:ilvl w:val="0"/>
          <w:numId w:val="19"/>
        </w:numPr>
        <w:ind w:left="1134" w:hanging="284"/>
        <w:rPr>
          <w:rFonts w:cstheme="minorHAnsi"/>
          <w:lang w:val="pl-PL"/>
        </w:rPr>
      </w:pPr>
      <w:r w:rsidRPr="00733091">
        <w:rPr>
          <w:rFonts w:cstheme="minorHAnsi"/>
          <w:lang w:val="pl-PL"/>
        </w:rPr>
        <w:t>667: Nowa Wieś Ełcka - Drygały - Biała Piska</w:t>
      </w:r>
    </w:p>
    <w:p w14:paraId="142E0C00" w14:textId="517BFC3C" w:rsidR="00F00D78" w:rsidRPr="00E74850" w:rsidRDefault="00F00D78" w:rsidP="00E74850">
      <w:pPr>
        <w:pStyle w:val="Akapitzlist"/>
        <w:numPr>
          <w:ilvl w:val="0"/>
          <w:numId w:val="0"/>
        </w:numPr>
        <w:ind w:left="851"/>
        <w:rPr>
          <w:rFonts w:cstheme="minorHAnsi"/>
          <w:b/>
          <w:bCs/>
          <w:u w:val="single"/>
          <w:lang w:val="pl-PL"/>
        </w:rPr>
      </w:pPr>
      <w:r w:rsidRPr="00733091">
        <w:rPr>
          <w:rFonts w:cstheme="minorHAnsi"/>
          <w:b/>
          <w:bCs/>
          <w:u w:val="single"/>
          <w:lang w:val="pl-PL"/>
        </w:rPr>
        <w:t>drogi powiatowe, drogi gminne i drogi wewnętrzne.</w:t>
      </w:r>
    </w:p>
    <w:p w14:paraId="458F26EE" w14:textId="77777777" w:rsidR="00F00D78" w:rsidRPr="00733091" w:rsidRDefault="00F00D78" w:rsidP="00733091">
      <w:pPr>
        <w:rPr>
          <w:lang w:val="pl-PL"/>
        </w:rPr>
      </w:pPr>
      <w:r w:rsidRPr="00733091">
        <w:rPr>
          <w:lang w:val="pl-PL"/>
        </w:rPr>
        <w:t>W 2019 r. łączna długość dróg powiatowych i gminnych na terenie Południowych Mazur wyniosła 6.004,3 km, co stanowiło 21,0% dróg tego typu zlokalizowanych w województwie warmińsko-mazurskim. Na 100 km</w:t>
      </w:r>
      <w:r w:rsidRPr="00733091">
        <w:rPr>
          <w:vertAlign w:val="superscript"/>
          <w:lang w:val="pl-PL"/>
        </w:rPr>
        <w:t>2</w:t>
      </w:r>
      <w:r w:rsidRPr="00733091">
        <w:rPr>
          <w:lang w:val="pl-PL"/>
        </w:rPr>
        <w:t xml:space="preserve"> powierzchni Południowych Mazur przypadało średnio 45 km dróg gminnych </w:t>
      </w:r>
      <w:r w:rsidRPr="00733091">
        <w:rPr>
          <w:lang w:val="pl-PL"/>
        </w:rPr>
        <w:br/>
        <w:t>i powiatowych o twardej nawierzchni (w województwie warmińsko-mazurskim 44,5 km) i 28 km dróg o nawierzchni gruntowej (w regionie 33,8 km). Stopień nasycenia drogami powiatowymi i gminnymi obszaru Partnerstwa w 2019 r. (łączna długość dróg gminnych i powiatowych na 100 km</w:t>
      </w:r>
      <w:r w:rsidRPr="00733091">
        <w:rPr>
          <w:vertAlign w:val="superscript"/>
          <w:lang w:val="pl-PL"/>
        </w:rPr>
        <w:t xml:space="preserve">2 </w:t>
      </w:r>
      <w:r w:rsidRPr="00733091">
        <w:rPr>
          <w:lang w:val="pl-PL"/>
        </w:rPr>
        <w:t xml:space="preserve">powierzchni) wynosił </w:t>
      </w:r>
      <w:r w:rsidRPr="00733091">
        <w:rPr>
          <w:b/>
          <w:bCs/>
          <w:lang w:val="pl-PL"/>
        </w:rPr>
        <w:t>76,46%</w:t>
      </w:r>
      <w:r w:rsidRPr="00733091">
        <w:rPr>
          <w:lang w:val="pl-PL"/>
        </w:rPr>
        <w:t xml:space="preserve"> i był niższy od najwyższego w badanym okresie (2009-2019) o 9,11 punktów procentowych.</w:t>
      </w:r>
    </w:p>
    <w:p w14:paraId="53B23D71" w14:textId="27419DEA" w:rsidR="00F00D78" w:rsidRPr="002B3D05" w:rsidRDefault="00F00D78" w:rsidP="002B3D05">
      <w:pPr>
        <w:rPr>
          <w:lang w:val="pl-PL"/>
        </w:rPr>
      </w:pPr>
      <w:r w:rsidRPr="00733091">
        <w:rPr>
          <w:lang w:val="pl-PL"/>
        </w:rPr>
        <w:t xml:space="preserve">Infrastruktura drogowa (w szczególności </w:t>
      </w:r>
      <w:r w:rsidRPr="00733091">
        <w:rPr>
          <w:b/>
          <w:bCs/>
          <w:lang w:val="pl-PL"/>
        </w:rPr>
        <w:t>część dróg gminnych i dróg powiatowych) jest niskiej jakości</w:t>
      </w:r>
      <w:r w:rsidRPr="00733091">
        <w:rPr>
          <w:lang w:val="pl-PL"/>
        </w:rPr>
        <w:t xml:space="preserve"> i wymaga napraw i remontów.</w:t>
      </w:r>
    </w:p>
    <w:p w14:paraId="77EBE872" w14:textId="1B53E0F8" w:rsidR="00F00D78" w:rsidRPr="00733091" w:rsidRDefault="00F00D78" w:rsidP="00733091">
      <w:pPr>
        <w:rPr>
          <w:lang w:val="pl-PL"/>
        </w:rPr>
      </w:pPr>
      <w:r w:rsidRPr="00733091">
        <w:rPr>
          <w:lang w:val="pl-PL"/>
        </w:rPr>
        <w:t xml:space="preserve">Przez teren Południowych Mazur przebiegają </w:t>
      </w:r>
      <w:r w:rsidRPr="00733091">
        <w:rPr>
          <w:b/>
          <w:bCs/>
          <w:lang w:val="pl-PL"/>
        </w:rPr>
        <w:t>linie kolejowe</w:t>
      </w:r>
      <w:r w:rsidRPr="00733091">
        <w:rPr>
          <w:lang w:val="pl-PL"/>
        </w:rPr>
        <w:t xml:space="preserve"> o różnym znaczeniu i kategorii, z których najważniejszą jest linia nr 9/E65/ Warszawa- Gdańsk (magistralna) z węzłem kolejowym w Działdowie.</w:t>
      </w:r>
      <w:r w:rsidRPr="00733091">
        <w:rPr>
          <w:b/>
          <w:bCs/>
          <w:lang w:val="pl-PL"/>
        </w:rPr>
        <w:t xml:space="preserve"> </w:t>
      </w:r>
      <w:r w:rsidRPr="00733091">
        <w:rPr>
          <w:lang w:val="pl-PL"/>
        </w:rPr>
        <w:t xml:space="preserve"> Najistotniejszymi stacjami kolejowymi dla obsługi ruchu towarowego są: Lidzbark, Działdowo i Nidzica, a dla obsługi ruchu osobowego: Działdowo, Szczytno i Nidzica.</w:t>
      </w:r>
    </w:p>
    <w:p w14:paraId="561EAEAA" w14:textId="5E0E93D1" w:rsidR="00F00D78" w:rsidRPr="00733091" w:rsidRDefault="00F00D78" w:rsidP="002B3D05">
      <w:pPr>
        <w:rPr>
          <w:lang w:val="pl-PL"/>
        </w:rPr>
      </w:pPr>
      <w:r w:rsidRPr="00733091">
        <w:rPr>
          <w:lang w:val="pl-PL"/>
        </w:rPr>
        <w:t>Infrastruktura dworcowa jest bardzo często niskiej jakości.</w:t>
      </w:r>
    </w:p>
    <w:p w14:paraId="721F9B81" w14:textId="77777777" w:rsidR="00F00D78" w:rsidRPr="00733091" w:rsidRDefault="00F00D78" w:rsidP="00733091">
      <w:pPr>
        <w:rPr>
          <w:lang w:val="pl-PL"/>
        </w:rPr>
      </w:pPr>
      <w:r w:rsidRPr="00733091">
        <w:rPr>
          <w:lang w:val="pl-PL"/>
        </w:rPr>
        <w:t xml:space="preserve">Na terenie Południowych Mazur zlokalizowana jest </w:t>
      </w:r>
      <w:r w:rsidRPr="00733091">
        <w:rPr>
          <w:b/>
          <w:bCs/>
          <w:lang w:val="pl-PL"/>
        </w:rPr>
        <w:t>infrastruktura lotnicza</w:t>
      </w:r>
      <w:r w:rsidRPr="00733091">
        <w:rPr>
          <w:lang w:val="pl-PL"/>
        </w:rPr>
        <w:t>, którą tworzą Regionalny Port Lotniczy Olsztyn - Mazury w Szymanach oraz 6 lądowisk samolotowych i śmigłowcowych, w tym</w:t>
      </w:r>
      <w:r w:rsidRPr="00D673D9">
        <w:rPr>
          <w:rStyle w:val="Odwoanieprzypisudolnego"/>
          <w:rFonts w:cstheme="minorHAnsi"/>
        </w:rPr>
        <w:footnoteReference w:id="110"/>
      </w:r>
      <w:r w:rsidRPr="00733091">
        <w:rPr>
          <w:lang w:val="pl-PL"/>
        </w:rPr>
        <w:t>: lądowisko śmigłowcowe (sanitarne) Działdowo-Szpital, należące do Samodzielnego Publicznego Zakładu Opieki Zdrowotnej w Działdowie; lądowisko śmigłowcowe (sanitarne) Szczytno-Szpital należące do Zespołu Opieki Zdrowotnej w Szczytnie i lądowisko śmigłowcowe (przyszpitalne) Szpital-Pisz należące do Samodzielnego Publicznego Zakładu Opieki Zdrowotnej Szpital Powiatowy.</w:t>
      </w:r>
    </w:p>
    <w:p w14:paraId="4CDB0C8F" w14:textId="313938F7" w:rsidR="00E035C6" w:rsidRPr="00690E7F" w:rsidRDefault="001603F0" w:rsidP="00733091">
      <w:pPr>
        <w:pStyle w:val="Nagwek4"/>
        <w:spacing w:before="120" w:after="240"/>
      </w:pPr>
      <w:r w:rsidRPr="001603F0">
        <w:lastRenderedPageBreak/>
        <w:t>Dostępność drogowa i w systemie zbiorowego transportu publicznego</w:t>
      </w:r>
    </w:p>
    <w:p w14:paraId="12286A46" w14:textId="77777777" w:rsidR="00C16CB1" w:rsidRDefault="0004527E" w:rsidP="00C16CB1">
      <w:pPr>
        <w:rPr>
          <w:lang w:val="pl-PL"/>
        </w:rPr>
      </w:pPr>
      <w:r w:rsidRPr="00733091">
        <w:rPr>
          <w:lang w:val="pl-PL"/>
        </w:rPr>
        <w:t xml:space="preserve">Południowe Mazury charakteryzują się </w:t>
      </w:r>
      <w:r w:rsidRPr="00733091">
        <w:rPr>
          <w:b/>
          <w:bCs/>
          <w:lang w:val="pl-PL"/>
        </w:rPr>
        <w:t xml:space="preserve">niską </w:t>
      </w:r>
      <w:r w:rsidRPr="00733091">
        <w:rPr>
          <w:lang w:val="pl-PL"/>
        </w:rPr>
        <w:t>(chociaż zróżnicowaną)</w:t>
      </w:r>
      <w:r w:rsidRPr="00733091">
        <w:rPr>
          <w:b/>
          <w:bCs/>
          <w:lang w:val="pl-PL"/>
        </w:rPr>
        <w:t xml:space="preserve"> dostępnością drogową z perspektywy atrakcyjności inwestycyjnej </w:t>
      </w:r>
      <w:r w:rsidRPr="00733091">
        <w:rPr>
          <w:lang w:val="pl-PL"/>
        </w:rPr>
        <w:t xml:space="preserve">(czyli dostępnością do ośrodków zapewniających zaspokojenie potrzeb usługowych). Najlepsza dostępność cechuje powiat nidzicki i część powiatu działdowskiego, zdecydowanie gorsza – gminy powiatu szczycieńskiego i piskiego. Korzystniejsza sytuacja powiatu działdowskiego i nidzickiego wynika z położenia części gmin z tych powiatów </w:t>
      </w:r>
      <w:r w:rsidRPr="00733091">
        <w:rPr>
          <w:lang w:val="pl-PL"/>
        </w:rPr>
        <w:br/>
        <w:t>w ciągu drogi ekspresowej S7.</w:t>
      </w:r>
    </w:p>
    <w:p w14:paraId="0DBEC586" w14:textId="72ED3C1F" w:rsidR="0004527E" w:rsidRPr="00733091" w:rsidRDefault="0004527E" w:rsidP="00C16CB1">
      <w:pPr>
        <w:rPr>
          <w:lang w:val="pl-PL"/>
        </w:rPr>
      </w:pPr>
      <w:r w:rsidRPr="00733091">
        <w:rPr>
          <w:lang w:val="pl-PL"/>
        </w:rPr>
        <w:t>Niska dostępność drogowa obszaru Partnerstwa (szczególnie jego wschodniej części) z perspektywy atrakcyjności inwestycyjnej jest jedną z najważniejszych barier rozwojowych Partnerstwa w aspekcie gospodarczym (ograniczone możliwości przyciągania zewnętrznych inwestorów).</w:t>
      </w:r>
    </w:p>
    <w:p w14:paraId="3C01A50D" w14:textId="5C317778" w:rsidR="00BA5A72" w:rsidRPr="00733091" w:rsidRDefault="00BA5A72" w:rsidP="002E24A9">
      <w:pPr>
        <w:pStyle w:val="Legenda"/>
        <w:rPr>
          <w:lang w:val="pl-PL"/>
        </w:rPr>
      </w:pPr>
      <w:bookmarkStart w:id="157" w:name="_Toc69596617"/>
      <w:r w:rsidRPr="00733091">
        <w:rPr>
          <w:lang w:val="pl-PL"/>
        </w:rPr>
        <w:t xml:space="preserve">Mapa </w:t>
      </w:r>
      <w:r w:rsidR="00733091">
        <w:fldChar w:fldCharType="begin"/>
      </w:r>
      <w:r w:rsidR="00733091" w:rsidRPr="00733091">
        <w:rPr>
          <w:lang w:val="pl-PL"/>
        </w:rPr>
        <w:instrText xml:space="preserve"> SEQ Mapa \* ARABIC </w:instrText>
      </w:r>
      <w:r w:rsidR="00733091">
        <w:fldChar w:fldCharType="separate"/>
      </w:r>
      <w:r w:rsidR="00B14787">
        <w:rPr>
          <w:noProof/>
          <w:lang w:val="pl-PL"/>
        </w:rPr>
        <w:t>17</w:t>
      </w:r>
      <w:r w:rsidR="00733091">
        <w:rPr>
          <w:noProof/>
        </w:rPr>
        <w:fldChar w:fldCharType="end"/>
      </w:r>
      <w:r w:rsidRPr="00733091">
        <w:rPr>
          <w:lang w:val="pl-PL"/>
        </w:rPr>
        <w:t>: Indeks syntetyczny dostępności drogowej z perspektywy atrakcyjności inwestycyjnej</w:t>
      </w:r>
      <w:bookmarkEnd w:id="157"/>
    </w:p>
    <w:p w14:paraId="6AAC5961" w14:textId="77777777" w:rsidR="0004527E" w:rsidRPr="0004527E" w:rsidRDefault="0004527E" w:rsidP="00733091">
      <w:pPr>
        <w:pStyle w:val="podpiselementu"/>
        <w:spacing w:after="240"/>
      </w:pPr>
      <w:r w:rsidRPr="0004527E">
        <w:rPr>
          <w:noProof/>
        </w:rPr>
        <w:drawing>
          <wp:inline distT="0" distB="0" distL="0" distR="0" wp14:anchorId="2944DD17" wp14:editId="1D583608">
            <wp:extent cx="4217670" cy="3958122"/>
            <wp:effectExtent l="19050" t="19050" r="11430" b="23495"/>
            <wp:docPr id="68" name="Obraz 68" descr="mapa województwa warmińsko-mazurskiego pokazująca indeks syntetyczny dostępności drogowej z perspektywy atrakcyjności inwestycyjnej, od koloru zielonego, oznaczającego najlepszą dostępność do brązowego oznaczającego dostępność najsłabsz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Obraz 68" descr="mapa województwa warmińsko-mazurskiego pokazująca indeks syntetyczny dostępności drogowej z perspektywy atrakcyjności inwestycyjnej, od koloru zielonego, oznaczającego najlepszą dostępność do brązowego oznaczającego dostępność najsłabszą"/>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4232098" cy="3971663"/>
                    </a:xfrm>
                    <a:prstGeom prst="rect">
                      <a:avLst/>
                    </a:prstGeom>
                    <a:noFill/>
                    <a:ln>
                      <a:solidFill>
                        <a:schemeClr val="tx2"/>
                      </a:solidFill>
                    </a:ln>
                  </pic:spPr>
                </pic:pic>
              </a:graphicData>
            </a:graphic>
          </wp:inline>
        </w:drawing>
      </w:r>
    </w:p>
    <w:p w14:paraId="1BCAB68A" w14:textId="193A35D8" w:rsidR="0004527E" w:rsidRPr="00733091" w:rsidRDefault="0004527E" w:rsidP="002B3D05">
      <w:pPr>
        <w:pStyle w:val="podpiselementu"/>
        <w:spacing w:after="240"/>
        <w:rPr>
          <w:lang w:val="pl-PL"/>
        </w:rPr>
      </w:pPr>
      <w:r w:rsidRPr="00733091">
        <w:rPr>
          <w:lang w:val="pl-PL"/>
        </w:rPr>
        <w:t>Źródło: „Analiza relacji funkcjonalno-przestrzennych między ośrodkami miejskimi i ich otoczeniem”, Raport cząstkowy, komponent 3 – Relacje przestrzenne i dostępność komunikacyjna, PAN i Uniwersytet Jagielloński w Krakowie, Kraków, 2019</w:t>
      </w:r>
    </w:p>
    <w:p w14:paraId="4AC987B3" w14:textId="77777777" w:rsidR="0004527E" w:rsidRPr="00733091" w:rsidRDefault="0004527E" w:rsidP="00733091">
      <w:pPr>
        <w:contextualSpacing/>
        <w:rPr>
          <w:b/>
          <w:bCs/>
          <w:lang w:val="pl-PL"/>
        </w:rPr>
      </w:pPr>
    </w:p>
    <w:p w14:paraId="0B83F2D8" w14:textId="77777777" w:rsidR="004859BA" w:rsidRDefault="0004527E" w:rsidP="004859BA">
      <w:pPr>
        <w:rPr>
          <w:lang w:val="pl-PL"/>
        </w:rPr>
      </w:pPr>
      <w:r w:rsidRPr="00733091">
        <w:rPr>
          <w:b/>
          <w:bCs/>
          <w:lang w:val="pl-PL"/>
        </w:rPr>
        <w:lastRenderedPageBreak/>
        <w:t>Niski poziom</w:t>
      </w:r>
      <w:r w:rsidRPr="00733091">
        <w:rPr>
          <w:lang w:val="pl-PL"/>
        </w:rPr>
        <w:t xml:space="preserve"> cechuje również </w:t>
      </w:r>
      <w:r w:rsidRPr="00733091">
        <w:rPr>
          <w:b/>
          <w:bCs/>
          <w:lang w:val="pl-PL"/>
        </w:rPr>
        <w:t>dostępność drogową</w:t>
      </w:r>
      <w:r w:rsidRPr="00733091">
        <w:rPr>
          <w:lang w:val="pl-PL"/>
        </w:rPr>
        <w:t xml:space="preserve"> Południowych Mazur ujętą </w:t>
      </w:r>
      <w:r w:rsidRPr="00733091">
        <w:rPr>
          <w:b/>
          <w:bCs/>
          <w:lang w:val="pl-PL"/>
        </w:rPr>
        <w:t xml:space="preserve">z perspektywy poziomu życia mieszkańców </w:t>
      </w:r>
      <w:r w:rsidRPr="00733091">
        <w:rPr>
          <w:lang w:val="pl-PL"/>
        </w:rPr>
        <w:t>(związaną z dostępnością do ośrodków wojewódzkich lub subregionalnych powyżej 50 tys. mieszkańców).</w:t>
      </w:r>
    </w:p>
    <w:p w14:paraId="1858968D" w14:textId="3E5CDC80" w:rsidR="0004527E" w:rsidRPr="00733091" w:rsidRDefault="0004527E" w:rsidP="004859BA">
      <w:pPr>
        <w:rPr>
          <w:lang w:val="pl-PL"/>
        </w:rPr>
      </w:pPr>
      <w:r w:rsidRPr="00733091">
        <w:rPr>
          <w:lang w:val="pl-PL"/>
        </w:rPr>
        <w:t>Najkorzystniejsza sytuacja w zakresie dostępności drogowej z tej perspektywy występuje w Nidzicy, Działdowie i Pasymiu – ośrodkach położonych w najbliższej odległości od miasta subregionalnego (Ostróda) lub wojewódzkiego (Olsztyn). Najsłabszą dostępnością charakteryzuje się wschodni region Południowych Mazur. Słaba dostępność drogowa tej części obszaru, wpływająca na niektóre aspekty poziomu życia mieszkańców (dostępność do usług lub miejsc pracy) może skutkować odpływem migracyjnym do obszarów Partnerstwa cechujących się lepszą dostępnością drogową</w:t>
      </w:r>
      <w:r>
        <w:rPr>
          <w:rStyle w:val="Odwoanieprzypisudolnego"/>
        </w:rPr>
        <w:footnoteReference w:id="111"/>
      </w:r>
      <w:r w:rsidRPr="00733091">
        <w:rPr>
          <w:lang w:val="pl-PL"/>
        </w:rPr>
        <w:t>.</w:t>
      </w:r>
    </w:p>
    <w:p w14:paraId="4E4E1B34" w14:textId="1E92EC39" w:rsidR="00BA5A72" w:rsidRPr="00733091" w:rsidRDefault="00BA5A72" w:rsidP="002E24A9">
      <w:pPr>
        <w:pStyle w:val="Legenda"/>
        <w:rPr>
          <w:lang w:val="pl-PL"/>
        </w:rPr>
      </w:pPr>
      <w:bookmarkStart w:id="158" w:name="_Toc69596618"/>
      <w:r w:rsidRPr="00733091">
        <w:rPr>
          <w:lang w:val="pl-PL"/>
        </w:rPr>
        <w:t xml:space="preserve">Mapa </w:t>
      </w:r>
      <w:r w:rsidR="00733091">
        <w:fldChar w:fldCharType="begin"/>
      </w:r>
      <w:r w:rsidR="00733091" w:rsidRPr="00733091">
        <w:rPr>
          <w:lang w:val="pl-PL"/>
        </w:rPr>
        <w:instrText xml:space="preserve"> SEQ Mapa \* ARABIC </w:instrText>
      </w:r>
      <w:r w:rsidR="00733091">
        <w:fldChar w:fldCharType="separate"/>
      </w:r>
      <w:r w:rsidR="00B14787">
        <w:rPr>
          <w:noProof/>
          <w:lang w:val="pl-PL"/>
        </w:rPr>
        <w:t>18</w:t>
      </w:r>
      <w:r w:rsidR="00733091">
        <w:rPr>
          <w:noProof/>
        </w:rPr>
        <w:fldChar w:fldCharType="end"/>
      </w:r>
      <w:r w:rsidRPr="00733091">
        <w:rPr>
          <w:lang w:val="pl-PL"/>
        </w:rPr>
        <w:t>: Indeks syntetyczny dostępności drogowej z perspektywy poziomu jakości życia mieszkańców</w:t>
      </w:r>
      <w:bookmarkEnd w:id="158"/>
    </w:p>
    <w:p w14:paraId="2F52D223" w14:textId="3A0F571C" w:rsidR="00A33A7C" w:rsidRDefault="0004527E" w:rsidP="00E74850">
      <w:pPr>
        <w:pStyle w:val="podpiselementu"/>
        <w:spacing w:after="240"/>
        <w:rPr>
          <w:lang w:val="pl-PL"/>
        </w:rPr>
      </w:pPr>
      <w:r>
        <w:rPr>
          <w:rFonts w:cstheme="minorHAnsi"/>
          <w:noProof/>
        </w:rPr>
        <w:drawing>
          <wp:inline distT="0" distB="0" distL="0" distR="0" wp14:anchorId="7AE48375" wp14:editId="30C52E62">
            <wp:extent cx="4347210" cy="3990989"/>
            <wp:effectExtent l="19050" t="19050" r="15240" b="28575"/>
            <wp:docPr id="74" name="Obraz 74" descr="mapa województwa warmińsko-mazurskiego pokazująca indeks syntetyczny dostępności drogowej z perspektywy poziomu życia mieszkańców, od koloru zielonego, oznaczającego najlepszą dostępność do brązowego oznaczającego dostępność najsłabsz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Obraz 74" descr="mapa województwa warmińsko-mazurskiego pokazująca indeks syntetyczny dostępności drogowej z perspektywy poziomu życia mieszkańców, od koloru zielonego, oznaczającego najlepszą dostępność do brązowego oznaczającego dostępność najsłabszą"/>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361233" cy="4003863"/>
                    </a:xfrm>
                    <a:prstGeom prst="rect">
                      <a:avLst/>
                    </a:prstGeom>
                    <a:noFill/>
                    <a:ln>
                      <a:solidFill>
                        <a:schemeClr val="tx2"/>
                      </a:solidFill>
                    </a:ln>
                  </pic:spPr>
                </pic:pic>
              </a:graphicData>
            </a:graphic>
          </wp:inline>
        </w:drawing>
      </w:r>
      <w:r w:rsidRPr="00733091">
        <w:rPr>
          <w:lang w:val="pl-PL"/>
        </w:rPr>
        <w:br/>
        <w:t>Źródło: „Analiza relacji funkcjonalno-przestrzennych między ośrodkami miejskimi i ich otoczeniem”,</w:t>
      </w:r>
      <w:r w:rsidR="004859BA">
        <w:rPr>
          <w:lang w:val="pl-PL"/>
        </w:rPr>
        <w:t xml:space="preserve"> </w:t>
      </w:r>
      <w:r w:rsidRPr="00733091">
        <w:rPr>
          <w:lang w:val="pl-PL"/>
        </w:rPr>
        <w:t>Raport cząstkowy, komponent 3 – Relacje przestrzenne i dostępność komunikacyjna, PAN i Uniwersytet Jagielloński w Krakowie, Kraków, 2019</w:t>
      </w:r>
    </w:p>
    <w:p w14:paraId="798D90D4" w14:textId="77777777" w:rsidR="00E74850" w:rsidRPr="00E74850" w:rsidRDefault="00E74850" w:rsidP="00E74850">
      <w:pPr>
        <w:rPr>
          <w:lang w:val="pl-PL"/>
        </w:rPr>
      </w:pPr>
    </w:p>
    <w:p w14:paraId="5893917D" w14:textId="0A385CF5" w:rsidR="0004527E" w:rsidRPr="002B3D05" w:rsidRDefault="0004527E" w:rsidP="002B3D05">
      <w:pPr>
        <w:rPr>
          <w:lang w:val="pl-PL"/>
        </w:rPr>
      </w:pPr>
      <w:r w:rsidRPr="00733091">
        <w:rPr>
          <w:lang w:val="pl-PL"/>
        </w:rPr>
        <w:t>Dostępność drogowa miast powiatowych</w:t>
      </w:r>
      <w:r>
        <w:rPr>
          <w:rStyle w:val="Odwoanieprzypisudolnego"/>
        </w:rPr>
        <w:footnoteReference w:id="112"/>
      </w:r>
      <w:r w:rsidRPr="00733091">
        <w:rPr>
          <w:lang w:val="pl-PL"/>
        </w:rPr>
        <w:t xml:space="preserve"> (Nidzica, Pisz, Działdowo, Szczytno) dla mieszkańców powiatów w transporcie drogowym zależy głównie od położenia gmin - miejsc zamieszkania mieszkańców oraz klasy dróg jakie przebiegają przez te miasta lub w ich pobliżu</w:t>
      </w:r>
      <w:r>
        <w:rPr>
          <w:rStyle w:val="Odwoanieprzypisudolnego"/>
        </w:rPr>
        <w:footnoteReference w:id="113"/>
      </w:r>
      <w:r w:rsidRPr="00733091">
        <w:rPr>
          <w:lang w:val="pl-PL"/>
        </w:rPr>
        <w:t>. Dostępność drogowa miast powiatowych (traktowanych jako centra usług subregionalnych) kształtuje się na wysokim poziomie (dojazd do miasta powiatowego nie zajmuje w większości przypadków więcej niż 45 minut)</w:t>
      </w:r>
      <w:r>
        <w:rPr>
          <w:rStyle w:val="Odwoanieprzypisudolnego"/>
        </w:rPr>
        <w:footnoteReference w:id="114"/>
      </w:r>
      <w:r w:rsidRPr="00733091">
        <w:rPr>
          <w:rFonts w:cstheme="minorHAnsi"/>
          <w:lang w:val="pl-PL"/>
        </w:rPr>
        <w:t>.</w:t>
      </w:r>
    </w:p>
    <w:p w14:paraId="5277C458" w14:textId="17913567" w:rsidR="0004527E" w:rsidRPr="002B3D05" w:rsidRDefault="0004527E" w:rsidP="002B3D05">
      <w:pPr>
        <w:rPr>
          <w:rFonts w:cstheme="minorHAnsi"/>
          <w:lang w:val="pl-PL"/>
        </w:rPr>
      </w:pPr>
      <w:r w:rsidRPr="00733091">
        <w:rPr>
          <w:rFonts w:cstheme="minorHAnsi"/>
          <w:b/>
          <w:bCs/>
          <w:lang w:val="pl-PL"/>
        </w:rPr>
        <w:t>Dostępność komunikacyjna obszaru Południowych Mazur w systemie zbiorowego transportu publicznego jest niska</w:t>
      </w:r>
      <w:r>
        <w:rPr>
          <w:rStyle w:val="Odwoanieprzypisudolnego"/>
          <w:rFonts w:cstheme="minorHAnsi"/>
          <w:b/>
          <w:bCs/>
        </w:rPr>
        <w:footnoteReference w:id="115"/>
      </w:r>
      <w:r w:rsidRPr="00733091">
        <w:rPr>
          <w:rFonts w:cstheme="minorHAnsi"/>
          <w:lang w:val="pl-PL"/>
        </w:rPr>
        <w:t>. Przez teren Południowych Mazur przebiegają wprawdzie linie autobusowe zapewniające komunikację między największymi ośrodkami obszaru Partnerstwa oraz z regionem i krajem, ale ich liczba jest niewystarczająca.</w:t>
      </w:r>
    </w:p>
    <w:p w14:paraId="57B44453" w14:textId="6C95EEE5" w:rsidR="0004527E" w:rsidRPr="00733091" w:rsidRDefault="0004527E" w:rsidP="00733091">
      <w:pPr>
        <w:rPr>
          <w:rFonts w:cstheme="minorHAnsi"/>
          <w:lang w:val="pl-PL"/>
        </w:rPr>
      </w:pPr>
      <w:r w:rsidRPr="00733091">
        <w:rPr>
          <w:rFonts w:cstheme="minorHAnsi"/>
          <w:b/>
          <w:bCs/>
          <w:lang w:val="pl-PL"/>
        </w:rPr>
        <w:t xml:space="preserve">Nie istnieją bezpośrednie powiązania międzymiastowe komunikacją publiczną </w:t>
      </w:r>
      <w:r w:rsidRPr="00733091">
        <w:rPr>
          <w:rFonts w:cstheme="minorHAnsi"/>
          <w:lang w:val="pl-PL"/>
        </w:rPr>
        <w:t>między</w:t>
      </w:r>
      <w:r w:rsidRPr="00733091">
        <w:rPr>
          <w:rFonts w:cstheme="minorHAnsi"/>
          <w:b/>
          <w:bCs/>
          <w:lang w:val="pl-PL"/>
        </w:rPr>
        <w:t xml:space="preserve"> Działdowem i Szczytnem </w:t>
      </w:r>
      <w:r w:rsidRPr="00733091">
        <w:rPr>
          <w:rFonts w:cstheme="minorHAnsi"/>
          <w:lang w:val="pl-PL"/>
        </w:rPr>
        <w:t>ora</w:t>
      </w:r>
      <w:r w:rsidRPr="00733091">
        <w:rPr>
          <w:rFonts w:cstheme="minorHAnsi"/>
          <w:b/>
          <w:bCs/>
          <w:lang w:val="pl-PL"/>
        </w:rPr>
        <w:t>z między Nidzicą a Szczytnem</w:t>
      </w:r>
      <w:r w:rsidRPr="00733091">
        <w:rPr>
          <w:rFonts w:cstheme="minorHAnsi"/>
          <w:lang w:val="pl-PL"/>
        </w:rPr>
        <w:t>.</w:t>
      </w:r>
    </w:p>
    <w:p w14:paraId="6659E3E3" w14:textId="21C4C5A3" w:rsidR="0004527E" w:rsidRPr="00733091" w:rsidRDefault="0004527E" w:rsidP="002B3D05">
      <w:pPr>
        <w:rPr>
          <w:rFonts w:cstheme="minorHAnsi"/>
          <w:lang w:val="pl-PL"/>
        </w:rPr>
      </w:pPr>
      <w:r w:rsidRPr="00733091">
        <w:rPr>
          <w:rFonts w:cstheme="minorHAnsi"/>
          <w:lang w:val="pl-PL"/>
        </w:rPr>
        <w:t xml:space="preserve">Między Działdowem i Nidzicą, Szczytnem a Rucianem-Nida, Rucianem-Nida </w:t>
      </w:r>
      <w:r w:rsidR="00E74850">
        <w:rPr>
          <w:rFonts w:cstheme="minorHAnsi"/>
          <w:lang w:val="pl-PL"/>
        </w:rPr>
        <w:br/>
      </w:r>
      <w:r w:rsidRPr="00733091">
        <w:rPr>
          <w:rFonts w:cstheme="minorHAnsi"/>
          <w:lang w:val="pl-PL"/>
        </w:rPr>
        <w:t xml:space="preserve">a Orzyszem i Białą Piską, istnieją średnie powiązania komunikacyjne. Silne powiązania łączą Ruciane-Nida i Pisz, Szczytno i Wielbark, a także Działdowo </w:t>
      </w:r>
      <w:r w:rsidR="00E74850">
        <w:rPr>
          <w:rFonts w:cstheme="minorHAnsi"/>
          <w:lang w:val="pl-PL"/>
        </w:rPr>
        <w:br/>
      </w:r>
      <w:r w:rsidRPr="00733091">
        <w:rPr>
          <w:rFonts w:cstheme="minorHAnsi"/>
          <w:lang w:val="pl-PL"/>
        </w:rPr>
        <w:t xml:space="preserve">z województwem mazowieckim, Nowym Miastem Lubawskim i dalej </w:t>
      </w:r>
      <w:r w:rsidR="00E74850">
        <w:rPr>
          <w:rFonts w:cstheme="minorHAnsi"/>
          <w:lang w:val="pl-PL"/>
        </w:rPr>
        <w:br/>
      </w:r>
      <w:r w:rsidRPr="00733091">
        <w:rPr>
          <w:rFonts w:cstheme="minorHAnsi"/>
          <w:lang w:val="pl-PL"/>
        </w:rPr>
        <w:t>z województwem pomorskim (mapa poniżej).</w:t>
      </w:r>
    </w:p>
    <w:p w14:paraId="1708C4CB" w14:textId="342D41DB" w:rsidR="00A33A7C" w:rsidRPr="00733091" w:rsidRDefault="0004527E" w:rsidP="00494C2D">
      <w:pPr>
        <w:rPr>
          <w:rFonts w:cstheme="minorHAnsi"/>
          <w:b/>
          <w:bCs/>
          <w:lang w:val="pl-PL"/>
        </w:rPr>
      </w:pPr>
      <w:r w:rsidRPr="00733091">
        <w:rPr>
          <w:rFonts w:cstheme="minorHAnsi"/>
          <w:lang w:val="pl-PL"/>
        </w:rPr>
        <w:t>Komunikacja kolejowa wewnątrz Partnerstwa wykorzystywana jest w niewielkim stopniu. Zauważalnym trendem jest spadek liczby przewozów osobowych na eksploatowanych odcinkach (patrz tabela poniżej). Linie kolejowe ulegają zawieszaniu i likwidacji, co powoduje</w:t>
      </w:r>
      <w:r w:rsidRPr="00733091">
        <w:rPr>
          <w:rFonts w:cstheme="minorHAnsi"/>
          <w:b/>
          <w:bCs/>
          <w:lang w:val="pl-PL"/>
        </w:rPr>
        <w:t xml:space="preserve"> brak połączeń kolejowych w północno-wschodniej części województwa</w:t>
      </w:r>
      <w:r w:rsidR="00494C2D">
        <w:rPr>
          <w:rFonts w:cstheme="minorHAnsi"/>
          <w:b/>
          <w:bCs/>
          <w:lang w:val="pl-PL"/>
        </w:rPr>
        <w:t>.</w:t>
      </w:r>
    </w:p>
    <w:p w14:paraId="190FEE81" w14:textId="27E47896" w:rsidR="0004527E" w:rsidRPr="00733091" w:rsidRDefault="0004527E" w:rsidP="002E24A9">
      <w:pPr>
        <w:pStyle w:val="Legenda"/>
        <w:rPr>
          <w:lang w:val="pl-PL"/>
        </w:rPr>
      </w:pPr>
      <w:bookmarkStart w:id="159" w:name="_Toc69723277"/>
      <w:r w:rsidRPr="00733091">
        <w:rPr>
          <w:lang w:val="pl-PL"/>
        </w:rPr>
        <w:lastRenderedPageBreak/>
        <w:t xml:space="preserve">Tabela </w:t>
      </w:r>
      <w:r w:rsidR="00733091">
        <w:fldChar w:fldCharType="begin"/>
      </w:r>
      <w:r w:rsidR="00733091" w:rsidRPr="00733091">
        <w:rPr>
          <w:lang w:val="pl-PL"/>
        </w:rPr>
        <w:instrText xml:space="preserve"> SEQ Tabela \* ARABIC </w:instrText>
      </w:r>
      <w:r w:rsidR="00733091">
        <w:fldChar w:fldCharType="separate"/>
      </w:r>
      <w:r w:rsidR="00B14787">
        <w:rPr>
          <w:noProof/>
          <w:lang w:val="pl-PL"/>
        </w:rPr>
        <w:t>28</w:t>
      </w:r>
      <w:r w:rsidR="00733091">
        <w:rPr>
          <w:noProof/>
        </w:rPr>
        <w:fldChar w:fldCharType="end"/>
      </w:r>
      <w:r w:rsidRPr="00733091">
        <w:rPr>
          <w:lang w:val="pl-PL"/>
        </w:rPr>
        <w:t>. Linie kolejowe na obszarze Południowych Mazur</w:t>
      </w:r>
      <w:bookmarkEnd w:id="159"/>
    </w:p>
    <w:tbl>
      <w:tblPr>
        <w:tblStyle w:val="CWD"/>
        <w:tblpPr w:leftFromText="141" w:rightFromText="141" w:vertAnchor="text" w:tblpY="1"/>
        <w:tblOverlap w:val="never"/>
        <w:tblW w:w="9051" w:type="dxa"/>
        <w:tblLook w:val="04A0" w:firstRow="1" w:lastRow="0" w:firstColumn="1" w:lastColumn="0" w:noHBand="0" w:noVBand="1"/>
      </w:tblPr>
      <w:tblGrid>
        <w:gridCol w:w="629"/>
        <w:gridCol w:w="1616"/>
        <w:gridCol w:w="1363"/>
        <w:gridCol w:w="1839"/>
        <w:gridCol w:w="3604"/>
      </w:tblGrid>
      <w:tr w:rsidR="0004527E" w:rsidRPr="00241006" w14:paraId="4C7B9F82" w14:textId="77777777" w:rsidTr="000570F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1" w:type="dxa"/>
          </w:tcPr>
          <w:p w14:paraId="133D8EE7" w14:textId="77777777" w:rsidR="0004527E" w:rsidRPr="00241006" w:rsidRDefault="0004527E" w:rsidP="00E74850">
            <w:pPr>
              <w:pStyle w:val="elementgraficznytabela"/>
              <w:spacing w:after="240" w:line="259" w:lineRule="auto"/>
              <w:contextualSpacing/>
            </w:pPr>
            <w:r w:rsidRPr="00241006">
              <w:t>Nr linii</w:t>
            </w:r>
          </w:p>
        </w:tc>
        <w:tc>
          <w:tcPr>
            <w:tcW w:w="1632" w:type="dxa"/>
          </w:tcPr>
          <w:p w14:paraId="3B9FE4B2" w14:textId="77777777" w:rsidR="0004527E" w:rsidRPr="00241006" w:rsidRDefault="0004527E" w:rsidP="00E74850">
            <w:pPr>
              <w:pStyle w:val="elementgraficznytabela"/>
              <w:spacing w:after="240" w:line="259" w:lineRule="auto"/>
              <w:contextualSpacing/>
              <w:cnfStyle w:val="100000000000" w:firstRow="1" w:lastRow="0" w:firstColumn="0" w:lastColumn="0" w:oddVBand="0" w:evenVBand="0" w:oddHBand="0" w:evenHBand="0" w:firstRowFirstColumn="0" w:firstRowLastColumn="0" w:lastRowFirstColumn="0" w:lastRowLastColumn="0"/>
            </w:pPr>
            <w:r w:rsidRPr="00241006">
              <w:t>Nazwa linii</w:t>
            </w:r>
          </w:p>
        </w:tc>
        <w:tc>
          <w:tcPr>
            <w:tcW w:w="1276" w:type="dxa"/>
          </w:tcPr>
          <w:p w14:paraId="00156406" w14:textId="77777777" w:rsidR="0004527E" w:rsidRPr="00241006" w:rsidRDefault="0004527E" w:rsidP="00E74850">
            <w:pPr>
              <w:pStyle w:val="elementgraficznytabela"/>
              <w:spacing w:after="240" w:line="259" w:lineRule="auto"/>
              <w:contextualSpacing/>
              <w:cnfStyle w:val="100000000000" w:firstRow="1" w:lastRow="0" w:firstColumn="0" w:lastColumn="0" w:oddVBand="0" w:evenVBand="0" w:oddHBand="0" w:evenHBand="0" w:firstRowFirstColumn="0" w:firstRowLastColumn="0" w:lastRowFirstColumn="0" w:lastRowLastColumn="0"/>
            </w:pPr>
            <w:r w:rsidRPr="00241006">
              <w:t>Znaczenie linii</w:t>
            </w:r>
          </w:p>
        </w:tc>
        <w:tc>
          <w:tcPr>
            <w:tcW w:w="1843" w:type="dxa"/>
          </w:tcPr>
          <w:p w14:paraId="4FAAE81C" w14:textId="77777777" w:rsidR="0004527E" w:rsidRPr="00241006" w:rsidRDefault="0004527E" w:rsidP="00E74850">
            <w:pPr>
              <w:pStyle w:val="elementgraficznytabela"/>
              <w:spacing w:after="240" w:line="259" w:lineRule="auto"/>
              <w:contextualSpacing/>
              <w:cnfStyle w:val="100000000000" w:firstRow="1" w:lastRow="0" w:firstColumn="0" w:lastColumn="0" w:oddVBand="0" w:evenVBand="0" w:oddHBand="0" w:evenHBand="0" w:firstRowFirstColumn="0" w:firstRowLastColumn="0" w:lastRowFirstColumn="0" w:lastRowLastColumn="0"/>
            </w:pPr>
            <w:r w:rsidRPr="00241006">
              <w:t>Kategoria linii</w:t>
            </w:r>
          </w:p>
        </w:tc>
        <w:tc>
          <w:tcPr>
            <w:tcW w:w="3669" w:type="dxa"/>
          </w:tcPr>
          <w:p w14:paraId="6A976146" w14:textId="77777777" w:rsidR="0004527E" w:rsidRPr="00241006" w:rsidRDefault="0004527E" w:rsidP="00E74850">
            <w:pPr>
              <w:pStyle w:val="elementgraficznytabela"/>
              <w:spacing w:after="240" w:line="259" w:lineRule="auto"/>
              <w:contextualSpacing/>
              <w:cnfStyle w:val="100000000000" w:firstRow="1" w:lastRow="0" w:firstColumn="0" w:lastColumn="0" w:oddVBand="0" w:evenVBand="0" w:oddHBand="0" w:evenHBand="0" w:firstRowFirstColumn="0" w:firstRowLastColumn="0" w:lastRowFirstColumn="0" w:lastRowLastColumn="0"/>
            </w:pPr>
            <w:r w:rsidRPr="00241006">
              <w:t>Uwagi</w:t>
            </w:r>
          </w:p>
        </w:tc>
      </w:tr>
      <w:tr w:rsidR="0004527E" w:rsidRPr="00176303" w14:paraId="7A48E17D" w14:textId="77777777" w:rsidTr="000570F1">
        <w:tc>
          <w:tcPr>
            <w:cnfStyle w:val="001000000000" w:firstRow="0" w:lastRow="0" w:firstColumn="1" w:lastColumn="0" w:oddVBand="0" w:evenVBand="0" w:oddHBand="0" w:evenHBand="0" w:firstRowFirstColumn="0" w:firstRowLastColumn="0" w:lastRowFirstColumn="0" w:lastRowLastColumn="0"/>
            <w:tcW w:w="631" w:type="dxa"/>
          </w:tcPr>
          <w:p w14:paraId="3DA31957" w14:textId="77777777" w:rsidR="0004527E" w:rsidRPr="00241006" w:rsidRDefault="0004527E" w:rsidP="00E74850">
            <w:pPr>
              <w:pStyle w:val="elementgraficznytabela"/>
              <w:spacing w:after="240" w:line="259" w:lineRule="auto"/>
              <w:contextualSpacing/>
            </w:pPr>
            <w:r w:rsidRPr="00241006">
              <w:t>35</w:t>
            </w:r>
          </w:p>
        </w:tc>
        <w:tc>
          <w:tcPr>
            <w:tcW w:w="1632" w:type="dxa"/>
          </w:tcPr>
          <w:p w14:paraId="350FF3A6" w14:textId="77777777" w:rsidR="0004527E" w:rsidRPr="00241006" w:rsidRDefault="0004527E" w:rsidP="00E74850">
            <w:pPr>
              <w:pStyle w:val="elementgraficznytabela"/>
              <w:spacing w:after="240" w:line="259" w:lineRule="auto"/>
              <w:contextualSpacing/>
              <w:cnfStyle w:val="000000000000" w:firstRow="0" w:lastRow="0" w:firstColumn="0" w:lastColumn="0" w:oddVBand="0" w:evenVBand="0" w:oddHBand="0" w:evenHBand="0" w:firstRowFirstColumn="0" w:firstRowLastColumn="0" w:lastRowFirstColumn="0" w:lastRowLastColumn="0"/>
            </w:pPr>
            <w:r w:rsidRPr="00241006">
              <w:t>Ostrołęka - Szczytno</w:t>
            </w:r>
          </w:p>
        </w:tc>
        <w:tc>
          <w:tcPr>
            <w:tcW w:w="1276" w:type="dxa"/>
          </w:tcPr>
          <w:p w14:paraId="4003075D" w14:textId="77777777" w:rsidR="0004527E" w:rsidRPr="00241006" w:rsidRDefault="0004527E" w:rsidP="00E74850">
            <w:pPr>
              <w:pStyle w:val="elementgraficznytabela"/>
              <w:spacing w:after="240" w:line="259" w:lineRule="auto"/>
              <w:contextualSpacing/>
              <w:cnfStyle w:val="000000000000" w:firstRow="0" w:lastRow="0" w:firstColumn="0" w:lastColumn="0" w:oddVBand="0" w:evenVBand="0" w:oddHBand="0" w:evenHBand="0" w:firstRowFirstColumn="0" w:firstRowLastColumn="0" w:lastRowFirstColumn="0" w:lastRowLastColumn="0"/>
            </w:pPr>
            <w:r w:rsidRPr="00241006">
              <w:t>regionalna</w:t>
            </w:r>
          </w:p>
        </w:tc>
        <w:tc>
          <w:tcPr>
            <w:tcW w:w="1843" w:type="dxa"/>
          </w:tcPr>
          <w:p w14:paraId="4F3E4F61" w14:textId="77777777" w:rsidR="0004527E" w:rsidRPr="00241006" w:rsidRDefault="0004527E" w:rsidP="00E74850">
            <w:pPr>
              <w:pStyle w:val="elementgraficznytabela"/>
              <w:spacing w:after="240" w:line="259" w:lineRule="auto"/>
              <w:contextualSpacing/>
              <w:cnfStyle w:val="000000000000" w:firstRow="0" w:lastRow="0" w:firstColumn="0" w:lastColumn="0" w:oddVBand="0" w:evenVBand="0" w:oddHBand="0" w:evenHBand="0" w:firstRowFirstColumn="0" w:firstRowLastColumn="0" w:lastRowFirstColumn="0" w:lastRowLastColumn="0"/>
            </w:pPr>
            <w:r w:rsidRPr="00241006">
              <w:t xml:space="preserve">pierwszorzędna </w:t>
            </w:r>
            <w:r w:rsidRPr="00241006">
              <w:br/>
              <w:t>(gr. woj. - Wielbark); drugorzędna (Wielbark - Szczytno)</w:t>
            </w:r>
          </w:p>
        </w:tc>
        <w:tc>
          <w:tcPr>
            <w:tcW w:w="3669" w:type="dxa"/>
          </w:tcPr>
          <w:p w14:paraId="247818DA" w14:textId="77777777" w:rsidR="0004527E" w:rsidRPr="00241006" w:rsidRDefault="0004527E" w:rsidP="00E74850">
            <w:pPr>
              <w:pStyle w:val="elementgraficznytabela"/>
              <w:spacing w:after="240" w:line="259" w:lineRule="auto"/>
              <w:contextualSpacing/>
              <w:cnfStyle w:val="000000000000" w:firstRow="0" w:lastRow="0" w:firstColumn="0" w:lastColumn="0" w:oddVBand="0" w:evenVBand="0" w:oddHBand="0" w:evenHBand="0" w:firstRowFirstColumn="0" w:firstRowLastColumn="0" w:lastRowFirstColumn="0" w:lastRowLastColumn="0"/>
            </w:pPr>
            <w:r w:rsidRPr="00241006">
              <w:t>Niezelektryfikowana, 1 tor.</w:t>
            </w:r>
          </w:p>
          <w:p w14:paraId="6D83F487" w14:textId="0D74458A" w:rsidR="0004527E" w:rsidRPr="00241006" w:rsidRDefault="0004527E" w:rsidP="00E74850">
            <w:pPr>
              <w:pStyle w:val="elementgraficznytabela"/>
              <w:spacing w:after="240" w:line="259" w:lineRule="auto"/>
              <w:contextualSpacing/>
              <w:cnfStyle w:val="000000000000" w:firstRow="0" w:lastRow="0" w:firstColumn="0" w:lastColumn="0" w:oddVBand="0" w:evenVBand="0" w:oddHBand="0" w:evenHBand="0" w:firstRowFirstColumn="0" w:firstRowLastColumn="0" w:lastRowFirstColumn="0" w:lastRowLastColumn="0"/>
            </w:pPr>
            <w:r w:rsidRPr="00241006">
              <w:t>Przewozy osobowe na odcinku Szymany - Szczytno, przewozy towarowe zawieszone na całej długości, na odcinku gr. woj. - Szymany linia nieeksploatowana</w:t>
            </w:r>
          </w:p>
        </w:tc>
      </w:tr>
      <w:tr w:rsidR="0004527E" w:rsidRPr="00176303" w14:paraId="22BD6827" w14:textId="77777777" w:rsidTr="000570F1">
        <w:tc>
          <w:tcPr>
            <w:cnfStyle w:val="001000000000" w:firstRow="0" w:lastRow="0" w:firstColumn="1" w:lastColumn="0" w:oddVBand="0" w:evenVBand="0" w:oddHBand="0" w:evenHBand="0" w:firstRowFirstColumn="0" w:firstRowLastColumn="0" w:lastRowFirstColumn="0" w:lastRowLastColumn="0"/>
            <w:tcW w:w="631" w:type="dxa"/>
          </w:tcPr>
          <w:p w14:paraId="58FF81C1" w14:textId="77777777" w:rsidR="0004527E" w:rsidRPr="00241006" w:rsidRDefault="0004527E" w:rsidP="00E74850">
            <w:pPr>
              <w:pStyle w:val="elementgraficznytabela"/>
              <w:spacing w:after="240" w:line="259" w:lineRule="auto"/>
              <w:contextualSpacing/>
            </w:pPr>
            <w:r w:rsidRPr="00241006">
              <w:t>208</w:t>
            </w:r>
          </w:p>
        </w:tc>
        <w:tc>
          <w:tcPr>
            <w:tcW w:w="1632" w:type="dxa"/>
          </w:tcPr>
          <w:p w14:paraId="5D21A101" w14:textId="77777777" w:rsidR="0004527E" w:rsidRPr="00241006" w:rsidRDefault="0004527E" w:rsidP="00E74850">
            <w:pPr>
              <w:pStyle w:val="elementgraficznytabela"/>
              <w:spacing w:after="240" w:line="259" w:lineRule="auto"/>
              <w:contextualSpacing/>
              <w:cnfStyle w:val="000000000000" w:firstRow="0" w:lastRow="0" w:firstColumn="0" w:lastColumn="0" w:oddVBand="0" w:evenVBand="0" w:oddHBand="0" w:evenHBand="0" w:firstRowFirstColumn="0" w:firstRowLastColumn="0" w:lastRowFirstColumn="0" w:lastRowLastColumn="0"/>
            </w:pPr>
            <w:r w:rsidRPr="00241006">
              <w:t>Działdowo - Chojnice</w:t>
            </w:r>
          </w:p>
        </w:tc>
        <w:tc>
          <w:tcPr>
            <w:tcW w:w="1276" w:type="dxa"/>
          </w:tcPr>
          <w:p w14:paraId="6E2A7FAC" w14:textId="77777777" w:rsidR="0004527E" w:rsidRPr="00241006" w:rsidRDefault="0004527E" w:rsidP="00E74850">
            <w:pPr>
              <w:pStyle w:val="elementgraficznytabela"/>
              <w:spacing w:after="240" w:line="259" w:lineRule="auto"/>
              <w:contextualSpacing/>
              <w:cnfStyle w:val="000000000000" w:firstRow="0" w:lastRow="0" w:firstColumn="0" w:lastColumn="0" w:oddVBand="0" w:evenVBand="0" w:oddHBand="0" w:evenHBand="0" w:firstRowFirstColumn="0" w:firstRowLastColumn="0" w:lastRowFirstColumn="0" w:lastRowLastColumn="0"/>
            </w:pPr>
            <w:r w:rsidRPr="00241006">
              <w:t>regionalna</w:t>
            </w:r>
          </w:p>
        </w:tc>
        <w:tc>
          <w:tcPr>
            <w:tcW w:w="1843" w:type="dxa"/>
          </w:tcPr>
          <w:p w14:paraId="6F70E14B" w14:textId="77777777" w:rsidR="0004527E" w:rsidRPr="00241006" w:rsidRDefault="0004527E" w:rsidP="00E74850">
            <w:pPr>
              <w:pStyle w:val="elementgraficznytabela"/>
              <w:spacing w:after="240" w:line="259" w:lineRule="auto"/>
              <w:contextualSpacing/>
              <w:cnfStyle w:val="000000000000" w:firstRow="0" w:lastRow="0" w:firstColumn="0" w:lastColumn="0" w:oddVBand="0" w:evenVBand="0" w:oddHBand="0" w:evenHBand="0" w:firstRowFirstColumn="0" w:firstRowLastColumn="0" w:lastRowFirstColumn="0" w:lastRowLastColumn="0"/>
            </w:pPr>
            <w:r w:rsidRPr="00241006">
              <w:t>pierwszorzędna</w:t>
            </w:r>
          </w:p>
        </w:tc>
        <w:tc>
          <w:tcPr>
            <w:tcW w:w="3669" w:type="dxa"/>
          </w:tcPr>
          <w:p w14:paraId="587FE52B" w14:textId="77777777" w:rsidR="0004527E" w:rsidRPr="00241006" w:rsidRDefault="0004527E" w:rsidP="00E74850">
            <w:pPr>
              <w:pStyle w:val="elementgraficznytabela"/>
              <w:spacing w:after="240" w:line="259" w:lineRule="auto"/>
              <w:contextualSpacing/>
              <w:cnfStyle w:val="000000000000" w:firstRow="0" w:lastRow="0" w:firstColumn="0" w:lastColumn="0" w:oddVBand="0" w:evenVBand="0" w:oddHBand="0" w:evenHBand="0" w:firstRowFirstColumn="0" w:firstRowLastColumn="0" w:lastRowFirstColumn="0" w:lastRowLastColumn="0"/>
            </w:pPr>
            <w:r w:rsidRPr="00241006">
              <w:t>Niezelektryfikowana, 1 tor.</w:t>
            </w:r>
          </w:p>
          <w:p w14:paraId="12E97F18" w14:textId="7A3287F7" w:rsidR="0004527E" w:rsidRPr="00241006" w:rsidRDefault="0004527E" w:rsidP="00E74850">
            <w:pPr>
              <w:pStyle w:val="elementgraficznytabela"/>
              <w:spacing w:after="240" w:line="259" w:lineRule="auto"/>
              <w:contextualSpacing/>
              <w:cnfStyle w:val="000000000000" w:firstRow="0" w:lastRow="0" w:firstColumn="0" w:lastColumn="0" w:oddVBand="0" w:evenVBand="0" w:oddHBand="0" w:evenHBand="0" w:firstRowFirstColumn="0" w:firstRowLastColumn="0" w:lastRowFirstColumn="0" w:lastRowLastColumn="0"/>
            </w:pPr>
            <w:r w:rsidRPr="00241006">
              <w:t>Linia wyłączona z eksploatacji (tylko komercyjne przewozy towarowe)</w:t>
            </w:r>
          </w:p>
        </w:tc>
      </w:tr>
      <w:tr w:rsidR="0004527E" w:rsidRPr="00176303" w14:paraId="614581DF" w14:textId="77777777" w:rsidTr="000570F1">
        <w:tc>
          <w:tcPr>
            <w:cnfStyle w:val="001000000000" w:firstRow="0" w:lastRow="0" w:firstColumn="1" w:lastColumn="0" w:oddVBand="0" w:evenVBand="0" w:oddHBand="0" w:evenHBand="0" w:firstRowFirstColumn="0" w:firstRowLastColumn="0" w:lastRowFirstColumn="0" w:lastRowLastColumn="0"/>
            <w:tcW w:w="631" w:type="dxa"/>
          </w:tcPr>
          <w:p w14:paraId="57516EFE" w14:textId="77777777" w:rsidR="0004527E" w:rsidRPr="00241006" w:rsidRDefault="0004527E" w:rsidP="00E74850">
            <w:pPr>
              <w:pStyle w:val="elementgraficznytabela"/>
              <w:spacing w:after="240" w:line="259" w:lineRule="auto"/>
              <w:contextualSpacing/>
            </w:pPr>
            <w:r w:rsidRPr="00241006">
              <w:t>216</w:t>
            </w:r>
          </w:p>
        </w:tc>
        <w:tc>
          <w:tcPr>
            <w:tcW w:w="1632" w:type="dxa"/>
          </w:tcPr>
          <w:p w14:paraId="6A1BE368" w14:textId="77777777" w:rsidR="0004527E" w:rsidRPr="00241006" w:rsidRDefault="0004527E" w:rsidP="00E74850">
            <w:pPr>
              <w:pStyle w:val="elementgraficznytabela"/>
              <w:spacing w:after="240" w:line="259" w:lineRule="auto"/>
              <w:contextualSpacing/>
              <w:cnfStyle w:val="000000000000" w:firstRow="0" w:lastRow="0" w:firstColumn="0" w:lastColumn="0" w:oddVBand="0" w:evenVBand="0" w:oddHBand="0" w:evenHBand="0" w:firstRowFirstColumn="0" w:firstRowLastColumn="0" w:lastRowFirstColumn="0" w:lastRowLastColumn="0"/>
            </w:pPr>
            <w:r w:rsidRPr="00241006">
              <w:t>Działdowo - Olsztyn Główny</w:t>
            </w:r>
          </w:p>
        </w:tc>
        <w:tc>
          <w:tcPr>
            <w:tcW w:w="1276" w:type="dxa"/>
          </w:tcPr>
          <w:p w14:paraId="4AF00484" w14:textId="77777777" w:rsidR="0004527E" w:rsidRPr="00241006" w:rsidRDefault="0004527E" w:rsidP="00E74850">
            <w:pPr>
              <w:pStyle w:val="elementgraficznytabela"/>
              <w:spacing w:after="240" w:line="259" w:lineRule="auto"/>
              <w:contextualSpacing/>
              <w:cnfStyle w:val="000000000000" w:firstRow="0" w:lastRow="0" w:firstColumn="0" w:lastColumn="0" w:oddVBand="0" w:evenVBand="0" w:oddHBand="0" w:evenHBand="0" w:firstRowFirstColumn="0" w:firstRowLastColumn="0" w:lastRowFirstColumn="0" w:lastRowLastColumn="0"/>
            </w:pPr>
            <w:r w:rsidRPr="00241006">
              <w:t>państwowa</w:t>
            </w:r>
          </w:p>
        </w:tc>
        <w:tc>
          <w:tcPr>
            <w:tcW w:w="1843" w:type="dxa"/>
          </w:tcPr>
          <w:p w14:paraId="74EA1FD4" w14:textId="77777777" w:rsidR="0004527E" w:rsidRPr="00241006" w:rsidRDefault="0004527E" w:rsidP="00E74850">
            <w:pPr>
              <w:pStyle w:val="elementgraficznytabela"/>
              <w:spacing w:after="240" w:line="259" w:lineRule="auto"/>
              <w:contextualSpacing/>
              <w:cnfStyle w:val="000000000000" w:firstRow="0" w:lastRow="0" w:firstColumn="0" w:lastColumn="0" w:oddVBand="0" w:evenVBand="0" w:oddHBand="0" w:evenHBand="0" w:firstRowFirstColumn="0" w:firstRowLastColumn="0" w:lastRowFirstColumn="0" w:lastRowLastColumn="0"/>
            </w:pPr>
            <w:r w:rsidRPr="00241006">
              <w:t>pierwszorzędna</w:t>
            </w:r>
          </w:p>
        </w:tc>
        <w:tc>
          <w:tcPr>
            <w:tcW w:w="3669" w:type="dxa"/>
          </w:tcPr>
          <w:p w14:paraId="54D40D16" w14:textId="77777777" w:rsidR="0004527E" w:rsidRPr="00241006" w:rsidRDefault="0004527E" w:rsidP="00E74850">
            <w:pPr>
              <w:pStyle w:val="elementgraficznytabela"/>
              <w:spacing w:after="240" w:line="259" w:lineRule="auto"/>
              <w:contextualSpacing/>
              <w:cnfStyle w:val="000000000000" w:firstRow="0" w:lastRow="0" w:firstColumn="0" w:lastColumn="0" w:oddVBand="0" w:evenVBand="0" w:oddHBand="0" w:evenHBand="0" w:firstRowFirstColumn="0" w:firstRowLastColumn="0" w:lastRowFirstColumn="0" w:lastRowLastColumn="0"/>
            </w:pPr>
            <w:r w:rsidRPr="00241006">
              <w:t>Zelektryfikowana, 1 tor.</w:t>
            </w:r>
          </w:p>
          <w:p w14:paraId="34093BBD" w14:textId="23931604" w:rsidR="0004527E" w:rsidRPr="00241006" w:rsidRDefault="0004527E" w:rsidP="00E74850">
            <w:pPr>
              <w:pStyle w:val="elementgraficznytabela"/>
              <w:spacing w:after="240" w:line="259" w:lineRule="auto"/>
              <w:contextualSpacing/>
              <w:cnfStyle w:val="000000000000" w:firstRow="0" w:lastRow="0" w:firstColumn="0" w:lastColumn="0" w:oddVBand="0" w:evenVBand="0" w:oddHBand="0" w:evenHBand="0" w:firstRowFirstColumn="0" w:firstRowLastColumn="0" w:lastRowFirstColumn="0" w:lastRowLastColumn="0"/>
            </w:pPr>
            <w:r w:rsidRPr="00241006">
              <w:t>Przewozy osobowe i towarowe</w:t>
            </w:r>
          </w:p>
        </w:tc>
      </w:tr>
      <w:tr w:rsidR="0004527E" w:rsidRPr="00241006" w14:paraId="5FC1F66A" w14:textId="77777777" w:rsidTr="000570F1">
        <w:tc>
          <w:tcPr>
            <w:cnfStyle w:val="001000000000" w:firstRow="0" w:lastRow="0" w:firstColumn="1" w:lastColumn="0" w:oddVBand="0" w:evenVBand="0" w:oddHBand="0" w:evenHBand="0" w:firstRowFirstColumn="0" w:firstRowLastColumn="0" w:lastRowFirstColumn="0" w:lastRowLastColumn="0"/>
            <w:tcW w:w="631" w:type="dxa"/>
          </w:tcPr>
          <w:p w14:paraId="42943B67" w14:textId="77777777" w:rsidR="0004527E" w:rsidRPr="00241006" w:rsidRDefault="0004527E" w:rsidP="00E74850">
            <w:pPr>
              <w:pStyle w:val="elementgraficznytabela"/>
              <w:spacing w:after="240" w:line="259" w:lineRule="auto"/>
              <w:contextualSpacing/>
            </w:pPr>
            <w:r w:rsidRPr="00241006">
              <w:t>223</w:t>
            </w:r>
          </w:p>
        </w:tc>
        <w:tc>
          <w:tcPr>
            <w:tcW w:w="1632" w:type="dxa"/>
          </w:tcPr>
          <w:p w14:paraId="4BB7ADC4" w14:textId="77777777" w:rsidR="0004527E" w:rsidRPr="00241006" w:rsidRDefault="0004527E" w:rsidP="00E74850">
            <w:pPr>
              <w:pStyle w:val="elementgraficznytabela"/>
              <w:spacing w:after="240" w:line="259" w:lineRule="auto"/>
              <w:contextualSpacing/>
              <w:cnfStyle w:val="000000000000" w:firstRow="0" w:lastRow="0" w:firstColumn="0" w:lastColumn="0" w:oddVBand="0" w:evenVBand="0" w:oddHBand="0" w:evenHBand="0" w:firstRowFirstColumn="0" w:firstRowLastColumn="0" w:lastRowFirstColumn="0" w:lastRowLastColumn="0"/>
            </w:pPr>
            <w:r w:rsidRPr="00241006">
              <w:t>Czerwonka - Ełk</w:t>
            </w:r>
          </w:p>
        </w:tc>
        <w:tc>
          <w:tcPr>
            <w:tcW w:w="1276" w:type="dxa"/>
          </w:tcPr>
          <w:p w14:paraId="60921FC1" w14:textId="77777777" w:rsidR="0004527E" w:rsidRPr="00241006" w:rsidRDefault="0004527E" w:rsidP="00E74850">
            <w:pPr>
              <w:pStyle w:val="elementgraficznytabela"/>
              <w:spacing w:after="240" w:line="259" w:lineRule="auto"/>
              <w:contextualSpacing/>
              <w:cnfStyle w:val="000000000000" w:firstRow="0" w:lastRow="0" w:firstColumn="0" w:lastColumn="0" w:oddVBand="0" w:evenVBand="0" w:oddHBand="0" w:evenHBand="0" w:firstRowFirstColumn="0" w:firstRowLastColumn="0" w:lastRowFirstColumn="0" w:lastRowLastColumn="0"/>
            </w:pPr>
            <w:r w:rsidRPr="00241006">
              <w:t>państwowa (Orzysz - Ełk); regionalna (Czerwonka - Orzysz)</w:t>
            </w:r>
          </w:p>
        </w:tc>
        <w:tc>
          <w:tcPr>
            <w:tcW w:w="1843" w:type="dxa"/>
          </w:tcPr>
          <w:p w14:paraId="60D90A00" w14:textId="77777777" w:rsidR="0004527E" w:rsidRPr="00241006" w:rsidRDefault="0004527E" w:rsidP="00E74850">
            <w:pPr>
              <w:pStyle w:val="elementgraficznytabela"/>
              <w:spacing w:after="240" w:line="259" w:lineRule="auto"/>
              <w:contextualSpacing/>
              <w:cnfStyle w:val="000000000000" w:firstRow="0" w:lastRow="0" w:firstColumn="0" w:lastColumn="0" w:oddVBand="0" w:evenVBand="0" w:oddHBand="0" w:evenHBand="0" w:firstRowFirstColumn="0" w:firstRowLastColumn="0" w:lastRowFirstColumn="0" w:lastRowLastColumn="0"/>
            </w:pPr>
            <w:r w:rsidRPr="00241006">
              <w:t>drugorzędna</w:t>
            </w:r>
          </w:p>
        </w:tc>
        <w:tc>
          <w:tcPr>
            <w:tcW w:w="3669" w:type="dxa"/>
          </w:tcPr>
          <w:p w14:paraId="01618882" w14:textId="77777777" w:rsidR="0004527E" w:rsidRPr="00241006" w:rsidRDefault="0004527E" w:rsidP="00E74850">
            <w:pPr>
              <w:pStyle w:val="elementgraficznytabela"/>
              <w:spacing w:after="240" w:line="259" w:lineRule="auto"/>
              <w:contextualSpacing/>
              <w:cnfStyle w:val="000000000000" w:firstRow="0" w:lastRow="0" w:firstColumn="0" w:lastColumn="0" w:oddVBand="0" w:evenVBand="0" w:oddHBand="0" w:evenHBand="0" w:firstRowFirstColumn="0" w:firstRowLastColumn="0" w:lastRowFirstColumn="0" w:lastRowLastColumn="0"/>
            </w:pPr>
            <w:r w:rsidRPr="00241006">
              <w:t>Niezelektryfikowana, 1 tor.</w:t>
            </w:r>
          </w:p>
          <w:p w14:paraId="15BE82ED" w14:textId="77777777" w:rsidR="0004527E" w:rsidRPr="00241006" w:rsidRDefault="0004527E" w:rsidP="00E74850">
            <w:pPr>
              <w:pStyle w:val="elementgraficznytabela"/>
              <w:spacing w:after="240" w:line="259" w:lineRule="auto"/>
              <w:contextualSpacing/>
              <w:cnfStyle w:val="000000000000" w:firstRow="0" w:lastRow="0" w:firstColumn="0" w:lastColumn="0" w:oddVBand="0" w:evenVBand="0" w:oddHBand="0" w:evenHBand="0" w:firstRowFirstColumn="0" w:firstRowLastColumn="0" w:lastRowFirstColumn="0" w:lastRowLastColumn="0"/>
            </w:pPr>
            <w:r w:rsidRPr="00241006">
              <w:t>Przewozy towarowe na odcinku Orzysz - Ełk, przewozy osobowe</w:t>
            </w:r>
          </w:p>
          <w:p w14:paraId="48B16B35" w14:textId="77777777" w:rsidR="0004527E" w:rsidRPr="00241006" w:rsidRDefault="0004527E" w:rsidP="00E74850">
            <w:pPr>
              <w:pStyle w:val="elementgraficznytabela"/>
              <w:spacing w:after="240" w:line="259" w:lineRule="auto"/>
              <w:contextualSpacing/>
              <w:cnfStyle w:val="000000000000" w:firstRow="0" w:lastRow="0" w:firstColumn="0" w:lastColumn="0" w:oddVBand="0" w:evenVBand="0" w:oddHBand="0" w:evenHBand="0" w:firstRowFirstColumn="0" w:firstRowLastColumn="0" w:lastRowFirstColumn="0" w:lastRowLastColumn="0"/>
            </w:pPr>
            <w:r w:rsidRPr="00241006">
              <w:t>zawieszone na całej długości, linia wyłączona z eksploatacji na odcinku</w:t>
            </w:r>
          </w:p>
          <w:p w14:paraId="596A9C91" w14:textId="77777777" w:rsidR="0004527E" w:rsidRPr="00241006" w:rsidRDefault="0004527E" w:rsidP="00E74850">
            <w:pPr>
              <w:pStyle w:val="elementgraficznytabela"/>
              <w:spacing w:after="240" w:line="259" w:lineRule="auto"/>
              <w:contextualSpacing/>
              <w:cnfStyle w:val="000000000000" w:firstRow="0" w:lastRow="0" w:firstColumn="0" w:lastColumn="0" w:oddVBand="0" w:evenVBand="0" w:oddHBand="0" w:evenHBand="0" w:firstRowFirstColumn="0" w:firstRowLastColumn="0" w:lastRowFirstColumn="0" w:lastRowLastColumn="0"/>
            </w:pPr>
            <w:r w:rsidRPr="00241006">
              <w:t>Czerwonka - Orzysz (na odcinku Czerwonka - Mrągowo przewozy</w:t>
            </w:r>
          </w:p>
          <w:p w14:paraId="696B9863" w14:textId="7FDF7552" w:rsidR="0004527E" w:rsidRPr="00241006" w:rsidRDefault="0004527E" w:rsidP="00E74850">
            <w:pPr>
              <w:pStyle w:val="elementgraficznytabela"/>
              <w:spacing w:after="240" w:line="259" w:lineRule="auto"/>
              <w:contextualSpacing/>
              <w:cnfStyle w:val="000000000000" w:firstRow="0" w:lastRow="0" w:firstColumn="0" w:lastColumn="0" w:oddVBand="0" w:evenVBand="0" w:oddHBand="0" w:evenHBand="0" w:firstRowFirstColumn="0" w:firstRowLastColumn="0" w:lastRowFirstColumn="0" w:lastRowLastColumn="0"/>
            </w:pPr>
            <w:r w:rsidRPr="00241006">
              <w:t>towarowe komercyjne)</w:t>
            </w:r>
          </w:p>
        </w:tc>
      </w:tr>
      <w:tr w:rsidR="0004527E" w:rsidRPr="00176303" w14:paraId="6092C7B3" w14:textId="77777777" w:rsidTr="000570F1">
        <w:tc>
          <w:tcPr>
            <w:cnfStyle w:val="001000000000" w:firstRow="0" w:lastRow="0" w:firstColumn="1" w:lastColumn="0" w:oddVBand="0" w:evenVBand="0" w:oddHBand="0" w:evenHBand="0" w:firstRowFirstColumn="0" w:firstRowLastColumn="0" w:lastRowFirstColumn="0" w:lastRowLastColumn="0"/>
            <w:tcW w:w="631" w:type="dxa"/>
          </w:tcPr>
          <w:p w14:paraId="2F17224A" w14:textId="77777777" w:rsidR="0004527E" w:rsidRPr="00241006" w:rsidRDefault="0004527E" w:rsidP="00E74850">
            <w:pPr>
              <w:pStyle w:val="elementgraficznytabela"/>
              <w:spacing w:after="240" w:line="259" w:lineRule="auto"/>
              <w:contextualSpacing/>
            </w:pPr>
            <w:r w:rsidRPr="00241006">
              <w:t>225</w:t>
            </w:r>
          </w:p>
        </w:tc>
        <w:tc>
          <w:tcPr>
            <w:tcW w:w="1632" w:type="dxa"/>
          </w:tcPr>
          <w:p w14:paraId="258B4C4C" w14:textId="77777777" w:rsidR="0004527E" w:rsidRPr="00241006" w:rsidRDefault="0004527E" w:rsidP="00E74850">
            <w:pPr>
              <w:pStyle w:val="elementgraficznytabela"/>
              <w:spacing w:after="240" w:line="259" w:lineRule="auto"/>
              <w:contextualSpacing/>
              <w:cnfStyle w:val="000000000000" w:firstRow="0" w:lastRow="0" w:firstColumn="0" w:lastColumn="0" w:oddVBand="0" w:evenVBand="0" w:oddHBand="0" w:evenHBand="0" w:firstRowFirstColumn="0" w:firstRowLastColumn="0" w:lastRowFirstColumn="0" w:lastRowLastColumn="0"/>
            </w:pPr>
            <w:r w:rsidRPr="00241006">
              <w:t>Nidzica - Wielbark</w:t>
            </w:r>
          </w:p>
        </w:tc>
        <w:tc>
          <w:tcPr>
            <w:tcW w:w="1276" w:type="dxa"/>
          </w:tcPr>
          <w:p w14:paraId="6BFACA29" w14:textId="77777777" w:rsidR="0004527E" w:rsidRPr="00241006" w:rsidRDefault="0004527E" w:rsidP="00E74850">
            <w:pPr>
              <w:pStyle w:val="elementgraficznytabela"/>
              <w:spacing w:after="240" w:line="259" w:lineRule="auto"/>
              <w:contextualSpacing/>
              <w:cnfStyle w:val="000000000000" w:firstRow="0" w:lastRow="0" w:firstColumn="0" w:lastColumn="0" w:oddVBand="0" w:evenVBand="0" w:oddHBand="0" w:evenHBand="0" w:firstRowFirstColumn="0" w:firstRowLastColumn="0" w:lastRowFirstColumn="0" w:lastRowLastColumn="0"/>
            </w:pPr>
            <w:r w:rsidRPr="00241006">
              <w:t>regionalna</w:t>
            </w:r>
          </w:p>
        </w:tc>
        <w:tc>
          <w:tcPr>
            <w:tcW w:w="1843" w:type="dxa"/>
          </w:tcPr>
          <w:p w14:paraId="0F2A7CD6" w14:textId="77777777" w:rsidR="0004527E" w:rsidRPr="00241006" w:rsidRDefault="0004527E" w:rsidP="00E74850">
            <w:pPr>
              <w:pStyle w:val="elementgraficznytabela"/>
              <w:spacing w:after="240" w:line="259" w:lineRule="auto"/>
              <w:contextualSpacing/>
              <w:cnfStyle w:val="000000000000" w:firstRow="0" w:lastRow="0" w:firstColumn="0" w:lastColumn="0" w:oddVBand="0" w:evenVBand="0" w:oddHBand="0" w:evenHBand="0" w:firstRowFirstColumn="0" w:firstRowLastColumn="0" w:lastRowFirstColumn="0" w:lastRowLastColumn="0"/>
            </w:pPr>
            <w:r w:rsidRPr="00241006">
              <w:t>pierwszorzędna</w:t>
            </w:r>
          </w:p>
        </w:tc>
        <w:tc>
          <w:tcPr>
            <w:tcW w:w="3669" w:type="dxa"/>
          </w:tcPr>
          <w:p w14:paraId="6C03CD9E" w14:textId="77777777" w:rsidR="0004527E" w:rsidRPr="00241006" w:rsidRDefault="0004527E" w:rsidP="00E74850">
            <w:pPr>
              <w:pStyle w:val="elementgraficznytabela"/>
              <w:spacing w:after="240" w:line="259" w:lineRule="auto"/>
              <w:contextualSpacing/>
              <w:cnfStyle w:val="000000000000" w:firstRow="0" w:lastRow="0" w:firstColumn="0" w:lastColumn="0" w:oddVBand="0" w:evenVBand="0" w:oddHBand="0" w:evenHBand="0" w:firstRowFirstColumn="0" w:firstRowLastColumn="0" w:lastRowFirstColumn="0" w:lastRowLastColumn="0"/>
            </w:pPr>
            <w:r w:rsidRPr="00241006">
              <w:t>Niezelektryfikowana, 1 tor.</w:t>
            </w:r>
          </w:p>
          <w:p w14:paraId="79DE4F3D" w14:textId="47275B36" w:rsidR="0004527E" w:rsidRPr="00241006" w:rsidRDefault="0004527E" w:rsidP="00E74850">
            <w:pPr>
              <w:pStyle w:val="elementgraficznytabela"/>
              <w:spacing w:after="240" w:line="259" w:lineRule="auto"/>
              <w:contextualSpacing/>
              <w:cnfStyle w:val="000000000000" w:firstRow="0" w:lastRow="0" w:firstColumn="0" w:lastColumn="0" w:oddVBand="0" w:evenVBand="0" w:oddHBand="0" w:evenHBand="0" w:firstRowFirstColumn="0" w:firstRowLastColumn="0" w:lastRowFirstColumn="0" w:lastRowLastColumn="0"/>
            </w:pPr>
            <w:r w:rsidRPr="00241006">
              <w:t>Linia wyłączona z eksploatacji</w:t>
            </w:r>
          </w:p>
        </w:tc>
      </w:tr>
    </w:tbl>
    <w:p w14:paraId="7A3271F7" w14:textId="4BE31210" w:rsidR="0004527E" w:rsidRPr="00733091" w:rsidRDefault="0004527E" w:rsidP="00733091">
      <w:pPr>
        <w:pStyle w:val="podpiselementu"/>
        <w:spacing w:after="240"/>
        <w:rPr>
          <w:lang w:val="pl-PL"/>
        </w:rPr>
      </w:pPr>
      <w:r w:rsidRPr="00733091">
        <w:rPr>
          <w:lang w:val="pl-PL"/>
        </w:rPr>
        <w:t>Źródło: Plan Zagospodarowania Przestrzennego Województwa Warmińsko-Mazurskiego. 2018. Warmińsko-Mazurskie Biuro Planowania Przestrzennego, Olsztyn.</w:t>
      </w:r>
    </w:p>
    <w:p w14:paraId="46C1813B" w14:textId="3F2EC659" w:rsidR="005E129B" w:rsidRPr="00733091" w:rsidRDefault="005E129B" w:rsidP="002E24A9">
      <w:pPr>
        <w:pStyle w:val="Legenda"/>
        <w:rPr>
          <w:lang w:val="pl-PL"/>
        </w:rPr>
      </w:pPr>
      <w:bookmarkStart w:id="160" w:name="_Toc69596619"/>
      <w:r w:rsidRPr="00733091">
        <w:rPr>
          <w:lang w:val="pl-PL"/>
        </w:rPr>
        <w:lastRenderedPageBreak/>
        <w:t xml:space="preserve">Mapa </w:t>
      </w:r>
      <w:r w:rsidR="00733091">
        <w:fldChar w:fldCharType="begin"/>
      </w:r>
      <w:r w:rsidR="00733091" w:rsidRPr="00733091">
        <w:rPr>
          <w:lang w:val="pl-PL"/>
        </w:rPr>
        <w:instrText xml:space="preserve"> SEQ Mapa \* ARABIC </w:instrText>
      </w:r>
      <w:r w:rsidR="00733091">
        <w:fldChar w:fldCharType="separate"/>
      </w:r>
      <w:r w:rsidR="00B14787">
        <w:rPr>
          <w:noProof/>
          <w:lang w:val="pl-PL"/>
        </w:rPr>
        <w:t>19</w:t>
      </w:r>
      <w:r w:rsidR="00733091">
        <w:rPr>
          <w:noProof/>
        </w:rPr>
        <w:fldChar w:fldCharType="end"/>
      </w:r>
      <w:r w:rsidRPr="00733091">
        <w:rPr>
          <w:lang w:val="pl-PL"/>
        </w:rPr>
        <w:t xml:space="preserve">: Powiązania międzymiastowe komunikacją publiczną w województwie warmińsko-mazurskim </w:t>
      </w:r>
      <w:r w:rsidR="002B3D05">
        <w:rPr>
          <w:lang w:val="pl-PL"/>
        </w:rPr>
        <w:br/>
      </w:r>
      <w:r w:rsidRPr="00733091">
        <w:rPr>
          <w:lang w:val="pl-PL"/>
        </w:rPr>
        <w:t>w 2019 r.</w:t>
      </w:r>
      <w:bookmarkEnd w:id="160"/>
    </w:p>
    <w:p w14:paraId="67FD8553" w14:textId="77777777" w:rsidR="0004527E" w:rsidRPr="0004527E" w:rsidRDefault="0004527E" w:rsidP="00733091">
      <w:pPr>
        <w:pStyle w:val="podpiselementu"/>
        <w:spacing w:after="240"/>
      </w:pPr>
      <w:r w:rsidRPr="0004527E">
        <w:rPr>
          <w:noProof/>
        </w:rPr>
        <w:drawing>
          <wp:inline distT="0" distB="0" distL="0" distR="0" wp14:anchorId="69721873" wp14:editId="409C62EA">
            <wp:extent cx="5052060" cy="4655820"/>
            <wp:effectExtent l="19050" t="19050" r="15240" b="11430"/>
            <wp:docPr id="85" name="Obraz 85" descr="mapa województwa warmińsko-mazurskiego pokazująca siłę powiązań komunikacyjnych w 2019 r. od słabych (zaznaczoną najcieńszą linią, przez średnie i silne aż do bardzo silnych zaznaczonych linią najgrubsz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Obraz 85" descr="mapa województwa warmińsko-mazurskiego pokazująca siłę powiązań komunikacyjnych w 2019 r. od słabych (zaznaczoną najcieńszą linią, przez średnie i silne aż do bardzo silnych zaznaczonych linią najgrubszą"/>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052060" cy="4655820"/>
                    </a:xfrm>
                    <a:prstGeom prst="rect">
                      <a:avLst/>
                    </a:prstGeom>
                    <a:noFill/>
                    <a:ln>
                      <a:solidFill>
                        <a:schemeClr val="tx2"/>
                      </a:solidFill>
                    </a:ln>
                  </pic:spPr>
                </pic:pic>
              </a:graphicData>
            </a:graphic>
          </wp:inline>
        </w:drawing>
      </w:r>
    </w:p>
    <w:p w14:paraId="43D8E31B" w14:textId="2172019A" w:rsidR="007477A4" w:rsidRDefault="0004527E" w:rsidP="002F4191">
      <w:pPr>
        <w:pStyle w:val="podpiselementu"/>
        <w:spacing w:after="240"/>
        <w:rPr>
          <w:lang w:val="pl-PL"/>
        </w:rPr>
      </w:pPr>
      <w:r w:rsidRPr="00733091">
        <w:rPr>
          <w:lang w:val="pl-PL"/>
        </w:rPr>
        <w:t>Źródło: „Analiza relacji funkcjonalno-przestrzennych między ośrodkami miejskimi i ich otoczeniem”, Raport cząstkowy, komponent 3 – Relacje przestrzenne i dostępność komunikacyjna, PAN i Uniwersytet Jagielloński w Krakowie, Kraków, 2019</w:t>
      </w:r>
    </w:p>
    <w:p w14:paraId="42DE8E3B" w14:textId="77777777" w:rsidR="00A33A7C" w:rsidRDefault="00A33A7C" w:rsidP="00733091">
      <w:pPr>
        <w:rPr>
          <w:lang w:val="pl-PL"/>
        </w:rPr>
      </w:pPr>
    </w:p>
    <w:p w14:paraId="6CD7A8C0" w14:textId="5D1EFB59" w:rsidR="0004527E" w:rsidRPr="00733091" w:rsidRDefault="0004527E" w:rsidP="00733091">
      <w:pPr>
        <w:rPr>
          <w:lang w:val="pl-PL"/>
        </w:rPr>
      </w:pPr>
      <w:r w:rsidRPr="00733091">
        <w:rPr>
          <w:lang w:val="pl-PL"/>
        </w:rPr>
        <w:t xml:space="preserve">Dostępność </w:t>
      </w:r>
      <w:r w:rsidRPr="00733091">
        <w:rPr>
          <w:rFonts w:cstheme="minorHAnsi"/>
          <w:lang w:val="pl-PL"/>
        </w:rPr>
        <w:t>komunikacyjna w systemie zbiorowego transportu publicznego</w:t>
      </w:r>
      <w:r w:rsidRPr="00733091">
        <w:rPr>
          <w:lang w:val="pl-PL"/>
        </w:rPr>
        <w:t xml:space="preserve"> miast powiatowych dla okolicznych miejscowości (mierzona liczbą połączeń bezpośrednich ze stolicą powiatu) jest zróżnicowana na obszarze Partnerstwa. Na terenie Południowych Mazurach istnieją zarówno ośrodki dobrze skomunikowane z powiatem, jak i takie, które nie mają żadnych bezpośrednich połączeń komunikacją publiczną z miastami powiatowymi. Wysoki odsetek miejscowości </w:t>
      </w:r>
      <w:r w:rsidR="00E74850">
        <w:rPr>
          <w:lang w:val="pl-PL"/>
        </w:rPr>
        <w:br/>
      </w:r>
      <w:r w:rsidRPr="00733091">
        <w:rPr>
          <w:lang w:val="pl-PL"/>
        </w:rPr>
        <w:t xml:space="preserve">o wystarczającej liczbie kursów do miasta powiatowego cechuje znaczne części </w:t>
      </w:r>
      <w:r w:rsidRPr="00733091">
        <w:rPr>
          <w:lang w:val="pl-PL"/>
        </w:rPr>
        <w:lastRenderedPageBreak/>
        <w:t xml:space="preserve">powiatów szczycieńskiego, działdowskiego i nidzickiego, trudniejsza sytuacja </w:t>
      </w:r>
      <w:r w:rsidR="00E74850">
        <w:rPr>
          <w:lang w:val="pl-PL"/>
        </w:rPr>
        <w:br/>
      </w:r>
      <w:r w:rsidRPr="00733091">
        <w:rPr>
          <w:lang w:val="pl-PL"/>
        </w:rPr>
        <w:t>w tym zakresie charakteryzuje powiat piski</w:t>
      </w:r>
      <w:r>
        <w:rPr>
          <w:rStyle w:val="Odwoanieprzypisudolnego"/>
        </w:rPr>
        <w:footnoteReference w:id="116"/>
      </w:r>
      <w:r w:rsidRPr="00733091">
        <w:rPr>
          <w:lang w:val="pl-PL"/>
        </w:rPr>
        <w:t xml:space="preserve"> (mapa poniżej)</w:t>
      </w:r>
    </w:p>
    <w:p w14:paraId="4A97E870" w14:textId="57BD886E" w:rsidR="004B7EE0" w:rsidRPr="00733091" w:rsidRDefault="004B7EE0" w:rsidP="002E24A9">
      <w:pPr>
        <w:pStyle w:val="Legenda"/>
        <w:rPr>
          <w:rFonts w:cstheme="minorHAnsi"/>
          <w:lang w:val="pl-PL"/>
        </w:rPr>
      </w:pPr>
      <w:bookmarkStart w:id="161" w:name="_Toc69596620"/>
      <w:r w:rsidRPr="00733091">
        <w:rPr>
          <w:lang w:val="pl-PL"/>
        </w:rPr>
        <w:t xml:space="preserve">Mapa </w:t>
      </w:r>
      <w:r w:rsidR="00733091">
        <w:fldChar w:fldCharType="begin"/>
      </w:r>
      <w:r w:rsidR="00733091" w:rsidRPr="00733091">
        <w:rPr>
          <w:lang w:val="pl-PL"/>
        </w:rPr>
        <w:instrText xml:space="preserve"> SEQ Mapa \* ARABIC </w:instrText>
      </w:r>
      <w:r w:rsidR="00733091">
        <w:fldChar w:fldCharType="separate"/>
      </w:r>
      <w:r w:rsidR="00B14787">
        <w:rPr>
          <w:noProof/>
          <w:lang w:val="pl-PL"/>
        </w:rPr>
        <w:t>20</w:t>
      </w:r>
      <w:r w:rsidR="00733091">
        <w:rPr>
          <w:noProof/>
        </w:rPr>
        <w:fldChar w:fldCharType="end"/>
      </w:r>
      <w:r w:rsidRPr="00733091">
        <w:rPr>
          <w:lang w:val="pl-PL"/>
        </w:rPr>
        <w:t>: Liczba bezpośrednich połączeń komunikacją publiczną do miasta powiatowego</w:t>
      </w:r>
      <w:bookmarkEnd w:id="161"/>
    </w:p>
    <w:p w14:paraId="2871B873" w14:textId="77777777" w:rsidR="0004527E" w:rsidRPr="0004527E" w:rsidRDefault="0004527E" w:rsidP="00733091">
      <w:pPr>
        <w:pStyle w:val="podpiselementu"/>
        <w:spacing w:after="240"/>
      </w:pPr>
      <w:r w:rsidRPr="0004527E">
        <w:rPr>
          <w:noProof/>
        </w:rPr>
        <w:drawing>
          <wp:inline distT="0" distB="0" distL="0" distR="0" wp14:anchorId="606D93A8" wp14:editId="008FC63F">
            <wp:extent cx="4502749" cy="4194810"/>
            <wp:effectExtent l="19050" t="19050" r="12700" b="15240"/>
            <wp:docPr id="89" name="Obraz 89" descr="mapa województwa warmińsko-mazurskiego pokazująca liczbę połączeń bezpośrednich komunikacją publiczną do miasta powiatowego – od najmniejszej oznaczonej kolorem szarym, następnie kolorami od czerwonego do zielonego, gdzie zielony kolor oznacza największą liczbę połączeń . Miasta powiatowe zaznaczono kolorem fioletow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Obraz 89" descr="mapa województwa warmińsko-mazurskiego pokazująca liczbę połączeń bezpośrednich komunikacją publiczną do miasta powiatowego – od najmniejszej oznaczonej kolorem szarym, następnie kolorami od czerwonego do zielonego, gdzie zielony kolor oznacza największą liczbę połączeń . Miasta powiatowe zaznaczono kolorem fioletowym"/>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4512529" cy="4203921"/>
                    </a:xfrm>
                    <a:prstGeom prst="rect">
                      <a:avLst/>
                    </a:prstGeom>
                    <a:noFill/>
                    <a:ln>
                      <a:solidFill>
                        <a:schemeClr val="tx2"/>
                      </a:solidFill>
                    </a:ln>
                  </pic:spPr>
                </pic:pic>
              </a:graphicData>
            </a:graphic>
          </wp:inline>
        </w:drawing>
      </w:r>
    </w:p>
    <w:p w14:paraId="33D804D5" w14:textId="1E4E61AC" w:rsidR="00E74850" w:rsidRDefault="0004527E" w:rsidP="00151754">
      <w:pPr>
        <w:pStyle w:val="podpiselementu"/>
        <w:spacing w:after="240"/>
        <w:rPr>
          <w:lang w:val="pl-PL"/>
        </w:rPr>
      </w:pPr>
      <w:r w:rsidRPr="00733091">
        <w:rPr>
          <w:lang w:val="pl-PL"/>
        </w:rPr>
        <w:t>Źródło: „Analiza relacji funkcjonalno-przestrzennych między ośrodkami miejskimi i ich otoczeniem”, Raport cząstkowy, komponent 3 – Relacje przestrzenne i dostępność komunikacyjna, PAN i Uniwersytet Jagielloński w Krakowie, Kraków, 2019</w:t>
      </w:r>
    </w:p>
    <w:p w14:paraId="2729CDC0" w14:textId="0B82CBFB" w:rsidR="0004527E" w:rsidRDefault="0004527E" w:rsidP="00733091">
      <w:pPr>
        <w:rPr>
          <w:lang w:val="pl-PL"/>
        </w:rPr>
      </w:pPr>
      <w:r w:rsidRPr="00733091">
        <w:rPr>
          <w:lang w:val="pl-PL"/>
        </w:rPr>
        <w:t xml:space="preserve">Z uwagi na niski poziom dostępności komunikacyjnej Południowych Mazur </w:t>
      </w:r>
      <w:r w:rsidR="00E74850">
        <w:rPr>
          <w:lang w:val="pl-PL"/>
        </w:rPr>
        <w:br/>
      </w:r>
      <w:r w:rsidRPr="00733091">
        <w:rPr>
          <w:lang w:val="pl-PL"/>
        </w:rPr>
        <w:t xml:space="preserve">w systemie zbiorowego transportu publicznego przewóz osób na terenie Partnerstwa odbywa się przede wszystkim </w:t>
      </w:r>
      <w:r w:rsidRPr="00733091">
        <w:rPr>
          <w:b/>
          <w:bCs/>
          <w:lang w:val="pl-PL"/>
        </w:rPr>
        <w:t>przy wykorzystaniu prywatnych środków transportu</w:t>
      </w:r>
      <w:r>
        <w:rPr>
          <w:rStyle w:val="Odwoanieprzypisudolnego"/>
          <w:rFonts w:cstheme="minorHAnsi"/>
          <w:b/>
          <w:bCs/>
        </w:rPr>
        <w:footnoteReference w:id="117"/>
      </w:r>
      <w:r w:rsidRPr="00733091">
        <w:rPr>
          <w:lang w:val="pl-PL"/>
        </w:rPr>
        <w:t xml:space="preserve"> (od 2009 r. do 2019 r. liczba osobowych samochodów na 1000 mieszkańców wzrosła o 50,76%), co potwierdzają opinie mieszkańców Partnerstwa.</w:t>
      </w:r>
    </w:p>
    <w:p w14:paraId="46D15E36" w14:textId="038F2571" w:rsidR="002B3D05" w:rsidRDefault="002B3D05" w:rsidP="00733091">
      <w:pPr>
        <w:rPr>
          <w:lang w:val="pl-PL"/>
        </w:rPr>
      </w:pPr>
      <w:r>
        <w:rPr>
          <w:rFonts w:cstheme="minorHAnsi"/>
          <w:noProof/>
        </w:rPr>
        <w:lastRenderedPageBreak/>
        <mc:AlternateContent>
          <mc:Choice Requires="wps">
            <w:drawing>
              <wp:anchor distT="0" distB="0" distL="114300" distR="114300" simplePos="0" relativeHeight="251658263" behindDoc="0" locked="0" layoutInCell="1" allowOverlap="1" wp14:anchorId="66606AF3" wp14:editId="3C2CB295">
                <wp:simplePos x="0" y="0"/>
                <wp:positionH relativeFrom="margin">
                  <wp:align>right</wp:align>
                </wp:positionH>
                <wp:positionV relativeFrom="paragraph">
                  <wp:posOffset>5080</wp:posOffset>
                </wp:positionV>
                <wp:extent cx="5212080" cy="2019300"/>
                <wp:effectExtent l="0" t="0" r="26670" b="19050"/>
                <wp:wrapNone/>
                <wp:docPr id="70" name="Pole tekstowe 70"/>
                <wp:cNvGraphicFramePr/>
                <a:graphic xmlns:a="http://schemas.openxmlformats.org/drawingml/2006/main">
                  <a:graphicData uri="http://schemas.microsoft.com/office/word/2010/wordprocessingShape">
                    <wps:wsp>
                      <wps:cNvSpPr txBox="1"/>
                      <wps:spPr>
                        <a:xfrm>
                          <a:off x="0" y="0"/>
                          <a:ext cx="5212080" cy="2019300"/>
                        </a:xfrm>
                        <a:prstGeom prst="rect">
                          <a:avLst/>
                        </a:prstGeom>
                        <a:solidFill>
                          <a:schemeClr val="accent5">
                            <a:lumMod val="20000"/>
                            <a:lumOff val="80000"/>
                          </a:schemeClr>
                        </a:solidFill>
                        <a:ln w="6350">
                          <a:solidFill>
                            <a:schemeClr val="accent1"/>
                          </a:solidFill>
                        </a:ln>
                      </wps:spPr>
                      <wps:txbx>
                        <w:txbxContent>
                          <w:p w14:paraId="2D724E8A" w14:textId="77777777" w:rsidR="00B14787" w:rsidRPr="002B3D05" w:rsidRDefault="00B14787" w:rsidP="002B3D05">
                            <w:pPr>
                              <w:spacing w:after="100" w:afterAutospacing="1" w:line="240" w:lineRule="auto"/>
                              <w:ind w:left="142"/>
                              <w:contextualSpacing/>
                              <w:jc w:val="both"/>
                              <w:rPr>
                                <w:szCs w:val="24"/>
                                <w:lang w:val="pl-PL"/>
                              </w:rPr>
                            </w:pPr>
                            <w:r w:rsidRPr="002B3D05">
                              <w:rPr>
                                <w:b/>
                                <w:bCs/>
                                <w:szCs w:val="24"/>
                                <w:lang w:val="pl-PL"/>
                              </w:rPr>
                              <w:t>86,18%</w:t>
                            </w:r>
                            <w:r w:rsidRPr="002B3D05">
                              <w:rPr>
                                <w:szCs w:val="24"/>
                                <w:lang w:val="pl-PL"/>
                              </w:rPr>
                              <w:t xml:space="preserve"> mieszkańców Południowych Mazur biorących udział w badaniu ankietowym twierdzi, że najczęściej korzysta z prywatnych środków transportu. Ze zbiorowych środków komunikacji publicznej (autobusy, busy) – jako środka pierwszego wyboru - korzysta jedynie </w:t>
                            </w:r>
                            <w:r w:rsidRPr="002B3D05">
                              <w:rPr>
                                <w:b/>
                                <w:bCs/>
                                <w:szCs w:val="24"/>
                                <w:lang w:val="pl-PL"/>
                              </w:rPr>
                              <w:t>4,56%,</w:t>
                            </w:r>
                            <w:r w:rsidRPr="002B3D05">
                              <w:rPr>
                                <w:szCs w:val="24"/>
                                <w:lang w:val="pl-PL"/>
                              </w:rPr>
                              <w:t xml:space="preserve"> a z kolei – </w:t>
                            </w:r>
                            <w:r w:rsidRPr="002B3D05">
                              <w:rPr>
                                <w:b/>
                                <w:bCs/>
                                <w:szCs w:val="24"/>
                                <w:lang w:val="pl-PL"/>
                              </w:rPr>
                              <w:t>3,78%.</w:t>
                            </w:r>
                            <w:r w:rsidRPr="002B3D05">
                              <w:rPr>
                                <w:szCs w:val="24"/>
                                <w:lang w:val="pl-PL"/>
                              </w:rPr>
                              <w:t xml:space="preserve">  Ze wskazanych wyżej środków transportu zbiorowego nie korzysta nigdy – odpowiednio - </w:t>
                            </w:r>
                            <w:r w:rsidRPr="002B3D05">
                              <w:rPr>
                                <w:b/>
                                <w:bCs/>
                                <w:szCs w:val="24"/>
                                <w:lang w:val="pl-PL"/>
                              </w:rPr>
                              <w:t>56,06%</w:t>
                            </w:r>
                            <w:r w:rsidRPr="002B3D05">
                              <w:rPr>
                                <w:szCs w:val="24"/>
                                <w:lang w:val="pl-PL"/>
                              </w:rPr>
                              <w:t xml:space="preserve"> i </w:t>
                            </w:r>
                            <w:r w:rsidRPr="002B3D05">
                              <w:rPr>
                                <w:b/>
                                <w:bCs/>
                                <w:szCs w:val="24"/>
                                <w:lang w:val="pl-PL"/>
                              </w:rPr>
                              <w:t>60,23%</w:t>
                            </w:r>
                            <w:r w:rsidRPr="002B3D05">
                              <w:rPr>
                                <w:szCs w:val="24"/>
                                <w:lang w:val="pl-PL"/>
                              </w:rPr>
                              <w:t xml:space="preserve"> badanych.</w:t>
                            </w:r>
                          </w:p>
                          <w:p w14:paraId="153BD19D" w14:textId="2640DF1A" w:rsidR="00B14787" w:rsidRPr="002B3D05" w:rsidRDefault="00B14787" w:rsidP="002B3D05">
                            <w:pPr>
                              <w:spacing w:after="100" w:afterAutospacing="1" w:line="240" w:lineRule="auto"/>
                              <w:ind w:left="142"/>
                              <w:contextualSpacing/>
                              <w:jc w:val="both"/>
                              <w:rPr>
                                <w:szCs w:val="24"/>
                                <w:lang w:val="pl-PL"/>
                              </w:rPr>
                            </w:pPr>
                            <w:r w:rsidRPr="002B3D05">
                              <w:rPr>
                                <w:szCs w:val="24"/>
                                <w:lang w:val="pl-PL"/>
                              </w:rPr>
                              <w:t xml:space="preserve">Komunikacja i transport zbiorowy jest słabą stroną i czynnikiem zachęcającym do opuszczenia obszaru Partnerstwa dla </w:t>
                            </w:r>
                            <w:r w:rsidRPr="002B3D05">
                              <w:rPr>
                                <w:b/>
                                <w:bCs/>
                                <w:szCs w:val="24"/>
                                <w:lang w:val="pl-PL"/>
                              </w:rPr>
                              <w:t>63,89%</w:t>
                            </w:r>
                            <w:r w:rsidRPr="002B3D05">
                              <w:rPr>
                                <w:szCs w:val="24"/>
                                <w:lang w:val="pl-PL"/>
                              </w:rPr>
                              <w:t xml:space="preserve"> badanych mieszkańców </w:t>
                            </w:r>
                            <w:r>
                              <w:rPr>
                                <w:szCs w:val="24"/>
                                <w:lang w:val="pl-PL"/>
                              </w:rPr>
                              <w:br/>
                            </w:r>
                            <w:r w:rsidRPr="002B3D05">
                              <w:rPr>
                                <w:szCs w:val="24"/>
                                <w:lang w:val="pl-PL"/>
                              </w:rPr>
                              <w:t xml:space="preserve">i </w:t>
                            </w:r>
                            <w:r w:rsidRPr="002B3D05">
                              <w:rPr>
                                <w:b/>
                                <w:bCs/>
                                <w:szCs w:val="24"/>
                                <w:lang w:val="pl-PL"/>
                              </w:rPr>
                              <w:t>61,56%</w:t>
                            </w:r>
                            <w:r w:rsidRPr="002B3D05">
                              <w:rPr>
                                <w:szCs w:val="24"/>
                                <w:lang w:val="pl-PL"/>
                              </w:rPr>
                              <w:t xml:space="preserve"> uczniów ostatnich klas szkół ponadpodstawowych. </w:t>
                            </w:r>
                          </w:p>
                          <w:p w14:paraId="32E52078" w14:textId="77777777" w:rsidR="00B14787" w:rsidRPr="00733091" w:rsidRDefault="00B14787" w:rsidP="0004527E">
                            <w:pPr>
                              <w:jc w:val="both"/>
                              <w:rPr>
                                <w:sz w:val="20"/>
                                <w:szCs w:val="20"/>
                                <w:lang w:val="pl-P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606AF3" id="Pole tekstowe 70" o:spid="_x0000_s1050" type="#_x0000_t202" style="position:absolute;left:0;text-align:left;margin-left:359.2pt;margin-top:.4pt;width:410.4pt;height:159pt;z-index:251658263;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" fillcolor="#deeaf6 [664]" strokecolor="#4472c4 [3204]" strokeweight=".5pt">
                <v:textbox>
                  <w:txbxContent>
                    <w:p w14:paraId="2D724E8A" w14:textId="77777777" w:rsidR="00B14787" w:rsidRPr="002B3D05" w:rsidRDefault="00B14787" w:rsidP="002B3D05">
                      <w:pPr>
                        <w:spacing w:after="100" w:afterAutospacing="1" w:line="240" w:lineRule="auto"/>
                        <w:ind w:left="142"/>
                        <w:contextualSpacing/>
                        <w:jc w:val="both"/>
                        <w:rPr>
                          <w:szCs w:val="24"/>
                          <w:lang w:val="pl-PL"/>
                        </w:rPr>
                      </w:pPr>
                      <w:r w:rsidRPr="002B3D05">
                        <w:rPr>
                          <w:b/>
                          <w:bCs/>
                          <w:szCs w:val="24"/>
                          <w:lang w:val="pl-PL"/>
                        </w:rPr>
                        <w:t>86,18%</w:t>
                      </w:r>
                      <w:r w:rsidRPr="002B3D05">
                        <w:rPr>
                          <w:szCs w:val="24"/>
                          <w:lang w:val="pl-PL"/>
                        </w:rPr>
                        <w:t xml:space="preserve"> mieszkańców Południowych Mazur biorących udział w badaniu ankietowym twierdzi, że najczęściej korzysta z prywatnych środków transportu. Ze zbiorowych środków komunikacji publicznej (autobusy, busy) – jako środka pierwszego wyboru - korzysta jedynie </w:t>
                      </w:r>
                      <w:r w:rsidRPr="002B3D05">
                        <w:rPr>
                          <w:b/>
                          <w:bCs/>
                          <w:szCs w:val="24"/>
                          <w:lang w:val="pl-PL"/>
                        </w:rPr>
                        <w:t>4,56%,</w:t>
                      </w:r>
                      <w:r w:rsidRPr="002B3D05">
                        <w:rPr>
                          <w:szCs w:val="24"/>
                          <w:lang w:val="pl-PL"/>
                        </w:rPr>
                        <w:t xml:space="preserve"> a z kolei – </w:t>
                      </w:r>
                      <w:r w:rsidRPr="002B3D05">
                        <w:rPr>
                          <w:b/>
                          <w:bCs/>
                          <w:szCs w:val="24"/>
                          <w:lang w:val="pl-PL"/>
                        </w:rPr>
                        <w:t>3,78%.</w:t>
                      </w:r>
                      <w:r w:rsidRPr="002B3D05">
                        <w:rPr>
                          <w:szCs w:val="24"/>
                          <w:lang w:val="pl-PL"/>
                        </w:rPr>
                        <w:t xml:space="preserve">  Ze wskazanych wyżej środków transportu zbiorowego nie korzysta nigdy – odpowiednio - </w:t>
                      </w:r>
                      <w:r w:rsidRPr="002B3D05">
                        <w:rPr>
                          <w:b/>
                          <w:bCs/>
                          <w:szCs w:val="24"/>
                          <w:lang w:val="pl-PL"/>
                        </w:rPr>
                        <w:t>56,06%</w:t>
                      </w:r>
                      <w:r w:rsidRPr="002B3D05">
                        <w:rPr>
                          <w:szCs w:val="24"/>
                          <w:lang w:val="pl-PL"/>
                        </w:rPr>
                        <w:t xml:space="preserve"> i </w:t>
                      </w:r>
                      <w:r w:rsidRPr="002B3D05">
                        <w:rPr>
                          <w:b/>
                          <w:bCs/>
                          <w:szCs w:val="24"/>
                          <w:lang w:val="pl-PL"/>
                        </w:rPr>
                        <w:t>60,23%</w:t>
                      </w:r>
                      <w:r w:rsidRPr="002B3D05">
                        <w:rPr>
                          <w:szCs w:val="24"/>
                          <w:lang w:val="pl-PL"/>
                        </w:rPr>
                        <w:t xml:space="preserve"> badanych.</w:t>
                      </w:r>
                    </w:p>
                    <w:p w14:paraId="153BD19D" w14:textId="2640DF1A" w:rsidR="00B14787" w:rsidRPr="002B3D05" w:rsidRDefault="00B14787" w:rsidP="002B3D05">
                      <w:pPr>
                        <w:spacing w:after="100" w:afterAutospacing="1" w:line="240" w:lineRule="auto"/>
                        <w:ind w:left="142"/>
                        <w:contextualSpacing/>
                        <w:jc w:val="both"/>
                        <w:rPr>
                          <w:szCs w:val="24"/>
                          <w:lang w:val="pl-PL"/>
                        </w:rPr>
                      </w:pPr>
                      <w:r w:rsidRPr="002B3D05">
                        <w:rPr>
                          <w:szCs w:val="24"/>
                          <w:lang w:val="pl-PL"/>
                        </w:rPr>
                        <w:t xml:space="preserve">Komunikacja i transport zbiorowy jest słabą stroną i czynnikiem zachęcającym do opuszczenia obszaru Partnerstwa dla </w:t>
                      </w:r>
                      <w:r w:rsidRPr="002B3D05">
                        <w:rPr>
                          <w:b/>
                          <w:bCs/>
                          <w:szCs w:val="24"/>
                          <w:lang w:val="pl-PL"/>
                        </w:rPr>
                        <w:t>63,89%</w:t>
                      </w:r>
                      <w:r w:rsidRPr="002B3D05">
                        <w:rPr>
                          <w:szCs w:val="24"/>
                          <w:lang w:val="pl-PL"/>
                        </w:rPr>
                        <w:t xml:space="preserve"> badanych mieszkańców </w:t>
                      </w:r>
                      <w:r>
                        <w:rPr>
                          <w:szCs w:val="24"/>
                          <w:lang w:val="pl-PL"/>
                        </w:rPr>
                        <w:br/>
                      </w:r>
                      <w:r w:rsidRPr="002B3D05">
                        <w:rPr>
                          <w:szCs w:val="24"/>
                          <w:lang w:val="pl-PL"/>
                        </w:rPr>
                        <w:t xml:space="preserve">i </w:t>
                      </w:r>
                      <w:r w:rsidRPr="002B3D05">
                        <w:rPr>
                          <w:b/>
                          <w:bCs/>
                          <w:szCs w:val="24"/>
                          <w:lang w:val="pl-PL"/>
                        </w:rPr>
                        <w:t>61,56%</w:t>
                      </w:r>
                      <w:r w:rsidRPr="002B3D05">
                        <w:rPr>
                          <w:szCs w:val="24"/>
                          <w:lang w:val="pl-PL"/>
                        </w:rPr>
                        <w:t xml:space="preserve"> uczniów ostatnich klas szkół ponadpodstawowych. </w:t>
                      </w:r>
                    </w:p>
                    <w:p w14:paraId="32E52078" w14:textId="77777777" w:rsidR="00B14787" w:rsidRPr="00733091" w:rsidRDefault="00B14787" w:rsidP="0004527E">
                      <w:pPr>
                        <w:jc w:val="both"/>
                        <w:rPr>
                          <w:sz w:val="20"/>
                          <w:szCs w:val="20"/>
                          <w:lang w:val="pl-PL"/>
                        </w:rPr>
                      </w:pPr>
                    </w:p>
                  </w:txbxContent>
                </v:textbox>
                <w10:wrap anchorx="margin"/>
              </v:shape>
            </w:pict>
          </mc:Fallback>
        </mc:AlternateContent>
      </w:r>
    </w:p>
    <w:p w14:paraId="5F11951A" w14:textId="47B0AE90" w:rsidR="002B3D05" w:rsidRPr="00733091" w:rsidRDefault="002B3D05" w:rsidP="00733091">
      <w:pPr>
        <w:rPr>
          <w:lang w:val="pl-PL"/>
        </w:rPr>
      </w:pPr>
    </w:p>
    <w:p w14:paraId="09C6F8C0" w14:textId="18FCDF19" w:rsidR="0004527E" w:rsidRPr="00733091" w:rsidRDefault="0004527E" w:rsidP="00733091">
      <w:pPr>
        <w:contextualSpacing/>
        <w:rPr>
          <w:rFonts w:cstheme="minorHAnsi"/>
          <w:lang w:val="pl-PL"/>
        </w:rPr>
      </w:pPr>
    </w:p>
    <w:p w14:paraId="3141817E" w14:textId="394412B9" w:rsidR="0004527E" w:rsidRPr="00733091" w:rsidRDefault="0004527E" w:rsidP="00733091">
      <w:pPr>
        <w:contextualSpacing/>
        <w:rPr>
          <w:rFonts w:cstheme="minorHAnsi"/>
          <w:lang w:val="pl-PL"/>
        </w:rPr>
      </w:pPr>
    </w:p>
    <w:p w14:paraId="39118AE7" w14:textId="77777777" w:rsidR="0004527E" w:rsidRPr="00733091" w:rsidRDefault="0004527E" w:rsidP="00733091">
      <w:pPr>
        <w:contextualSpacing/>
        <w:rPr>
          <w:rFonts w:cstheme="minorHAnsi"/>
          <w:lang w:val="pl-PL"/>
        </w:rPr>
      </w:pPr>
    </w:p>
    <w:p w14:paraId="710A885F" w14:textId="77777777" w:rsidR="0004527E" w:rsidRPr="00733091" w:rsidRDefault="0004527E" w:rsidP="00733091">
      <w:pPr>
        <w:contextualSpacing/>
        <w:rPr>
          <w:rFonts w:cstheme="minorHAnsi"/>
          <w:lang w:val="pl-PL"/>
        </w:rPr>
      </w:pPr>
    </w:p>
    <w:p w14:paraId="3C1E9727" w14:textId="77777777" w:rsidR="0004527E" w:rsidRPr="00733091" w:rsidRDefault="0004527E" w:rsidP="00733091">
      <w:pPr>
        <w:contextualSpacing/>
        <w:rPr>
          <w:rFonts w:cstheme="minorHAnsi"/>
          <w:lang w:val="pl-PL"/>
        </w:rPr>
      </w:pPr>
    </w:p>
    <w:p w14:paraId="7C9989B5" w14:textId="1715E3F5" w:rsidR="0004527E" w:rsidRDefault="0004527E" w:rsidP="002B3D05">
      <w:pPr>
        <w:ind w:left="0"/>
        <w:contextualSpacing/>
        <w:rPr>
          <w:rFonts w:cstheme="minorHAnsi"/>
          <w:lang w:val="pl-PL"/>
        </w:rPr>
      </w:pPr>
    </w:p>
    <w:p w14:paraId="3AE35804" w14:textId="3EB46932" w:rsidR="00151754" w:rsidRDefault="00151754" w:rsidP="002B3D05">
      <w:pPr>
        <w:ind w:left="0"/>
        <w:contextualSpacing/>
        <w:rPr>
          <w:rFonts w:cstheme="minorHAnsi"/>
          <w:lang w:val="pl-PL"/>
        </w:rPr>
      </w:pPr>
    </w:p>
    <w:p w14:paraId="2A34718A" w14:textId="0DCC944C" w:rsidR="00151754" w:rsidRDefault="00151754" w:rsidP="00151754">
      <w:pPr>
        <w:contextualSpacing/>
        <w:rPr>
          <w:rFonts w:cstheme="minorHAnsi"/>
          <w:lang w:val="pl-PL"/>
        </w:rPr>
      </w:pPr>
      <w:r>
        <w:rPr>
          <w:rFonts w:cstheme="minorHAnsi"/>
          <w:lang w:val="pl-PL"/>
        </w:rPr>
        <w:t xml:space="preserve">Niski poziom dostępności komunikacyjnej Południowych Mazur potwierdza również </w:t>
      </w:r>
      <w:r w:rsidRPr="00494C2D">
        <w:rPr>
          <w:rFonts w:cstheme="minorHAnsi"/>
          <w:b/>
          <w:bCs/>
          <w:lang w:val="pl-PL"/>
        </w:rPr>
        <w:t>porównanie</w:t>
      </w:r>
      <w:r w:rsidR="00494C2D">
        <w:rPr>
          <w:rFonts w:cstheme="minorHAnsi"/>
          <w:b/>
          <w:bCs/>
          <w:lang w:val="pl-PL"/>
        </w:rPr>
        <w:t xml:space="preserve"> w tym aspekcie</w:t>
      </w:r>
      <w:r w:rsidRPr="00494C2D">
        <w:rPr>
          <w:rFonts w:cstheme="minorHAnsi"/>
          <w:b/>
          <w:bCs/>
          <w:lang w:val="pl-PL"/>
        </w:rPr>
        <w:t xml:space="preserve"> obszaru z grupą porównawczą</w:t>
      </w:r>
      <w:r>
        <w:rPr>
          <w:rFonts w:cstheme="minorHAnsi"/>
          <w:lang w:val="pl-PL"/>
        </w:rPr>
        <w:t xml:space="preserve">. Zarówno </w:t>
      </w:r>
      <w:r w:rsidR="00494C2D">
        <w:rPr>
          <w:rFonts w:cstheme="minorHAnsi"/>
          <w:lang w:val="pl-PL"/>
        </w:rPr>
        <w:br/>
      </w:r>
      <w:r>
        <w:rPr>
          <w:rFonts w:cstheme="minorHAnsi"/>
          <w:lang w:val="pl-PL"/>
        </w:rPr>
        <w:t xml:space="preserve">w przypadku długości dróg, jak i jakości infrastruktury drogowej poszczególne wskaźniki </w:t>
      </w:r>
      <w:r w:rsidR="00494C2D">
        <w:rPr>
          <w:rFonts w:cstheme="minorHAnsi"/>
          <w:lang w:val="pl-PL"/>
        </w:rPr>
        <w:t xml:space="preserve">dla Południowych Mazur </w:t>
      </w:r>
      <w:r>
        <w:rPr>
          <w:rFonts w:cstheme="minorHAnsi"/>
          <w:lang w:val="pl-PL"/>
        </w:rPr>
        <w:t>plasują się poniżej zera, co oznacza wolniejszą niż w grupie porównawczej zmianę sytuacji w</w:t>
      </w:r>
      <w:r w:rsidR="00494C2D">
        <w:rPr>
          <w:rFonts w:cstheme="minorHAnsi"/>
          <w:lang w:val="pl-PL"/>
        </w:rPr>
        <w:t xml:space="preserve"> zakresie dostępności komunikacyjnej</w:t>
      </w:r>
      <w:r>
        <w:rPr>
          <w:rFonts w:cstheme="minorHAnsi"/>
          <w:lang w:val="pl-PL"/>
        </w:rPr>
        <w:t xml:space="preserve">. </w:t>
      </w:r>
    </w:p>
    <w:p w14:paraId="257C832C" w14:textId="77777777" w:rsidR="00151754" w:rsidRPr="005B63BD" w:rsidRDefault="00151754" w:rsidP="00151754">
      <w:pPr>
        <w:contextualSpacing/>
        <w:rPr>
          <w:rFonts w:cstheme="minorHAnsi"/>
          <w:lang w:val="pl-PL"/>
        </w:rPr>
      </w:pPr>
    </w:p>
    <w:p w14:paraId="67128B13" w14:textId="759A9896" w:rsidR="00E035C6" w:rsidRPr="00690E7F" w:rsidRDefault="00734DD4" w:rsidP="00733091">
      <w:pPr>
        <w:pStyle w:val="Nagwek3"/>
        <w:spacing w:after="240"/>
        <w:rPr>
          <w:lang w:val="en-US"/>
        </w:rPr>
      </w:pPr>
      <w:bookmarkStart w:id="162" w:name="_Toc69725452"/>
      <w:r w:rsidRPr="00734DD4">
        <w:rPr>
          <w:lang w:val="en-US"/>
        </w:rPr>
        <w:t>Podsumowanie</w:t>
      </w:r>
      <w:bookmarkEnd w:id="162"/>
    </w:p>
    <w:p w14:paraId="7C8BF22D" w14:textId="008CA715" w:rsidR="0004527E" w:rsidRDefault="0004527E" w:rsidP="002B3D05">
      <w:pPr>
        <w:rPr>
          <w:lang w:val="pl-PL" w:eastAsia="pl-PL"/>
        </w:rPr>
      </w:pPr>
      <w:r w:rsidRPr="00733091">
        <w:rPr>
          <w:lang w:val="pl-PL" w:eastAsia="pl-PL"/>
        </w:rPr>
        <w:t>Pogłębiona analiza poszczególnych obszarów, tworzących wymiar środowiskowo-przestrzenny wykazała istnienie zestawionych w tabeli poniżej zjawisk, potencjałów, mocnych stron i deficytów Południowych Mazur</w:t>
      </w:r>
      <w:r w:rsidR="00111213">
        <w:rPr>
          <w:lang w:val="pl-PL" w:eastAsia="pl-PL"/>
        </w:rPr>
        <w:t>.</w:t>
      </w:r>
    </w:p>
    <w:p w14:paraId="07826787" w14:textId="265B328F" w:rsidR="0033353A" w:rsidRDefault="0033353A" w:rsidP="002E24A9">
      <w:pPr>
        <w:pStyle w:val="Legenda"/>
        <w:rPr>
          <w:lang w:val="pl-PL"/>
        </w:rPr>
      </w:pPr>
      <w:bookmarkStart w:id="163" w:name="_Toc69723278"/>
      <w:r w:rsidRPr="00733091">
        <w:rPr>
          <w:lang w:val="pl-PL"/>
        </w:rPr>
        <w:t xml:space="preserve">Tabela </w:t>
      </w:r>
      <w:r>
        <w:fldChar w:fldCharType="begin"/>
      </w:r>
      <w:r w:rsidRPr="00733091">
        <w:rPr>
          <w:lang w:val="pl-PL"/>
        </w:rPr>
        <w:instrText xml:space="preserve"> SEQ Tabela \* ARABIC </w:instrText>
      </w:r>
      <w:r>
        <w:fldChar w:fldCharType="separate"/>
      </w:r>
      <w:r w:rsidR="00B14787">
        <w:rPr>
          <w:noProof/>
          <w:lang w:val="pl-PL"/>
        </w:rPr>
        <w:t>29</w:t>
      </w:r>
      <w:r>
        <w:rPr>
          <w:noProof/>
        </w:rPr>
        <w:fldChar w:fldCharType="end"/>
      </w:r>
      <w:r w:rsidRPr="00733091">
        <w:rPr>
          <w:lang w:val="pl-PL"/>
        </w:rPr>
        <w:t>: Zjawiska, deficyty i potencjały Partnerstwa w wymiarze środowiskowo-przestrzennym</w:t>
      </w:r>
      <w:bookmarkEnd w:id="163"/>
    </w:p>
    <w:tbl>
      <w:tblPr>
        <w:tblStyle w:val="CWD"/>
        <w:tblW w:w="9067" w:type="dxa"/>
        <w:tblLook w:val="04A0" w:firstRow="1" w:lastRow="0" w:firstColumn="1" w:lastColumn="0" w:noHBand="0" w:noVBand="1"/>
      </w:tblPr>
      <w:tblGrid>
        <w:gridCol w:w="2405"/>
        <w:gridCol w:w="6662"/>
      </w:tblGrid>
      <w:tr w:rsidR="0033353A" w14:paraId="7A6BE948" w14:textId="77777777" w:rsidTr="00A33A7C">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405" w:type="dxa"/>
          </w:tcPr>
          <w:p w14:paraId="2CD6D64A" w14:textId="767F7205" w:rsidR="0033353A" w:rsidRDefault="0033353A" w:rsidP="0033353A">
            <w:pPr>
              <w:ind w:left="0"/>
              <w:rPr>
                <w:lang w:val="pl-PL"/>
              </w:rPr>
            </w:pPr>
            <w:r w:rsidRPr="00C01FFB">
              <w:t>Obszar analizy</w:t>
            </w:r>
          </w:p>
        </w:tc>
        <w:tc>
          <w:tcPr>
            <w:tcW w:w="6662" w:type="dxa"/>
          </w:tcPr>
          <w:p w14:paraId="48E7A9DA" w14:textId="124617AA" w:rsidR="0033353A" w:rsidRDefault="0033353A" w:rsidP="0033353A">
            <w:pPr>
              <w:ind w:left="0"/>
              <w:cnfStyle w:val="100000000000" w:firstRow="1" w:lastRow="0" w:firstColumn="0" w:lastColumn="0" w:oddVBand="0" w:evenVBand="0" w:oddHBand="0" w:evenHBand="0" w:firstRowFirstColumn="0" w:firstRowLastColumn="0" w:lastRowFirstColumn="0" w:lastRowLastColumn="0"/>
              <w:rPr>
                <w:lang w:val="pl-PL"/>
              </w:rPr>
            </w:pPr>
            <w:r w:rsidRPr="00C01FFB">
              <w:t xml:space="preserve">Zjawiska </w:t>
            </w:r>
          </w:p>
        </w:tc>
      </w:tr>
      <w:tr w:rsidR="0033353A" w:rsidRPr="00176303" w14:paraId="398FB3C0" w14:textId="77777777" w:rsidTr="00A33A7C">
        <w:tc>
          <w:tcPr>
            <w:cnfStyle w:val="001000000000" w:firstRow="0" w:lastRow="0" w:firstColumn="1" w:lastColumn="0" w:oddVBand="0" w:evenVBand="0" w:oddHBand="0" w:evenHBand="0" w:firstRowFirstColumn="0" w:firstRowLastColumn="0" w:lastRowFirstColumn="0" w:lastRowLastColumn="0"/>
            <w:tcW w:w="2405" w:type="dxa"/>
          </w:tcPr>
          <w:p w14:paraId="18E16E3D" w14:textId="5FB9D7F4" w:rsidR="0033353A" w:rsidRDefault="0033353A" w:rsidP="0033353A">
            <w:pPr>
              <w:pStyle w:val="elementgraficznytabela"/>
              <w:spacing w:after="240"/>
              <w:contextualSpacing/>
            </w:pPr>
            <w:r w:rsidRPr="00C01FFB">
              <w:t>Lokalne środowisko</w:t>
            </w:r>
            <w:r>
              <w:br/>
            </w:r>
            <w:r w:rsidRPr="00C01FFB">
              <w:t>przyrodnicze</w:t>
            </w:r>
          </w:p>
        </w:tc>
        <w:tc>
          <w:tcPr>
            <w:tcW w:w="6662" w:type="dxa"/>
          </w:tcPr>
          <w:p w14:paraId="60E39E57" w14:textId="77777777" w:rsidR="0033353A" w:rsidRPr="00C01FFB" w:rsidRDefault="0033353A" w:rsidP="00B063F0">
            <w:pPr>
              <w:pStyle w:val="elementgraficznytabela"/>
              <w:numPr>
                <w:ilvl w:val="0"/>
                <w:numId w:val="29"/>
              </w:numPr>
              <w:spacing w:after="240"/>
              <w:contextualSpacing/>
              <w:cnfStyle w:val="000000000000" w:firstRow="0" w:lastRow="0" w:firstColumn="0" w:lastColumn="0" w:oddVBand="0" w:evenVBand="0" w:oddHBand="0" w:evenHBand="0" w:firstRowFirstColumn="0" w:firstRowLastColumn="0" w:lastRowFirstColumn="0" w:lastRowLastColumn="0"/>
            </w:pPr>
            <w:r w:rsidRPr="00C01FFB">
              <w:t>Dobra jakość powietrza</w:t>
            </w:r>
          </w:p>
          <w:p w14:paraId="173E4986" w14:textId="3D2C05BC" w:rsidR="0033353A" w:rsidRPr="00C01FFB" w:rsidRDefault="0033353A" w:rsidP="00B063F0">
            <w:pPr>
              <w:pStyle w:val="elementgraficznytabela"/>
              <w:numPr>
                <w:ilvl w:val="0"/>
                <w:numId w:val="29"/>
              </w:numPr>
              <w:spacing w:after="240"/>
              <w:contextualSpacing/>
              <w:cnfStyle w:val="000000000000" w:firstRow="0" w:lastRow="0" w:firstColumn="0" w:lastColumn="0" w:oddVBand="0" w:evenVBand="0" w:oddHBand="0" w:evenHBand="0" w:firstRowFirstColumn="0" w:firstRowLastColumn="0" w:lastRowFirstColumn="0" w:lastRowLastColumn="0"/>
            </w:pPr>
            <w:r w:rsidRPr="00C01FFB">
              <w:t xml:space="preserve">Duży odsetek obszarów prawnie chronionych </w:t>
            </w:r>
            <w:r>
              <w:br/>
            </w:r>
            <w:r w:rsidRPr="00C01FFB">
              <w:t>w strukturze terenów zielonych</w:t>
            </w:r>
          </w:p>
          <w:p w14:paraId="3E4D791C" w14:textId="77777777" w:rsidR="0033353A" w:rsidRDefault="0033353A" w:rsidP="00B063F0">
            <w:pPr>
              <w:pStyle w:val="elementgraficznytabela"/>
              <w:numPr>
                <w:ilvl w:val="0"/>
                <w:numId w:val="29"/>
              </w:numPr>
              <w:spacing w:after="240"/>
              <w:contextualSpacing/>
              <w:cnfStyle w:val="000000000000" w:firstRow="0" w:lastRow="0" w:firstColumn="0" w:lastColumn="0" w:oddVBand="0" w:evenVBand="0" w:oddHBand="0" w:evenHBand="0" w:firstRowFirstColumn="0" w:firstRowLastColumn="0" w:lastRowFirstColumn="0" w:lastRowLastColumn="0"/>
            </w:pPr>
            <w:r w:rsidRPr="00C01FFB">
              <w:t>Duży odsetek terenów zielonych</w:t>
            </w:r>
          </w:p>
          <w:p w14:paraId="1B4ED009" w14:textId="0129DE9A" w:rsidR="0033353A" w:rsidRPr="0033353A" w:rsidRDefault="0033353A" w:rsidP="00B063F0">
            <w:pPr>
              <w:pStyle w:val="elementgraficznytabela"/>
              <w:numPr>
                <w:ilvl w:val="0"/>
                <w:numId w:val="29"/>
              </w:numPr>
              <w:spacing w:after="240"/>
              <w:contextualSpacing/>
              <w:cnfStyle w:val="000000000000" w:firstRow="0" w:lastRow="0" w:firstColumn="0" w:lastColumn="0" w:oddVBand="0" w:evenVBand="0" w:oddHBand="0" w:evenHBand="0" w:firstRowFirstColumn="0" w:firstRowLastColumn="0" w:lastRowFirstColumn="0" w:lastRowLastColumn="0"/>
            </w:pPr>
            <w:r w:rsidRPr="0033353A">
              <w:t>Niewystarczająca dostępność i umiarkowanie awaryjna sieć wodociągowo-kanalizacyjna</w:t>
            </w:r>
          </w:p>
        </w:tc>
      </w:tr>
      <w:tr w:rsidR="0033353A" w14:paraId="4261B195" w14:textId="77777777" w:rsidTr="00A33A7C">
        <w:tc>
          <w:tcPr>
            <w:cnfStyle w:val="001000000000" w:firstRow="0" w:lastRow="0" w:firstColumn="1" w:lastColumn="0" w:oddVBand="0" w:evenVBand="0" w:oddHBand="0" w:evenHBand="0" w:firstRowFirstColumn="0" w:firstRowLastColumn="0" w:lastRowFirstColumn="0" w:lastRowLastColumn="0"/>
            <w:tcW w:w="2405" w:type="dxa"/>
          </w:tcPr>
          <w:p w14:paraId="58EF955B" w14:textId="4A4DF919" w:rsidR="0033353A" w:rsidRDefault="0033353A" w:rsidP="0033353A">
            <w:pPr>
              <w:ind w:left="0"/>
              <w:rPr>
                <w:lang w:val="pl-PL"/>
              </w:rPr>
            </w:pPr>
            <w:r w:rsidRPr="00C01FFB">
              <w:t>Ład i struktura przestrzenna</w:t>
            </w:r>
          </w:p>
        </w:tc>
        <w:tc>
          <w:tcPr>
            <w:tcW w:w="6662" w:type="dxa"/>
          </w:tcPr>
          <w:p w14:paraId="58080B07" w14:textId="77777777" w:rsidR="0033353A" w:rsidRPr="00C01FFB" w:rsidRDefault="0033353A" w:rsidP="00B063F0">
            <w:pPr>
              <w:pStyle w:val="elementgraficznytabela"/>
              <w:numPr>
                <w:ilvl w:val="0"/>
                <w:numId w:val="29"/>
              </w:numPr>
              <w:spacing w:after="240"/>
              <w:contextualSpacing/>
              <w:cnfStyle w:val="000000000000" w:firstRow="0" w:lastRow="0" w:firstColumn="0" w:lastColumn="0" w:oddVBand="0" w:evenVBand="0" w:oddHBand="0" w:evenHBand="0" w:firstRowFirstColumn="0" w:firstRowLastColumn="0" w:lastRowFirstColumn="0" w:lastRowLastColumn="0"/>
            </w:pPr>
            <w:r w:rsidRPr="00C01FFB">
              <w:t>Relatywnie niskie pokrycie MPZP obszaru Partnerstwa</w:t>
            </w:r>
          </w:p>
          <w:p w14:paraId="58A233C9" w14:textId="77777777" w:rsidR="0033353A" w:rsidRDefault="0033353A" w:rsidP="00B063F0">
            <w:pPr>
              <w:pStyle w:val="elementgraficznytabela"/>
              <w:numPr>
                <w:ilvl w:val="0"/>
                <w:numId w:val="29"/>
              </w:numPr>
              <w:spacing w:after="240"/>
              <w:contextualSpacing/>
              <w:cnfStyle w:val="000000000000" w:firstRow="0" w:lastRow="0" w:firstColumn="0" w:lastColumn="0" w:oddVBand="0" w:evenVBand="0" w:oddHBand="0" w:evenHBand="0" w:firstRowFirstColumn="0" w:firstRowLastColumn="0" w:lastRowFirstColumn="0" w:lastRowLastColumn="0"/>
            </w:pPr>
            <w:r w:rsidRPr="00C01FFB">
              <w:t>Brak integracji w planowaniu przestrzennym obszaru</w:t>
            </w:r>
          </w:p>
          <w:p w14:paraId="7A419E45" w14:textId="1BC466A3" w:rsidR="0033353A" w:rsidRPr="0033353A" w:rsidRDefault="0033353A" w:rsidP="00B063F0">
            <w:pPr>
              <w:pStyle w:val="elementgraficznytabela"/>
              <w:numPr>
                <w:ilvl w:val="0"/>
                <w:numId w:val="29"/>
              </w:numPr>
              <w:spacing w:after="240"/>
              <w:contextualSpacing/>
              <w:cnfStyle w:val="000000000000" w:firstRow="0" w:lastRow="0" w:firstColumn="0" w:lastColumn="0" w:oddVBand="0" w:evenVBand="0" w:oddHBand="0" w:evenHBand="0" w:firstRowFirstColumn="0" w:firstRowLastColumn="0" w:lastRowFirstColumn="0" w:lastRowLastColumn="0"/>
            </w:pPr>
            <w:r w:rsidRPr="00C01FFB">
              <w:t>Niska zwartość obszaru</w:t>
            </w:r>
          </w:p>
        </w:tc>
      </w:tr>
      <w:tr w:rsidR="0033353A" w:rsidRPr="00176303" w14:paraId="25986035" w14:textId="77777777" w:rsidTr="00A33A7C">
        <w:tc>
          <w:tcPr>
            <w:cnfStyle w:val="001000000000" w:firstRow="0" w:lastRow="0" w:firstColumn="1" w:lastColumn="0" w:oddVBand="0" w:evenVBand="0" w:oddHBand="0" w:evenHBand="0" w:firstRowFirstColumn="0" w:firstRowLastColumn="0" w:lastRowFirstColumn="0" w:lastRowLastColumn="0"/>
            <w:tcW w:w="2405" w:type="dxa"/>
          </w:tcPr>
          <w:p w14:paraId="38E665FD" w14:textId="2C5A13EB" w:rsidR="0033353A" w:rsidRDefault="0033353A" w:rsidP="0033353A">
            <w:pPr>
              <w:ind w:left="0"/>
              <w:rPr>
                <w:lang w:val="pl-PL"/>
              </w:rPr>
            </w:pPr>
            <w:r w:rsidRPr="00C01FFB">
              <w:lastRenderedPageBreak/>
              <w:t>Dostępność komunikacyjna</w:t>
            </w:r>
          </w:p>
        </w:tc>
        <w:tc>
          <w:tcPr>
            <w:tcW w:w="6662" w:type="dxa"/>
          </w:tcPr>
          <w:p w14:paraId="07E39489" w14:textId="77777777" w:rsidR="0033353A" w:rsidRPr="00C01FFB" w:rsidRDefault="0033353A" w:rsidP="00B063F0">
            <w:pPr>
              <w:pStyle w:val="elementgraficznytabela"/>
              <w:numPr>
                <w:ilvl w:val="0"/>
                <w:numId w:val="29"/>
              </w:numPr>
              <w:spacing w:after="240"/>
              <w:contextualSpacing/>
              <w:cnfStyle w:val="000000000000" w:firstRow="0" w:lastRow="0" w:firstColumn="0" w:lastColumn="0" w:oddVBand="0" w:evenVBand="0" w:oddHBand="0" w:evenHBand="0" w:firstRowFirstColumn="0" w:firstRowLastColumn="0" w:lastRowFirstColumn="0" w:lastRowLastColumn="0"/>
            </w:pPr>
            <w:r w:rsidRPr="00C01FFB">
              <w:t>Istniejąc</w:t>
            </w:r>
            <w:r>
              <w:t>a</w:t>
            </w:r>
            <w:r w:rsidRPr="00C01FFB">
              <w:t xml:space="preserve"> infrastruktura drogowa, kolejowa i lotnicza</w:t>
            </w:r>
          </w:p>
          <w:p w14:paraId="40C60EAE" w14:textId="77777777" w:rsidR="0033353A" w:rsidRPr="00C01FFB" w:rsidRDefault="0033353A" w:rsidP="00B063F0">
            <w:pPr>
              <w:pStyle w:val="elementgraficznytabela"/>
              <w:numPr>
                <w:ilvl w:val="0"/>
                <w:numId w:val="29"/>
              </w:numPr>
              <w:spacing w:after="240"/>
              <w:contextualSpacing/>
              <w:cnfStyle w:val="000000000000" w:firstRow="0" w:lastRow="0" w:firstColumn="0" w:lastColumn="0" w:oddVBand="0" w:evenVBand="0" w:oddHBand="0" w:evenHBand="0" w:firstRowFirstColumn="0" w:firstRowLastColumn="0" w:lastRowFirstColumn="0" w:lastRowLastColumn="0"/>
            </w:pPr>
            <w:r w:rsidRPr="00C01FFB">
              <w:t>Niska dostępność komunikacyjna obszaru</w:t>
            </w:r>
          </w:p>
          <w:p w14:paraId="092E0AEC" w14:textId="77777777" w:rsidR="0033353A" w:rsidRPr="00C01FFB" w:rsidRDefault="0033353A" w:rsidP="00B063F0">
            <w:pPr>
              <w:pStyle w:val="elementgraficznytabela"/>
              <w:numPr>
                <w:ilvl w:val="0"/>
                <w:numId w:val="29"/>
              </w:numPr>
              <w:spacing w:after="240"/>
              <w:contextualSpacing/>
              <w:cnfStyle w:val="000000000000" w:firstRow="0" w:lastRow="0" w:firstColumn="0" w:lastColumn="0" w:oddVBand="0" w:evenVBand="0" w:oddHBand="0" w:evenHBand="0" w:firstRowFirstColumn="0" w:firstRowLastColumn="0" w:lastRowFirstColumn="0" w:lastRowLastColumn="0"/>
            </w:pPr>
            <w:r w:rsidRPr="00C01FFB">
              <w:t>Nierównomiernie rozłożona sieć drogowa</w:t>
            </w:r>
          </w:p>
          <w:p w14:paraId="2234FC2A" w14:textId="77777777" w:rsidR="0033353A" w:rsidRDefault="0033353A" w:rsidP="00B063F0">
            <w:pPr>
              <w:pStyle w:val="elementgraficznytabela"/>
              <w:numPr>
                <w:ilvl w:val="0"/>
                <w:numId w:val="29"/>
              </w:numPr>
              <w:spacing w:after="240"/>
              <w:contextualSpacing/>
              <w:cnfStyle w:val="000000000000" w:firstRow="0" w:lastRow="0" w:firstColumn="0" w:lastColumn="0" w:oddVBand="0" w:evenVBand="0" w:oddHBand="0" w:evenHBand="0" w:firstRowFirstColumn="0" w:firstRowLastColumn="0" w:lastRowFirstColumn="0" w:lastRowLastColumn="0"/>
            </w:pPr>
            <w:r w:rsidRPr="00C01FFB">
              <w:t>Słaby system komunikacji publicznej</w:t>
            </w:r>
          </w:p>
          <w:p w14:paraId="79E371F9" w14:textId="19F33495" w:rsidR="0033353A" w:rsidRPr="0033353A" w:rsidRDefault="0033353A" w:rsidP="00B063F0">
            <w:pPr>
              <w:pStyle w:val="elementgraficznytabela"/>
              <w:numPr>
                <w:ilvl w:val="0"/>
                <w:numId w:val="29"/>
              </w:numPr>
              <w:spacing w:after="240"/>
              <w:contextualSpacing/>
              <w:cnfStyle w:val="000000000000" w:firstRow="0" w:lastRow="0" w:firstColumn="0" w:lastColumn="0" w:oddVBand="0" w:evenVBand="0" w:oddHBand="0" w:evenHBand="0" w:firstRowFirstColumn="0" w:firstRowLastColumn="0" w:lastRowFirstColumn="0" w:lastRowLastColumn="0"/>
            </w:pPr>
            <w:r w:rsidRPr="0033353A">
              <w:t>Niska jakość infrastruktury – drogi, przystanki, stacje kolejowe</w:t>
            </w:r>
          </w:p>
        </w:tc>
      </w:tr>
    </w:tbl>
    <w:p w14:paraId="382C9459" w14:textId="28FFC0D3" w:rsidR="0004527E" w:rsidRDefault="0004527E" w:rsidP="00733091">
      <w:pPr>
        <w:pStyle w:val="podpiselementu"/>
        <w:spacing w:after="240"/>
      </w:pPr>
      <w:r w:rsidRPr="00D22080">
        <w:t>Źródło: opracowanie własn</w:t>
      </w:r>
      <w:r>
        <w:t>e</w:t>
      </w:r>
    </w:p>
    <w:p w14:paraId="58746A41" w14:textId="2416ED94" w:rsidR="00E035C6" w:rsidRPr="00733091" w:rsidRDefault="000C033A" w:rsidP="00733091">
      <w:pPr>
        <w:pStyle w:val="Nagwek1"/>
        <w:spacing w:before="120" w:after="240"/>
        <w:rPr>
          <w:lang w:val="pl-PL"/>
        </w:rPr>
      </w:pPr>
      <w:bookmarkStart w:id="164" w:name="_Toc69725453"/>
      <w:r w:rsidRPr="00733091">
        <w:rPr>
          <w:lang w:val="pl-PL"/>
        </w:rPr>
        <w:lastRenderedPageBreak/>
        <w:t>POTENCJAŁY, BARIERY I POTRZEBY ROZWOJOWE OBSZARU PARTNERSTWA</w:t>
      </w:r>
      <w:bookmarkEnd w:id="164"/>
    </w:p>
    <w:p w14:paraId="39DF0BD1" w14:textId="77777777" w:rsidR="0004527E" w:rsidRPr="00733091" w:rsidRDefault="0004527E" w:rsidP="00733091">
      <w:pPr>
        <w:rPr>
          <w:lang w:val="pl-PL"/>
        </w:rPr>
      </w:pPr>
      <w:r w:rsidRPr="00733091">
        <w:rPr>
          <w:lang w:val="pl-PL"/>
        </w:rPr>
        <w:t>Diagnoza pogłębiona obszaru Partnerstwa oraz analiza otoczenia zewnętrznego pozwoliła na zidentyfikowanie czynników oddziaływania na kierunki strategiczne: negatywnych (czynniki mają wówczas charakter destymulanty rozwojowej) i pozytywnych (będących stymulantami rozwojowymi).</w:t>
      </w:r>
    </w:p>
    <w:p w14:paraId="3CD51F3A" w14:textId="77777777" w:rsidR="0004527E" w:rsidRPr="00733091" w:rsidRDefault="0004527E" w:rsidP="00733091">
      <w:pPr>
        <w:rPr>
          <w:lang w:val="pl-PL"/>
        </w:rPr>
      </w:pPr>
      <w:r w:rsidRPr="00733091">
        <w:rPr>
          <w:lang w:val="pl-PL"/>
        </w:rPr>
        <w:t>Podział czynników oddziaływania na rozwój prezentuje poniższy schemat.</w:t>
      </w:r>
    </w:p>
    <w:p w14:paraId="571BC6CA" w14:textId="451B7861" w:rsidR="0004527E" w:rsidRPr="00733091" w:rsidRDefault="0004527E" w:rsidP="002E24A9">
      <w:pPr>
        <w:pStyle w:val="Legenda"/>
        <w:rPr>
          <w:lang w:val="pl-PL"/>
        </w:rPr>
      </w:pPr>
      <w:bookmarkStart w:id="165" w:name="_Toc67904488"/>
      <w:bookmarkStart w:id="166" w:name="_Toc67909160"/>
      <w:bookmarkStart w:id="167" w:name="_Toc68113516"/>
      <w:r w:rsidRPr="00733091">
        <w:rPr>
          <w:lang w:val="pl-PL"/>
        </w:rPr>
        <w:t xml:space="preserve">Rysunek </w:t>
      </w:r>
      <w:r w:rsidR="00733091">
        <w:fldChar w:fldCharType="begin"/>
      </w:r>
      <w:r w:rsidR="00733091" w:rsidRPr="00733091">
        <w:rPr>
          <w:lang w:val="pl-PL"/>
        </w:rPr>
        <w:instrText xml:space="preserve"> SEQ Rysunek \* ARABIC </w:instrText>
      </w:r>
      <w:r w:rsidR="00733091">
        <w:fldChar w:fldCharType="separate"/>
      </w:r>
      <w:r w:rsidR="00B14787">
        <w:rPr>
          <w:noProof/>
          <w:lang w:val="pl-PL"/>
        </w:rPr>
        <w:t>8</w:t>
      </w:r>
      <w:r w:rsidR="00733091">
        <w:rPr>
          <w:noProof/>
        </w:rPr>
        <w:fldChar w:fldCharType="end"/>
      </w:r>
      <w:r w:rsidRPr="00733091">
        <w:rPr>
          <w:lang w:val="pl-PL"/>
        </w:rPr>
        <w:t>: Czynniki oddziałujące na rozwój obszaru Partnerstwa</w:t>
      </w:r>
      <w:bookmarkEnd w:id="165"/>
      <w:bookmarkEnd w:id="166"/>
      <w:bookmarkEnd w:id="167"/>
    </w:p>
    <w:p w14:paraId="3C8FD77F" w14:textId="5FF3A02F" w:rsidR="0064234B" w:rsidRPr="00666811" w:rsidRDefault="0004527E" w:rsidP="00666811">
      <w:pPr>
        <w:pStyle w:val="podpiselementu"/>
        <w:spacing w:after="240"/>
        <w:rPr>
          <w:color w:val="44546A" w:themeColor="text2"/>
          <w:sz w:val="18"/>
          <w:szCs w:val="18"/>
          <w:lang w:val="pl-PL"/>
        </w:rPr>
      </w:pPr>
      <w:r>
        <w:rPr>
          <w:noProof/>
        </w:rPr>
        <w:drawing>
          <wp:inline distT="0" distB="0" distL="0" distR="0" wp14:anchorId="01D03CDF" wp14:editId="17130254">
            <wp:extent cx="5753100" cy="2821214"/>
            <wp:effectExtent l="0" t="0" r="57150" b="17780"/>
            <wp:docPr id="82" name="Diagram 82" descr="schemat wskazujący na czynniki oddziaływania rozwojowego: negatywne (bariery wewnętrzne i bariery zewnętrzne) i pozytywne (potencjały wewnętrzne w tym mocne strony i szanse"/>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1" r:lo="rId162" r:qs="rId163" r:cs="rId164"/>
              </a:graphicData>
            </a:graphic>
          </wp:inline>
        </w:drawing>
      </w:r>
      <w:r w:rsidRPr="00733091">
        <w:rPr>
          <w:lang w:val="pl-PL"/>
        </w:rPr>
        <w:br/>
      </w:r>
      <w:r w:rsidRPr="00733091">
        <w:rPr>
          <w:rStyle w:val="podpiselementuZnak"/>
          <w:lang w:val="pl-PL"/>
        </w:rPr>
        <w:t>Źródło: opracowanie własne</w:t>
      </w:r>
      <w:r w:rsidR="00666811">
        <w:rPr>
          <w:rStyle w:val="podpiselementuZnak"/>
          <w:lang w:val="pl-PL"/>
        </w:rPr>
        <w:br/>
      </w:r>
    </w:p>
    <w:p w14:paraId="1999145A" w14:textId="35C75EE2" w:rsidR="0004527E" w:rsidRPr="00733091" w:rsidRDefault="0004527E" w:rsidP="00733091">
      <w:pPr>
        <w:rPr>
          <w:rFonts w:cstheme="minorHAnsi"/>
          <w:color w:val="44546A" w:themeColor="text2"/>
          <w:sz w:val="18"/>
          <w:szCs w:val="18"/>
          <w:shd w:val="clear" w:color="auto" w:fill="FFFFFF"/>
          <w:lang w:val="pl-PL"/>
        </w:rPr>
      </w:pPr>
      <w:r w:rsidRPr="00733091">
        <w:rPr>
          <w:lang w:val="pl-PL"/>
        </w:rPr>
        <w:t>Określenie czynników rozwojowych pozwoliło na wskazanie potencjałów, jak i barier rozwojowych Partnerstwa i wybór obszarów strategicznej interwencji oraz wyzwań i determinant rozwojowych.</w:t>
      </w:r>
    </w:p>
    <w:p w14:paraId="27146ABE" w14:textId="64109DD5" w:rsidR="00E035C6" w:rsidRPr="00690E7F" w:rsidRDefault="002A31CD" w:rsidP="00733091">
      <w:pPr>
        <w:pStyle w:val="Nagwek2"/>
        <w:spacing w:before="120"/>
        <w:rPr>
          <w:lang w:val="en-US"/>
        </w:rPr>
      </w:pPr>
      <w:bookmarkStart w:id="168" w:name="_Toc69725454"/>
      <w:r w:rsidRPr="002A31CD">
        <w:rPr>
          <w:lang w:val="en-US"/>
        </w:rPr>
        <w:t>Potencjały Partnerstwa</w:t>
      </w:r>
      <w:bookmarkEnd w:id="168"/>
    </w:p>
    <w:p w14:paraId="6CA51E2D" w14:textId="187A02E7" w:rsidR="0004527E" w:rsidRPr="00733091" w:rsidRDefault="0004527E" w:rsidP="00111213">
      <w:pPr>
        <w:rPr>
          <w:shd w:val="clear" w:color="auto" w:fill="FFFFFF"/>
          <w:lang w:val="pl-PL"/>
        </w:rPr>
      </w:pPr>
      <w:r w:rsidRPr="00733091">
        <w:rPr>
          <w:shd w:val="clear" w:color="auto" w:fill="FFFFFF"/>
          <w:lang w:val="pl-PL"/>
        </w:rPr>
        <w:t>Potencjał Partnerstwa to możliwości rozwoju, zbudowane na kompetencjach, sprawnościach i posiadanych zasobach Partnerstwa, a także na umiejętnym korzystaniu z zasobów otoczenia, które mają służyć osiąganiu określonych celów lub kierunków rozwojowych.</w:t>
      </w:r>
    </w:p>
    <w:p w14:paraId="15839C03" w14:textId="77777777" w:rsidR="0004527E" w:rsidRPr="00733091" w:rsidRDefault="0004527E" w:rsidP="00733091">
      <w:pPr>
        <w:rPr>
          <w:lang w:val="pl-PL"/>
        </w:rPr>
      </w:pPr>
      <w:r w:rsidRPr="00733091">
        <w:rPr>
          <w:lang w:val="pl-PL"/>
        </w:rPr>
        <w:lastRenderedPageBreak/>
        <w:t xml:space="preserve">Zidentyfikowane w procesie diagnozy pogłębionej czynniki wewnętrzne mające istotny, pozytywny wpływ na realizację kierunków rozwojowych </w:t>
      </w:r>
      <w:r w:rsidRPr="002F4191">
        <w:rPr>
          <w:b/>
          <w:bCs/>
          <w:lang w:val="pl-PL"/>
        </w:rPr>
        <w:t>są potencjałami wewnętrznymi (w tym mocnymi stronami) obszaru Partnerstwa</w:t>
      </w:r>
      <w:r w:rsidRPr="00733091">
        <w:rPr>
          <w:lang w:val="pl-PL"/>
        </w:rPr>
        <w:t>.</w:t>
      </w:r>
    </w:p>
    <w:p w14:paraId="7504D5B6" w14:textId="1BCE25D9" w:rsidR="0004527E" w:rsidRPr="00733091" w:rsidRDefault="0004527E" w:rsidP="00733091">
      <w:pPr>
        <w:rPr>
          <w:color w:val="001133"/>
          <w:shd w:val="clear" w:color="auto" w:fill="FFFFFF"/>
          <w:lang w:val="pl-PL"/>
        </w:rPr>
      </w:pPr>
      <w:r w:rsidRPr="00733091">
        <w:rPr>
          <w:color w:val="001133"/>
          <w:shd w:val="clear" w:color="auto" w:fill="FFFFFF"/>
          <w:lang w:val="pl-PL"/>
        </w:rPr>
        <w:t>O</w:t>
      </w:r>
      <w:r w:rsidRPr="00733091">
        <w:rPr>
          <w:shd w:val="clear" w:color="auto" w:fill="FFFFFF"/>
          <w:lang w:val="pl-PL"/>
        </w:rPr>
        <w:t xml:space="preserve">pis czynników wewnętrznych oraz wykaz potencjałów Partnerstwa, </w:t>
      </w:r>
      <w:r w:rsidRPr="002F4191">
        <w:rPr>
          <w:b/>
          <w:bCs/>
          <w:shd w:val="clear" w:color="auto" w:fill="FFFFFF"/>
          <w:lang w:val="pl-PL"/>
        </w:rPr>
        <w:t>opartych na zasobach i produktach</w:t>
      </w:r>
      <w:r w:rsidRPr="00733091">
        <w:rPr>
          <w:shd w:val="clear" w:color="auto" w:fill="FFFFFF"/>
          <w:lang w:val="pl-PL"/>
        </w:rPr>
        <w:t xml:space="preserve"> Partnerstwa prezentuje poniższa tabela.</w:t>
      </w:r>
    </w:p>
    <w:p w14:paraId="1AA65376" w14:textId="42C55197" w:rsidR="00C01FFB" w:rsidRDefault="0004527E" w:rsidP="002E24A9">
      <w:pPr>
        <w:pStyle w:val="Legenda"/>
        <w:rPr>
          <w:lang w:val="pl-PL"/>
        </w:rPr>
      </w:pPr>
      <w:bookmarkStart w:id="169" w:name="_Toc69723279"/>
      <w:r w:rsidRPr="00733091">
        <w:rPr>
          <w:lang w:val="pl-PL"/>
        </w:rPr>
        <w:t xml:space="preserve">Tabela </w:t>
      </w:r>
      <w:r w:rsidR="00733091">
        <w:fldChar w:fldCharType="begin"/>
      </w:r>
      <w:r w:rsidR="00733091" w:rsidRPr="00733091">
        <w:rPr>
          <w:lang w:val="pl-PL"/>
        </w:rPr>
        <w:instrText xml:space="preserve"> SEQ Tabela \* ARABIC </w:instrText>
      </w:r>
      <w:r w:rsidR="00733091">
        <w:fldChar w:fldCharType="separate"/>
      </w:r>
      <w:r w:rsidR="00B14787">
        <w:rPr>
          <w:noProof/>
          <w:lang w:val="pl-PL"/>
        </w:rPr>
        <w:t>30</w:t>
      </w:r>
      <w:r w:rsidR="00733091">
        <w:rPr>
          <w:noProof/>
        </w:rPr>
        <w:fldChar w:fldCharType="end"/>
      </w:r>
      <w:r w:rsidRPr="00733091">
        <w:rPr>
          <w:lang w:val="pl-PL"/>
        </w:rPr>
        <w:t>: Wewnętrzne czynniki rozwojowe o oddziaływaniu pozytywnym</w:t>
      </w:r>
      <w:bookmarkEnd w:id="169"/>
    </w:p>
    <w:tbl>
      <w:tblPr>
        <w:tblStyle w:val="CWD"/>
        <w:tblW w:w="0" w:type="auto"/>
        <w:tblLook w:val="04A0" w:firstRow="1" w:lastRow="0" w:firstColumn="1" w:lastColumn="0" w:noHBand="0" w:noVBand="1"/>
      </w:tblPr>
      <w:tblGrid>
        <w:gridCol w:w="1838"/>
        <w:gridCol w:w="3260"/>
        <w:gridCol w:w="3784"/>
      </w:tblGrid>
      <w:tr w:rsidR="007A0678" w:rsidRPr="00176303" w14:paraId="349AAA8F" w14:textId="77777777" w:rsidTr="007A0678">
        <w:trPr>
          <w:cnfStyle w:val="100000000000" w:firstRow="1" w:lastRow="0" w:firstColumn="0" w:lastColumn="0" w:oddVBand="0" w:evenVBand="0" w:oddHBand="0" w:evenHBand="0" w:firstRowFirstColumn="0" w:firstRowLastColumn="0" w:lastRowFirstColumn="0" w:lastRowLastColumn="0"/>
          <w:trHeight w:val="319"/>
          <w:tblHeader/>
        </w:trPr>
        <w:tc>
          <w:tcPr>
            <w:cnfStyle w:val="001000000000" w:firstRow="0" w:lastRow="0" w:firstColumn="1" w:lastColumn="0" w:oddVBand="0" w:evenVBand="0" w:oddHBand="0" w:evenHBand="0" w:firstRowFirstColumn="0" w:firstRowLastColumn="0" w:lastRowFirstColumn="0" w:lastRowLastColumn="0"/>
            <w:tcW w:w="1838" w:type="dxa"/>
          </w:tcPr>
          <w:p w14:paraId="63C04357" w14:textId="102B4979" w:rsidR="007A0678" w:rsidRDefault="007A0678" w:rsidP="007A0678">
            <w:pPr>
              <w:ind w:left="0"/>
              <w:rPr>
                <w:lang w:val="pl-PL"/>
              </w:rPr>
            </w:pPr>
            <w:r w:rsidRPr="004859BA">
              <w:rPr>
                <w:rFonts w:cstheme="minorHAnsi"/>
                <w:szCs w:val="24"/>
              </w:rPr>
              <w:t>Czynniki wewnętrzne</w:t>
            </w:r>
          </w:p>
        </w:tc>
        <w:tc>
          <w:tcPr>
            <w:tcW w:w="3260" w:type="dxa"/>
          </w:tcPr>
          <w:p w14:paraId="61E45DF5" w14:textId="67AE70C2" w:rsidR="007A0678" w:rsidRDefault="007A0678" w:rsidP="007A0678">
            <w:pPr>
              <w:ind w:left="0"/>
              <w:cnfStyle w:val="100000000000" w:firstRow="1" w:lastRow="0" w:firstColumn="0" w:lastColumn="0" w:oddVBand="0" w:evenVBand="0" w:oddHBand="0" w:evenHBand="0" w:firstRowFirstColumn="0" w:firstRowLastColumn="0" w:lastRowFirstColumn="0" w:lastRowLastColumn="0"/>
              <w:rPr>
                <w:lang w:val="pl-PL"/>
              </w:rPr>
            </w:pPr>
            <w:r w:rsidRPr="004859BA">
              <w:rPr>
                <w:rFonts w:cstheme="minorHAnsi"/>
                <w:szCs w:val="24"/>
              </w:rPr>
              <w:t>Opis czynnika wewnętrznego</w:t>
            </w:r>
          </w:p>
        </w:tc>
        <w:tc>
          <w:tcPr>
            <w:tcW w:w="3784" w:type="dxa"/>
          </w:tcPr>
          <w:p w14:paraId="10F57BCA" w14:textId="2A28BF75" w:rsidR="007A0678" w:rsidRDefault="007A0678" w:rsidP="007A0678">
            <w:pPr>
              <w:ind w:left="0"/>
              <w:cnfStyle w:val="100000000000" w:firstRow="1" w:lastRow="0" w:firstColumn="0" w:lastColumn="0" w:oddVBand="0" w:evenVBand="0" w:oddHBand="0" w:evenHBand="0" w:firstRowFirstColumn="0" w:firstRowLastColumn="0" w:lastRowFirstColumn="0" w:lastRowLastColumn="0"/>
              <w:rPr>
                <w:lang w:val="pl-PL"/>
              </w:rPr>
            </w:pPr>
            <w:r w:rsidRPr="007A0678">
              <w:rPr>
                <w:rFonts w:cstheme="minorHAnsi"/>
                <w:szCs w:val="24"/>
                <w:lang w:val="pl-PL"/>
              </w:rPr>
              <w:t>Zidentyfikowane potencjały (w tym mocne strony)</w:t>
            </w:r>
          </w:p>
        </w:tc>
      </w:tr>
      <w:tr w:rsidR="007A0678" w:rsidRPr="00176303" w14:paraId="443F2697" w14:textId="77777777" w:rsidTr="007A0678">
        <w:tc>
          <w:tcPr>
            <w:cnfStyle w:val="001000000000" w:firstRow="0" w:lastRow="0" w:firstColumn="1" w:lastColumn="0" w:oddVBand="0" w:evenVBand="0" w:oddHBand="0" w:evenHBand="0" w:firstRowFirstColumn="0" w:firstRowLastColumn="0" w:lastRowFirstColumn="0" w:lastRowLastColumn="0"/>
            <w:tcW w:w="1838" w:type="dxa"/>
          </w:tcPr>
          <w:p w14:paraId="54C4CECB" w14:textId="77777777" w:rsidR="007A0678" w:rsidRPr="004859BA" w:rsidRDefault="007A0678" w:rsidP="007A0678">
            <w:pPr>
              <w:pStyle w:val="elementgraficznytabela"/>
              <w:spacing w:before="100" w:beforeAutospacing="1" w:after="100" w:afterAutospacing="1"/>
              <w:contextualSpacing/>
              <w:rPr>
                <w:rFonts w:cstheme="minorHAnsi"/>
                <w:szCs w:val="24"/>
              </w:rPr>
            </w:pPr>
            <w:r w:rsidRPr="004859BA">
              <w:rPr>
                <w:rFonts w:cstheme="minorHAnsi"/>
                <w:szCs w:val="24"/>
              </w:rPr>
              <w:t>Społeczno-kulturowe</w:t>
            </w:r>
          </w:p>
          <w:p w14:paraId="1D3E2627" w14:textId="77777777" w:rsidR="007A0678" w:rsidRPr="004859BA" w:rsidRDefault="007A0678" w:rsidP="007A0678">
            <w:pPr>
              <w:pStyle w:val="elementgraficznytabela"/>
              <w:spacing w:before="100" w:beforeAutospacing="1" w:after="100" w:afterAutospacing="1"/>
              <w:contextualSpacing/>
              <w:rPr>
                <w:rFonts w:cstheme="minorHAnsi"/>
                <w:szCs w:val="24"/>
              </w:rPr>
            </w:pPr>
            <w:r w:rsidRPr="004859BA">
              <w:rPr>
                <w:rFonts w:cstheme="minorHAnsi"/>
                <w:szCs w:val="24"/>
              </w:rPr>
              <mc:AlternateContent>
                <mc:Choice Requires="wps">
                  <w:drawing>
                    <wp:anchor distT="0" distB="0" distL="114300" distR="114300" simplePos="0" relativeHeight="251658269" behindDoc="0" locked="0" layoutInCell="1" allowOverlap="1" wp14:anchorId="744A68ED" wp14:editId="65A8463B">
                      <wp:simplePos x="0" y="0"/>
                      <wp:positionH relativeFrom="column">
                        <wp:posOffset>-7620</wp:posOffset>
                      </wp:positionH>
                      <wp:positionV relativeFrom="paragraph">
                        <wp:posOffset>81915</wp:posOffset>
                      </wp:positionV>
                      <wp:extent cx="453390" cy="430530"/>
                      <wp:effectExtent l="0" t="0" r="22860" b="26670"/>
                      <wp:wrapNone/>
                      <wp:docPr id="87" name="Owal 87" descr="Grupa"/>
                      <wp:cNvGraphicFramePr/>
                      <a:graphic xmlns:a="http://schemas.openxmlformats.org/drawingml/2006/main">
                        <a:graphicData uri="http://schemas.microsoft.com/office/word/2010/wordprocessingShape">
                          <wps:wsp>
                            <wps:cNvSpPr/>
                            <wps:spPr>
                              <a:xfrm>
                                <a:off x="0" y="0"/>
                                <a:ext cx="453390" cy="430530"/>
                              </a:xfrm>
                              <a:prstGeom prst="ellipse">
                                <a:avLst/>
                              </a:prstGeom>
                              <a:blipFill>
                                <a:blip r:embed="rId166">
                                  <a:extLst>
                                    <a:ext uri="{96DAC541-7B7A-43D3-8B79-37D633B846F1}">
                                      <asvg:svgBlip xmlns:asvg="http://schemas.microsoft.com/office/drawing/2016/SVG/main" r:embed="rId167"/>
                                    </a:ext>
                                  </a:extLst>
                                </a:blip>
                                <a:srcRect/>
                                <a:stretch>
                                  <a:fillRect/>
                                </a:stretch>
                              </a:blipFill>
                              <a:ln w="9525"/>
                            </wps:spPr>
                            <wps:style>
                              <a:lnRef idx="3">
                                <a:scrgbClr r="0" g="0" b="0"/>
                              </a:lnRef>
                              <a:fillRef idx="1">
                                <a:scrgbClr r="0" g="0" b="0"/>
                              </a:fillRef>
                              <a:effectRef idx="1">
                                <a:schemeClr val="dk1">
                                  <a:tint val="40000"/>
                                  <a:hueOff val="0"/>
                                  <a:satOff val="0"/>
                                  <a:lumOff val="0"/>
                                  <a:alphaOff val="0"/>
                                </a:schemeClr>
                              </a:effectRef>
                              <a:fontRef idx="minor">
                                <a:schemeClr val="lt1">
                                  <a:hueOff val="0"/>
                                  <a:satOff val="0"/>
                                  <a:lumOff val="0"/>
                                  <a:alphaOff val="0"/>
                                </a:schemeClr>
                              </a:fontRef>
                            </wps:style>
                            <wps:bodyPr/>
                          </wps:wsp>
                        </a:graphicData>
                      </a:graphic>
                      <wp14:sizeRelH relativeFrom="margin">
                        <wp14:pctWidth>0</wp14:pctWidth>
                      </wp14:sizeRelH>
                      <wp14:sizeRelV relativeFrom="margin">
                        <wp14:pctHeight>0</wp14:pctHeight>
                      </wp14:sizeRelV>
                    </wp:anchor>
                  </w:drawing>
                </mc:Choice>
                <mc:Fallback>
                  <w:pict>
                    <v:oval w14:anchorId="750BA587" id="Owal 87" o:spid="_x0000_s1026" alt="Grupa" style="position:absolute;margin-left:-.6pt;margin-top:6.45pt;width:35.7pt;height:33.9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">
                      <v:fill r:id="rId168" o:title="Grupa" recolor="t" rotate="t" type="frame"/>
                      <v:stroke joinstyle="miter"/>
                    </v:oval>
                  </w:pict>
                </mc:Fallback>
              </mc:AlternateContent>
            </w:r>
          </w:p>
          <w:p w14:paraId="2C8DEFF1" w14:textId="77777777" w:rsidR="007A0678" w:rsidRDefault="007A0678" w:rsidP="007A0678">
            <w:pPr>
              <w:ind w:left="0"/>
              <w:rPr>
                <w:lang w:val="pl-PL"/>
              </w:rPr>
            </w:pPr>
          </w:p>
        </w:tc>
        <w:tc>
          <w:tcPr>
            <w:tcW w:w="3260" w:type="dxa"/>
          </w:tcPr>
          <w:p w14:paraId="5C3AA8AC" w14:textId="551D07D3" w:rsidR="007A0678" w:rsidRPr="007A0678" w:rsidRDefault="007A0678" w:rsidP="007A0678">
            <w:pPr>
              <w:pStyle w:val="elementgraficznytabela"/>
              <w:spacing w:before="100" w:beforeAutospacing="1" w:after="100" w:afterAutospacing="1"/>
              <w:contextualSpacing/>
              <w:cnfStyle w:val="000000000000" w:firstRow="0" w:lastRow="0" w:firstColumn="0" w:lastColumn="0" w:oddVBand="0" w:evenVBand="0" w:oddHBand="0" w:evenHBand="0" w:firstRowFirstColumn="0" w:firstRowLastColumn="0" w:lastRowFirstColumn="0" w:lastRowLastColumn="0"/>
              <w:rPr>
                <w:rFonts w:cstheme="minorHAnsi"/>
                <w:color w:val="000000"/>
                <w:szCs w:val="24"/>
                <w:shd w:val="clear" w:color="auto" w:fill="FFFFFF"/>
              </w:rPr>
            </w:pPr>
            <w:r w:rsidRPr="004859BA">
              <w:rPr>
                <w:rStyle w:val="kwal"/>
                <w:rFonts w:cstheme="minorHAnsi"/>
                <w:szCs w:val="24"/>
              </w:rPr>
              <w:t xml:space="preserve">Wskazuje na cechy demograficzne i społeczne populacji, a także </w:t>
            </w:r>
            <w:r w:rsidRPr="004859BA">
              <w:rPr>
                <w:rStyle w:val="def"/>
                <w:rFonts w:cstheme="minorHAnsi"/>
                <w:color w:val="000000"/>
                <w:szCs w:val="24"/>
                <w:shd w:val="clear" w:color="auto" w:fill="FFFFFF"/>
              </w:rPr>
              <w:t xml:space="preserve">zasoby wiedzy, umiejętności populacji (kapitał ludzki), określające zdolności do adaptacji do zmian w otoczeniu oraz możliwości kreacji nowych rozwiązań, ale </w:t>
            </w:r>
            <w:r w:rsidRPr="004859BA">
              <w:rPr>
                <w:rStyle w:val="kwal"/>
                <w:rFonts w:cstheme="minorHAnsi"/>
                <w:szCs w:val="24"/>
              </w:rPr>
              <w:t>także stabilizujące uwarunkowania dziedzictwa kulturowego obszaru (zabytki, tożsamość lokalna, patriotyzm)</w:t>
            </w:r>
          </w:p>
        </w:tc>
        <w:tc>
          <w:tcPr>
            <w:tcW w:w="3784" w:type="dxa"/>
          </w:tcPr>
          <w:p w14:paraId="717E8CED" w14:textId="77777777" w:rsidR="007A0678" w:rsidRPr="004859BA" w:rsidRDefault="007A0678" w:rsidP="00B063F0">
            <w:pPr>
              <w:pStyle w:val="elementgraficznytabela"/>
              <w:numPr>
                <w:ilvl w:val="0"/>
                <w:numId w:val="30"/>
              </w:numPr>
              <w:spacing w:before="100" w:beforeAutospacing="1" w:after="100" w:afterAutospacing="1"/>
              <w:contextualSpacing/>
              <w:cnfStyle w:val="000000000000" w:firstRow="0" w:lastRow="0" w:firstColumn="0" w:lastColumn="0" w:oddVBand="0" w:evenVBand="0" w:oddHBand="0" w:evenHBand="0" w:firstRowFirstColumn="0" w:firstRowLastColumn="0" w:lastRowFirstColumn="0" w:lastRowLastColumn="0"/>
              <w:rPr>
                <w:rFonts w:cstheme="minorHAnsi"/>
                <w:szCs w:val="24"/>
              </w:rPr>
            </w:pPr>
            <w:r w:rsidRPr="004859BA">
              <w:rPr>
                <w:rFonts w:cstheme="minorHAnsi"/>
                <w:szCs w:val="24"/>
              </w:rPr>
              <w:t>Liczebność populacji Południowych Mazur</w:t>
            </w:r>
          </w:p>
          <w:p w14:paraId="1EF15477" w14:textId="77777777" w:rsidR="007A0678" w:rsidRPr="004859BA" w:rsidRDefault="007A0678" w:rsidP="00B063F0">
            <w:pPr>
              <w:pStyle w:val="elementgraficznytabela"/>
              <w:numPr>
                <w:ilvl w:val="0"/>
                <w:numId w:val="30"/>
              </w:numPr>
              <w:spacing w:before="100" w:beforeAutospacing="1" w:after="100" w:afterAutospacing="1"/>
              <w:contextualSpacing/>
              <w:cnfStyle w:val="000000000000" w:firstRow="0" w:lastRow="0" w:firstColumn="0" w:lastColumn="0" w:oddVBand="0" w:evenVBand="0" w:oddHBand="0" w:evenHBand="0" w:firstRowFirstColumn="0" w:firstRowLastColumn="0" w:lastRowFirstColumn="0" w:lastRowLastColumn="0"/>
              <w:rPr>
                <w:rFonts w:cstheme="minorHAnsi"/>
                <w:szCs w:val="24"/>
              </w:rPr>
            </w:pPr>
            <w:r w:rsidRPr="004859BA">
              <w:rPr>
                <w:rFonts w:cstheme="minorHAnsi"/>
                <w:szCs w:val="24"/>
              </w:rPr>
              <w:t>Więzi i tradycje rodzinne</w:t>
            </w:r>
          </w:p>
          <w:p w14:paraId="2B421028" w14:textId="77777777" w:rsidR="007A0678" w:rsidRPr="004859BA" w:rsidRDefault="007A0678" w:rsidP="00B063F0">
            <w:pPr>
              <w:pStyle w:val="elementgraficznytabela"/>
              <w:numPr>
                <w:ilvl w:val="0"/>
                <w:numId w:val="30"/>
              </w:numPr>
              <w:spacing w:before="100" w:beforeAutospacing="1" w:after="100" w:afterAutospacing="1"/>
              <w:contextualSpacing/>
              <w:cnfStyle w:val="000000000000" w:firstRow="0" w:lastRow="0" w:firstColumn="0" w:lastColumn="0" w:oddVBand="0" w:evenVBand="0" w:oddHBand="0" w:evenHBand="0" w:firstRowFirstColumn="0" w:firstRowLastColumn="0" w:lastRowFirstColumn="0" w:lastRowLastColumn="0"/>
              <w:rPr>
                <w:rFonts w:cstheme="minorHAnsi"/>
                <w:szCs w:val="24"/>
              </w:rPr>
            </w:pPr>
            <w:r w:rsidRPr="004859BA">
              <w:rPr>
                <w:rFonts w:cstheme="minorHAnsi"/>
                <w:szCs w:val="24"/>
              </w:rPr>
              <w:t>Więzi społeczne</w:t>
            </w:r>
          </w:p>
          <w:p w14:paraId="2072877B" w14:textId="77777777" w:rsidR="007A0678" w:rsidRPr="004859BA" w:rsidRDefault="007A0678" w:rsidP="00B063F0">
            <w:pPr>
              <w:pStyle w:val="elementgraficznytabela"/>
              <w:numPr>
                <w:ilvl w:val="0"/>
                <w:numId w:val="30"/>
              </w:numPr>
              <w:spacing w:before="100" w:beforeAutospacing="1" w:after="100" w:afterAutospacing="1"/>
              <w:contextualSpacing/>
              <w:cnfStyle w:val="000000000000" w:firstRow="0" w:lastRow="0" w:firstColumn="0" w:lastColumn="0" w:oddVBand="0" w:evenVBand="0" w:oddHBand="0" w:evenHBand="0" w:firstRowFirstColumn="0" w:firstRowLastColumn="0" w:lastRowFirstColumn="0" w:lastRowLastColumn="0"/>
              <w:rPr>
                <w:rFonts w:cstheme="minorHAnsi"/>
                <w:szCs w:val="24"/>
              </w:rPr>
            </w:pPr>
            <w:r w:rsidRPr="004859BA">
              <w:rPr>
                <w:rFonts w:cstheme="minorHAnsi"/>
                <w:szCs w:val="24"/>
              </w:rPr>
              <w:t>Relatywnie niski poziom przestępczości</w:t>
            </w:r>
          </w:p>
          <w:p w14:paraId="64C42EF5" w14:textId="77777777" w:rsidR="007A0678" w:rsidRPr="004859BA" w:rsidRDefault="007A0678" w:rsidP="00B063F0">
            <w:pPr>
              <w:pStyle w:val="elementgraficznytabela"/>
              <w:numPr>
                <w:ilvl w:val="0"/>
                <w:numId w:val="30"/>
              </w:numPr>
              <w:spacing w:before="100" w:beforeAutospacing="1" w:after="100" w:afterAutospacing="1"/>
              <w:contextualSpacing/>
              <w:cnfStyle w:val="000000000000" w:firstRow="0" w:lastRow="0" w:firstColumn="0" w:lastColumn="0" w:oddVBand="0" w:evenVBand="0" w:oddHBand="0" w:evenHBand="0" w:firstRowFirstColumn="0" w:firstRowLastColumn="0" w:lastRowFirstColumn="0" w:lastRowLastColumn="0"/>
              <w:rPr>
                <w:rFonts w:cstheme="minorHAnsi"/>
                <w:szCs w:val="24"/>
              </w:rPr>
            </w:pPr>
            <w:r w:rsidRPr="004859BA">
              <w:rPr>
                <w:rFonts w:cstheme="minorHAnsi"/>
                <w:szCs w:val="24"/>
              </w:rPr>
              <w:t>Wielokulturowość</w:t>
            </w:r>
          </w:p>
          <w:p w14:paraId="554A4C76" w14:textId="77777777" w:rsidR="007A0678" w:rsidRPr="004859BA" w:rsidRDefault="007A0678" w:rsidP="00B063F0">
            <w:pPr>
              <w:pStyle w:val="elementgraficznytabela"/>
              <w:numPr>
                <w:ilvl w:val="0"/>
                <w:numId w:val="30"/>
              </w:numPr>
              <w:spacing w:before="100" w:beforeAutospacing="1" w:after="100" w:afterAutospacing="1"/>
              <w:contextualSpacing/>
              <w:cnfStyle w:val="000000000000" w:firstRow="0" w:lastRow="0" w:firstColumn="0" w:lastColumn="0" w:oddVBand="0" w:evenVBand="0" w:oddHBand="0" w:evenHBand="0" w:firstRowFirstColumn="0" w:firstRowLastColumn="0" w:lastRowFirstColumn="0" w:lastRowLastColumn="0"/>
              <w:rPr>
                <w:rFonts w:cstheme="minorHAnsi"/>
                <w:szCs w:val="24"/>
              </w:rPr>
            </w:pPr>
            <w:r w:rsidRPr="004859BA">
              <w:rPr>
                <w:rFonts w:cstheme="minorHAnsi"/>
                <w:szCs w:val="24"/>
              </w:rPr>
              <w:t>Dziedzictwo kulturowe Warmii i Mazur</w:t>
            </w:r>
          </w:p>
          <w:p w14:paraId="7FF3F573" w14:textId="77777777" w:rsidR="007A0678" w:rsidRDefault="007A0678" w:rsidP="00B063F0">
            <w:pPr>
              <w:pStyle w:val="elementgraficznytabela"/>
              <w:numPr>
                <w:ilvl w:val="0"/>
                <w:numId w:val="30"/>
              </w:numPr>
              <w:spacing w:before="100" w:beforeAutospacing="1" w:after="100" w:afterAutospacing="1"/>
              <w:contextualSpacing/>
              <w:cnfStyle w:val="000000000000" w:firstRow="0" w:lastRow="0" w:firstColumn="0" w:lastColumn="0" w:oddVBand="0" w:evenVBand="0" w:oddHBand="0" w:evenHBand="0" w:firstRowFirstColumn="0" w:firstRowLastColumn="0" w:lastRowFirstColumn="0" w:lastRowLastColumn="0"/>
              <w:rPr>
                <w:rFonts w:cstheme="minorHAnsi"/>
                <w:szCs w:val="24"/>
              </w:rPr>
            </w:pPr>
            <w:r w:rsidRPr="004859BA">
              <w:rPr>
                <w:rFonts w:cstheme="minorHAnsi"/>
                <w:szCs w:val="24"/>
              </w:rPr>
              <w:t>Zabytki materialne i pomniki przyrody</w:t>
            </w:r>
          </w:p>
          <w:p w14:paraId="67D3AB67" w14:textId="77777777" w:rsidR="005E6B0D" w:rsidRDefault="007A0678" w:rsidP="00B063F0">
            <w:pPr>
              <w:pStyle w:val="elementgraficznytabela"/>
              <w:numPr>
                <w:ilvl w:val="0"/>
                <w:numId w:val="30"/>
              </w:numPr>
              <w:spacing w:before="100" w:beforeAutospacing="1" w:after="100" w:afterAutospacing="1"/>
              <w:contextualSpacing/>
              <w:cnfStyle w:val="000000000000" w:firstRow="0" w:lastRow="0" w:firstColumn="0" w:lastColumn="0" w:oddVBand="0" w:evenVBand="0" w:oddHBand="0" w:evenHBand="0" w:firstRowFirstColumn="0" w:firstRowLastColumn="0" w:lastRowFirstColumn="0" w:lastRowLastColumn="0"/>
              <w:rPr>
                <w:rFonts w:cstheme="minorHAnsi"/>
                <w:szCs w:val="24"/>
              </w:rPr>
            </w:pPr>
            <w:r w:rsidRPr="007A0678">
              <w:rPr>
                <w:rFonts w:cstheme="minorHAnsi"/>
                <w:szCs w:val="24"/>
              </w:rPr>
              <w:t>Tożsamość lokalna</w:t>
            </w:r>
          </w:p>
          <w:p w14:paraId="5165AA32" w14:textId="48F7D736" w:rsidR="005E6B0D" w:rsidRPr="005E6B0D" w:rsidRDefault="005E6B0D" w:rsidP="00B063F0">
            <w:pPr>
              <w:pStyle w:val="elementgraficznytabela"/>
              <w:numPr>
                <w:ilvl w:val="0"/>
                <w:numId w:val="30"/>
              </w:numPr>
              <w:spacing w:before="100" w:beforeAutospacing="1" w:after="100" w:afterAutospacing="1"/>
              <w:contextualSpacing/>
              <w:cnfStyle w:val="000000000000" w:firstRow="0" w:lastRow="0" w:firstColumn="0" w:lastColumn="0" w:oddVBand="0" w:evenVBand="0" w:oddHBand="0" w:evenHBand="0" w:firstRowFirstColumn="0" w:firstRowLastColumn="0" w:lastRowFirstColumn="0" w:lastRowLastColumn="0"/>
              <w:rPr>
                <w:rFonts w:cstheme="minorHAnsi"/>
                <w:szCs w:val="24"/>
              </w:rPr>
            </w:pPr>
            <w:r>
              <w:rPr>
                <w:rFonts w:cstheme="minorHAnsi"/>
                <w:szCs w:val="24"/>
              </w:rPr>
              <w:t>Istniejące wewnętrzne p</w:t>
            </w:r>
            <w:r w:rsidRPr="004859BA">
              <w:rPr>
                <w:rFonts w:cstheme="minorHAnsi"/>
                <w:szCs w:val="24"/>
              </w:rPr>
              <w:t>owiązania funkcjonalne</w:t>
            </w:r>
            <w:r>
              <w:rPr>
                <w:rFonts w:cstheme="minorHAnsi"/>
                <w:szCs w:val="24"/>
              </w:rPr>
              <w:t xml:space="preserve"> (usługi publiczne)</w:t>
            </w:r>
          </w:p>
        </w:tc>
      </w:tr>
      <w:tr w:rsidR="007A0678" w:rsidRPr="00CA3C7E" w14:paraId="6D7C4681" w14:textId="77777777" w:rsidTr="007A0678">
        <w:tc>
          <w:tcPr>
            <w:cnfStyle w:val="001000000000" w:firstRow="0" w:lastRow="0" w:firstColumn="1" w:lastColumn="0" w:oddVBand="0" w:evenVBand="0" w:oddHBand="0" w:evenHBand="0" w:firstRowFirstColumn="0" w:firstRowLastColumn="0" w:lastRowFirstColumn="0" w:lastRowLastColumn="0"/>
            <w:tcW w:w="1838" w:type="dxa"/>
          </w:tcPr>
          <w:p w14:paraId="45B8544F" w14:textId="44863FB5" w:rsidR="007A0678" w:rsidRDefault="007A0678" w:rsidP="007A0678">
            <w:pPr>
              <w:ind w:left="0"/>
              <w:rPr>
                <w:lang w:val="pl-PL"/>
              </w:rPr>
            </w:pPr>
            <w:r w:rsidRPr="004859BA">
              <w:rPr>
                <w:rFonts w:cstheme="minorHAnsi"/>
                <w:noProof/>
                <w:szCs w:val="24"/>
              </w:rPr>
              <mc:AlternateContent>
                <mc:Choice Requires="wps">
                  <w:drawing>
                    <wp:anchor distT="0" distB="0" distL="114300" distR="114300" simplePos="0" relativeHeight="251658271" behindDoc="0" locked="0" layoutInCell="1" allowOverlap="1" wp14:anchorId="5A68EE7A" wp14:editId="46D6B09E">
                      <wp:simplePos x="0" y="0"/>
                      <wp:positionH relativeFrom="column">
                        <wp:posOffset>43815</wp:posOffset>
                      </wp:positionH>
                      <wp:positionV relativeFrom="paragraph">
                        <wp:posOffset>619125</wp:posOffset>
                      </wp:positionV>
                      <wp:extent cx="502920" cy="487680"/>
                      <wp:effectExtent l="0" t="0" r="11430" b="26670"/>
                      <wp:wrapNone/>
                      <wp:docPr id="117" name="Owal 117" descr="Mapa z pinezką"/>
                      <wp:cNvGraphicFramePr/>
                      <a:graphic xmlns:a="http://schemas.openxmlformats.org/drawingml/2006/main">
                        <a:graphicData uri="http://schemas.microsoft.com/office/word/2010/wordprocessingShape">
                          <wps:wsp>
                            <wps:cNvSpPr/>
                            <wps:spPr>
                              <a:xfrm>
                                <a:off x="0" y="0"/>
                                <a:ext cx="502920" cy="487680"/>
                              </a:xfrm>
                              <a:prstGeom prst="ellipse">
                                <a:avLst/>
                              </a:prstGeom>
                              <a:blipFill>
                                <a:blip r:embed="rId169">
                                  <a:extLst>
                                    <a:ext uri="{96DAC541-7B7A-43D3-8B79-37D633B846F1}">
                                      <asvg:svgBlip xmlns:asvg="http://schemas.microsoft.com/office/drawing/2016/SVG/main" r:embed="rId170"/>
                                    </a:ext>
                                  </a:extLst>
                                </a:blip>
                                <a:srcRect/>
                                <a:stretch>
                                  <a:fillRect/>
                                </a:stretch>
                              </a:blipFill>
                              <a:ln w="9525"/>
                            </wps:spPr>
                            <wps:style>
                              <a:lnRef idx="3">
                                <a:scrgbClr r="0" g="0" b="0"/>
                              </a:lnRef>
                              <a:fillRef idx="1">
                                <a:scrgbClr r="0" g="0" b="0"/>
                              </a:fillRef>
                              <a:effectRef idx="1">
                                <a:schemeClr val="dk1">
                                  <a:tint val="40000"/>
                                  <a:hueOff val="0"/>
                                  <a:satOff val="0"/>
                                  <a:lumOff val="0"/>
                                  <a:alphaOff val="0"/>
                                </a:schemeClr>
                              </a:effectRef>
                              <a:fontRef idx="minor">
                                <a:schemeClr val="lt1">
                                  <a:hueOff val="0"/>
                                  <a:satOff val="0"/>
                                  <a:lumOff val="0"/>
                                  <a:alphaOff val="0"/>
                                </a:schemeClr>
                              </a:fontRef>
                            </wps:style>
                            <wps:bodyPr/>
                          </wps:wsp>
                        </a:graphicData>
                      </a:graphic>
                      <wp14:sizeRelH relativeFrom="margin">
                        <wp14:pctWidth>0</wp14:pctWidth>
                      </wp14:sizeRelH>
                      <wp14:sizeRelV relativeFrom="margin">
                        <wp14:pctHeight>0</wp14:pctHeight>
                      </wp14:sizeRelV>
                    </wp:anchor>
                  </w:drawing>
                </mc:Choice>
                <mc:Fallback>
                  <w:pict>
                    <v:oval w14:anchorId="15DDB636" id="Owal 117" o:spid="_x0000_s1026" alt="Mapa z pinezką" style="position:absolute;margin-left:3.45pt;margin-top:48.75pt;width:39.6pt;height:38.4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">
                      <v:fill r:id="rId171" o:title="Mapa z pinezką" recolor="t" rotate="t" type="frame"/>
                      <v:stroke joinstyle="miter"/>
                    </v:oval>
                  </w:pict>
                </mc:Fallback>
              </mc:AlternateContent>
            </w:r>
            <w:r>
              <w:rPr>
                <w:lang w:val="pl-PL"/>
              </w:rPr>
              <w:t xml:space="preserve">Przestrzenne i techniczne </w:t>
            </w:r>
            <w:r>
              <w:rPr>
                <w:lang w:val="pl-PL"/>
              </w:rPr>
              <w:br/>
            </w:r>
          </w:p>
        </w:tc>
        <w:tc>
          <w:tcPr>
            <w:tcW w:w="3260" w:type="dxa"/>
          </w:tcPr>
          <w:p w14:paraId="050A7373" w14:textId="77777777" w:rsidR="007A0678" w:rsidRPr="004859BA" w:rsidRDefault="007A0678" w:rsidP="007A0678">
            <w:pPr>
              <w:pStyle w:val="elementgraficznytabela"/>
              <w:spacing w:before="100" w:beforeAutospacing="1" w:after="100" w:afterAutospacing="1"/>
              <w:contextualSpacing/>
              <w:cnfStyle w:val="000000000000" w:firstRow="0" w:lastRow="0" w:firstColumn="0" w:lastColumn="0" w:oddVBand="0" w:evenVBand="0" w:oddHBand="0" w:evenHBand="0" w:firstRowFirstColumn="0" w:firstRowLastColumn="0" w:lastRowFirstColumn="0" w:lastRowLastColumn="0"/>
              <w:rPr>
                <w:rFonts w:cstheme="minorHAnsi"/>
                <w:szCs w:val="24"/>
              </w:rPr>
            </w:pPr>
            <w:r w:rsidRPr="004859BA">
              <w:rPr>
                <w:rFonts w:cstheme="minorHAnsi"/>
                <w:szCs w:val="24"/>
              </w:rPr>
              <w:t xml:space="preserve">Wskazuje na cechy przestrzenne obszaru (położenie, w tym gospodarcze, sieć osadnicza, obszary o określonej funkcji, tereny inwestycyjne), a także warunki technologiczne (infrastruktura techniczna, sieć dróg i kolei, połączenia komunikacyjne) </w:t>
            </w:r>
            <w:r w:rsidRPr="004859BA">
              <w:rPr>
                <w:rStyle w:val="def"/>
                <w:rFonts w:cstheme="minorHAnsi"/>
                <w:color w:val="000000"/>
                <w:szCs w:val="24"/>
                <w:shd w:val="clear" w:color="auto" w:fill="FFFFFF"/>
              </w:rPr>
              <w:t>określające zdolności obszaru do rozwoju</w:t>
            </w:r>
          </w:p>
          <w:p w14:paraId="4B87324A" w14:textId="77777777" w:rsidR="007A0678" w:rsidRDefault="007A0678" w:rsidP="007A0678">
            <w:pPr>
              <w:ind w:left="0"/>
              <w:cnfStyle w:val="000000000000" w:firstRow="0" w:lastRow="0" w:firstColumn="0" w:lastColumn="0" w:oddVBand="0" w:evenVBand="0" w:oddHBand="0" w:evenHBand="0" w:firstRowFirstColumn="0" w:firstRowLastColumn="0" w:lastRowFirstColumn="0" w:lastRowLastColumn="0"/>
              <w:rPr>
                <w:lang w:val="pl-PL"/>
              </w:rPr>
            </w:pPr>
          </w:p>
        </w:tc>
        <w:tc>
          <w:tcPr>
            <w:tcW w:w="3784" w:type="dxa"/>
          </w:tcPr>
          <w:p w14:paraId="43914779" w14:textId="30E91A95" w:rsidR="007A0678" w:rsidRPr="004859BA" w:rsidRDefault="007A0678" w:rsidP="00B063F0">
            <w:pPr>
              <w:pStyle w:val="elementgraficznytabela"/>
              <w:numPr>
                <w:ilvl w:val="0"/>
                <w:numId w:val="30"/>
              </w:numPr>
              <w:spacing w:before="100" w:beforeAutospacing="1" w:after="100" w:afterAutospacing="1"/>
              <w:contextualSpacing/>
              <w:cnfStyle w:val="000000000000" w:firstRow="0" w:lastRow="0" w:firstColumn="0" w:lastColumn="0" w:oddVBand="0" w:evenVBand="0" w:oddHBand="0" w:evenHBand="0" w:firstRowFirstColumn="0" w:firstRowLastColumn="0" w:lastRowFirstColumn="0" w:lastRowLastColumn="0"/>
              <w:rPr>
                <w:rFonts w:cstheme="minorHAnsi"/>
                <w:szCs w:val="24"/>
              </w:rPr>
            </w:pPr>
            <w:r w:rsidRPr="004859BA">
              <w:rPr>
                <w:rFonts w:cstheme="minorHAnsi"/>
                <w:szCs w:val="24"/>
              </w:rPr>
              <w:t xml:space="preserve">Samowystarczalność </w:t>
            </w:r>
            <w:r w:rsidR="005E6B0D">
              <w:rPr>
                <w:rFonts w:cstheme="minorHAnsi"/>
                <w:szCs w:val="24"/>
              </w:rPr>
              <w:t xml:space="preserve">i wielofunkcyjność </w:t>
            </w:r>
            <w:r w:rsidRPr="004859BA">
              <w:rPr>
                <w:rFonts w:cstheme="minorHAnsi"/>
                <w:szCs w:val="24"/>
              </w:rPr>
              <w:t>obszaru</w:t>
            </w:r>
          </w:p>
          <w:p w14:paraId="732C5AED" w14:textId="75E1A114" w:rsidR="007A0678" w:rsidRPr="005E6B0D" w:rsidRDefault="007A0678" w:rsidP="00B063F0">
            <w:pPr>
              <w:pStyle w:val="elementgraficznytabela"/>
              <w:numPr>
                <w:ilvl w:val="0"/>
                <w:numId w:val="30"/>
              </w:numPr>
              <w:spacing w:before="100" w:beforeAutospacing="1" w:after="100" w:afterAutospacing="1"/>
              <w:contextualSpacing/>
              <w:cnfStyle w:val="000000000000" w:firstRow="0" w:lastRow="0" w:firstColumn="0" w:lastColumn="0" w:oddVBand="0" w:evenVBand="0" w:oddHBand="0" w:evenHBand="0" w:firstRowFirstColumn="0" w:firstRowLastColumn="0" w:lastRowFirstColumn="0" w:lastRowLastColumn="0"/>
              <w:rPr>
                <w:rFonts w:cstheme="minorHAnsi"/>
                <w:szCs w:val="24"/>
              </w:rPr>
            </w:pPr>
            <w:r w:rsidRPr="004859BA">
              <w:rPr>
                <w:rFonts w:cstheme="minorHAnsi"/>
                <w:szCs w:val="24"/>
              </w:rPr>
              <w:t>Policentryczność</w:t>
            </w:r>
          </w:p>
          <w:p w14:paraId="07A922E6" w14:textId="77777777" w:rsidR="007A0678" w:rsidRPr="004859BA" w:rsidRDefault="007A0678" w:rsidP="00B063F0">
            <w:pPr>
              <w:pStyle w:val="elementgraficznytabela"/>
              <w:numPr>
                <w:ilvl w:val="0"/>
                <w:numId w:val="30"/>
              </w:numPr>
              <w:spacing w:before="100" w:beforeAutospacing="1" w:after="100" w:afterAutospacing="1"/>
              <w:contextualSpacing/>
              <w:cnfStyle w:val="000000000000" w:firstRow="0" w:lastRow="0" w:firstColumn="0" w:lastColumn="0" w:oddVBand="0" w:evenVBand="0" w:oddHBand="0" w:evenHBand="0" w:firstRowFirstColumn="0" w:firstRowLastColumn="0" w:lastRowFirstColumn="0" w:lastRowLastColumn="0"/>
              <w:rPr>
                <w:rFonts w:cstheme="minorHAnsi"/>
                <w:szCs w:val="24"/>
              </w:rPr>
            </w:pPr>
            <w:r w:rsidRPr="004859BA">
              <w:rPr>
                <w:rFonts w:cstheme="minorHAnsi"/>
                <w:szCs w:val="24"/>
              </w:rPr>
              <w:t xml:space="preserve">Bliskość ośrodka subregionalnego </w:t>
            </w:r>
            <w:r w:rsidRPr="004859BA">
              <w:rPr>
                <w:rFonts w:cstheme="minorHAnsi"/>
                <w:szCs w:val="24"/>
              </w:rPr>
              <w:br/>
              <w:t>i wojewódzkiego</w:t>
            </w:r>
          </w:p>
          <w:p w14:paraId="7EAC7B23" w14:textId="77777777" w:rsidR="007A0678" w:rsidRPr="004859BA" w:rsidRDefault="007A0678" w:rsidP="00B063F0">
            <w:pPr>
              <w:pStyle w:val="elementgraficznytabela"/>
              <w:numPr>
                <w:ilvl w:val="0"/>
                <w:numId w:val="30"/>
              </w:numPr>
              <w:spacing w:before="100" w:beforeAutospacing="1" w:after="100" w:afterAutospacing="1"/>
              <w:contextualSpacing/>
              <w:cnfStyle w:val="000000000000" w:firstRow="0" w:lastRow="0" w:firstColumn="0" w:lastColumn="0" w:oddVBand="0" w:evenVBand="0" w:oddHBand="0" w:evenHBand="0" w:firstRowFirstColumn="0" w:firstRowLastColumn="0" w:lastRowFirstColumn="0" w:lastRowLastColumn="0"/>
              <w:rPr>
                <w:rFonts w:cstheme="minorHAnsi"/>
                <w:szCs w:val="24"/>
              </w:rPr>
            </w:pPr>
            <w:r w:rsidRPr="004859BA">
              <w:rPr>
                <w:rFonts w:cstheme="minorHAnsi"/>
                <w:szCs w:val="24"/>
              </w:rPr>
              <w:t xml:space="preserve">Przestrzeń przyrodnicza (parki narodowe, obszary </w:t>
            </w:r>
            <w:r w:rsidRPr="004859BA">
              <w:rPr>
                <w:rFonts w:cstheme="minorHAnsi"/>
                <w:szCs w:val="24"/>
              </w:rPr>
              <w:lastRenderedPageBreak/>
              <w:t>chronionego krajobrazu) i „wolnego czasu”</w:t>
            </w:r>
          </w:p>
          <w:p w14:paraId="39FCE6A6" w14:textId="77777777" w:rsidR="007A0678" w:rsidRPr="004859BA" w:rsidRDefault="007A0678" w:rsidP="00B063F0">
            <w:pPr>
              <w:pStyle w:val="elementgraficznytabela"/>
              <w:numPr>
                <w:ilvl w:val="0"/>
                <w:numId w:val="30"/>
              </w:numPr>
              <w:spacing w:before="100" w:beforeAutospacing="1" w:after="100" w:afterAutospacing="1"/>
              <w:contextualSpacing/>
              <w:cnfStyle w:val="000000000000" w:firstRow="0" w:lastRow="0" w:firstColumn="0" w:lastColumn="0" w:oddVBand="0" w:evenVBand="0" w:oddHBand="0" w:evenHBand="0" w:firstRowFirstColumn="0" w:firstRowLastColumn="0" w:lastRowFirstColumn="0" w:lastRowLastColumn="0"/>
              <w:rPr>
                <w:rFonts w:cstheme="minorHAnsi"/>
                <w:szCs w:val="24"/>
              </w:rPr>
            </w:pPr>
            <w:r w:rsidRPr="004859BA">
              <w:rPr>
                <w:rFonts w:cstheme="minorHAnsi"/>
                <w:szCs w:val="24"/>
              </w:rPr>
              <w:t>Istniejąca infrastruktura drogowa</w:t>
            </w:r>
          </w:p>
          <w:p w14:paraId="36294EBD" w14:textId="77777777" w:rsidR="007A0678" w:rsidRPr="004859BA" w:rsidRDefault="007A0678" w:rsidP="00B063F0">
            <w:pPr>
              <w:pStyle w:val="elementgraficznytabela"/>
              <w:numPr>
                <w:ilvl w:val="0"/>
                <w:numId w:val="30"/>
              </w:numPr>
              <w:spacing w:before="100" w:beforeAutospacing="1" w:after="100" w:afterAutospacing="1"/>
              <w:contextualSpacing/>
              <w:cnfStyle w:val="000000000000" w:firstRow="0" w:lastRow="0" w:firstColumn="0" w:lastColumn="0" w:oddVBand="0" w:evenVBand="0" w:oddHBand="0" w:evenHBand="0" w:firstRowFirstColumn="0" w:firstRowLastColumn="0" w:lastRowFirstColumn="0" w:lastRowLastColumn="0"/>
              <w:rPr>
                <w:rFonts w:cstheme="minorHAnsi"/>
                <w:szCs w:val="24"/>
              </w:rPr>
            </w:pPr>
            <w:r w:rsidRPr="004859BA">
              <w:rPr>
                <w:rFonts w:cstheme="minorHAnsi"/>
                <w:szCs w:val="24"/>
              </w:rPr>
              <w:t>Istniejąca infrastruktura sportowo-rekreacyjna i wypoczynkowa</w:t>
            </w:r>
          </w:p>
          <w:p w14:paraId="69BE79BB" w14:textId="77777777" w:rsidR="007A0678" w:rsidRPr="004859BA" w:rsidRDefault="007A0678" w:rsidP="00B063F0">
            <w:pPr>
              <w:pStyle w:val="elementgraficznytabela"/>
              <w:numPr>
                <w:ilvl w:val="0"/>
                <w:numId w:val="30"/>
              </w:numPr>
              <w:spacing w:before="100" w:beforeAutospacing="1" w:after="100" w:afterAutospacing="1"/>
              <w:contextualSpacing/>
              <w:cnfStyle w:val="000000000000" w:firstRow="0" w:lastRow="0" w:firstColumn="0" w:lastColumn="0" w:oddVBand="0" w:evenVBand="0" w:oddHBand="0" w:evenHBand="0" w:firstRowFirstColumn="0" w:firstRowLastColumn="0" w:lastRowFirstColumn="0" w:lastRowLastColumn="0"/>
              <w:rPr>
                <w:rFonts w:cstheme="minorHAnsi"/>
                <w:szCs w:val="24"/>
              </w:rPr>
            </w:pPr>
            <w:r w:rsidRPr="004859BA">
              <w:rPr>
                <w:rFonts w:cstheme="minorHAnsi"/>
                <w:szCs w:val="24"/>
              </w:rPr>
              <w:t>Istniejąca infrastruktura społeczna (w tym zdrowotna)</w:t>
            </w:r>
          </w:p>
          <w:p w14:paraId="4B50E94D" w14:textId="77777777" w:rsidR="007A0678" w:rsidRPr="004859BA" w:rsidRDefault="007A0678" w:rsidP="00B063F0">
            <w:pPr>
              <w:pStyle w:val="elementgraficznytabela"/>
              <w:numPr>
                <w:ilvl w:val="0"/>
                <w:numId w:val="30"/>
              </w:numPr>
              <w:spacing w:before="100" w:beforeAutospacing="1" w:after="100" w:afterAutospacing="1"/>
              <w:contextualSpacing/>
              <w:cnfStyle w:val="000000000000" w:firstRow="0" w:lastRow="0" w:firstColumn="0" w:lastColumn="0" w:oddVBand="0" w:evenVBand="0" w:oddHBand="0" w:evenHBand="0" w:firstRowFirstColumn="0" w:firstRowLastColumn="0" w:lastRowFirstColumn="0" w:lastRowLastColumn="0"/>
              <w:rPr>
                <w:rFonts w:cstheme="minorHAnsi"/>
                <w:szCs w:val="24"/>
              </w:rPr>
            </w:pPr>
            <w:r w:rsidRPr="004859BA">
              <w:rPr>
                <w:rFonts w:cstheme="minorHAnsi"/>
                <w:szCs w:val="24"/>
              </w:rPr>
              <w:t>Dobra dostępność i odpowiednia jakość sieci gazowych i elektrycznych, uzupełnionych OZE</w:t>
            </w:r>
          </w:p>
          <w:p w14:paraId="5E69E29B" w14:textId="77777777" w:rsidR="005E6B0D" w:rsidRDefault="005E6B0D" w:rsidP="00B063F0">
            <w:pPr>
              <w:pStyle w:val="elementgraficznytabela"/>
              <w:numPr>
                <w:ilvl w:val="0"/>
                <w:numId w:val="30"/>
              </w:numPr>
              <w:spacing w:before="100" w:beforeAutospacing="1" w:after="100" w:afterAutospacing="1"/>
              <w:contextualSpacing/>
              <w:cnfStyle w:val="000000000000" w:firstRow="0" w:lastRow="0" w:firstColumn="0" w:lastColumn="0" w:oddVBand="0" w:evenVBand="0" w:oddHBand="0" w:evenHBand="0" w:firstRowFirstColumn="0" w:firstRowLastColumn="0" w:lastRowFirstColumn="0" w:lastRowLastColumn="0"/>
              <w:rPr>
                <w:rFonts w:cstheme="minorHAnsi"/>
                <w:szCs w:val="24"/>
              </w:rPr>
            </w:pPr>
            <w:r>
              <w:rPr>
                <w:rFonts w:cstheme="minorHAnsi"/>
                <w:szCs w:val="24"/>
              </w:rPr>
              <w:t>Istniejące p</w:t>
            </w:r>
            <w:r w:rsidR="007A0678" w:rsidRPr="004859BA">
              <w:rPr>
                <w:rFonts w:cstheme="minorHAnsi"/>
                <w:szCs w:val="24"/>
              </w:rPr>
              <w:t xml:space="preserve">ołączenia komunikacyjne: lotnisko w Szymanach, </w:t>
            </w:r>
          </w:p>
          <w:p w14:paraId="743AF45A" w14:textId="0B9D5A19" w:rsidR="007A0678" w:rsidRDefault="005E6B0D" w:rsidP="00B063F0">
            <w:pPr>
              <w:pStyle w:val="elementgraficznytabela"/>
              <w:numPr>
                <w:ilvl w:val="0"/>
                <w:numId w:val="30"/>
              </w:numPr>
              <w:spacing w:before="100" w:beforeAutospacing="1" w:after="100" w:afterAutospacing="1"/>
              <w:contextualSpacing/>
              <w:cnfStyle w:val="000000000000" w:firstRow="0" w:lastRow="0" w:firstColumn="0" w:lastColumn="0" w:oddVBand="0" w:evenVBand="0" w:oddHBand="0" w:evenHBand="0" w:firstRowFirstColumn="0" w:firstRowLastColumn="0" w:lastRowFirstColumn="0" w:lastRowLastColumn="0"/>
              <w:rPr>
                <w:rFonts w:cstheme="minorHAnsi"/>
                <w:szCs w:val="24"/>
              </w:rPr>
            </w:pPr>
            <w:r>
              <w:rPr>
                <w:rFonts w:cstheme="minorHAnsi"/>
                <w:szCs w:val="24"/>
              </w:rPr>
              <w:t>I</w:t>
            </w:r>
            <w:r w:rsidR="007A0678" w:rsidRPr="004859BA">
              <w:rPr>
                <w:rFonts w:cstheme="minorHAnsi"/>
                <w:szCs w:val="24"/>
              </w:rPr>
              <w:t>stniejąca sieć drogowa</w:t>
            </w:r>
            <w:r>
              <w:rPr>
                <w:rFonts w:cstheme="minorHAnsi"/>
                <w:szCs w:val="24"/>
              </w:rPr>
              <w:t xml:space="preserve"> i </w:t>
            </w:r>
            <w:r w:rsidR="007A0678" w:rsidRPr="004859BA">
              <w:rPr>
                <w:rFonts w:cstheme="minorHAnsi"/>
                <w:szCs w:val="24"/>
              </w:rPr>
              <w:t>sieć kolejowa</w:t>
            </w:r>
          </w:p>
          <w:p w14:paraId="1CA127B0" w14:textId="29567107" w:rsidR="007A0678" w:rsidRPr="007A0678" w:rsidRDefault="007A0678" w:rsidP="00B063F0">
            <w:pPr>
              <w:pStyle w:val="elementgraficznytabela"/>
              <w:numPr>
                <w:ilvl w:val="0"/>
                <w:numId w:val="30"/>
              </w:numPr>
              <w:spacing w:before="100" w:beforeAutospacing="1" w:after="100" w:afterAutospacing="1"/>
              <w:contextualSpacing/>
              <w:cnfStyle w:val="000000000000" w:firstRow="0" w:lastRow="0" w:firstColumn="0" w:lastColumn="0" w:oddVBand="0" w:evenVBand="0" w:oddHBand="0" w:evenHBand="0" w:firstRowFirstColumn="0" w:firstRowLastColumn="0" w:lastRowFirstColumn="0" w:lastRowLastColumn="0"/>
              <w:rPr>
                <w:rFonts w:cstheme="minorHAnsi"/>
                <w:szCs w:val="24"/>
              </w:rPr>
            </w:pPr>
            <w:r w:rsidRPr="007A0678">
              <w:rPr>
                <w:rFonts w:cstheme="minorHAnsi"/>
                <w:szCs w:val="24"/>
              </w:rPr>
              <w:t>Tereny inwestycyjne</w:t>
            </w:r>
          </w:p>
        </w:tc>
      </w:tr>
      <w:tr w:rsidR="007A0678" w:rsidRPr="00176303" w14:paraId="1A8798DF" w14:textId="77777777" w:rsidTr="007A0678">
        <w:tc>
          <w:tcPr>
            <w:cnfStyle w:val="001000000000" w:firstRow="0" w:lastRow="0" w:firstColumn="1" w:lastColumn="0" w:oddVBand="0" w:evenVBand="0" w:oddHBand="0" w:evenHBand="0" w:firstRowFirstColumn="0" w:firstRowLastColumn="0" w:lastRowFirstColumn="0" w:lastRowLastColumn="0"/>
            <w:tcW w:w="1838" w:type="dxa"/>
          </w:tcPr>
          <w:p w14:paraId="4E782C4D" w14:textId="7C61F1EF" w:rsidR="007A0678" w:rsidRPr="004859BA" w:rsidRDefault="007A0678" w:rsidP="007A0678">
            <w:pPr>
              <w:pStyle w:val="elementgraficznytabela"/>
              <w:spacing w:before="100" w:beforeAutospacing="1" w:after="100" w:afterAutospacing="1"/>
              <w:contextualSpacing/>
              <w:rPr>
                <w:rFonts w:cstheme="minorHAnsi"/>
                <w:szCs w:val="24"/>
              </w:rPr>
            </w:pPr>
            <w:r w:rsidRPr="004859BA">
              <w:rPr>
                <w:rFonts w:cstheme="minorHAnsi"/>
                <w:szCs w:val="24"/>
              </w:rPr>
              <w:lastRenderedPageBreak/>
              <w:t>Środowiskowe</w:t>
            </w:r>
          </w:p>
          <w:p w14:paraId="73485E9C" w14:textId="77777777" w:rsidR="007A0678" w:rsidRPr="004859BA" w:rsidRDefault="007A0678" w:rsidP="007A0678">
            <w:pPr>
              <w:pStyle w:val="elementgraficznytabela"/>
              <w:spacing w:before="100" w:beforeAutospacing="1" w:after="100" w:afterAutospacing="1"/>
              <w:contextualSpacing/>
              <w:rPr>
                <w:rFonts w:cstheme="minorHAnsi"/>
                <w:szCs w:val="24"/>
              </w:rPr>
            </w:pPr>
            <w:r w:rsidRPr="004859BA">
              <w:rPr>
                <w:rFonts w:cstheme="minorHAnsi"/>
                <w:szCs w:val="24"/>
              </w:rPr>
              <mc:AlternateContent>
                <mc:Choice Requires="wps">
                  <w:drawing>
                    <wp:anchor distT="0" distB="0" distL="114300" distR="114300" simplePos="0" relativeHeight="251658272" behindDoc="0" locked="0" layoutInCell="1" allowOverlap="1" wp14:anchorId="702DB915" wp14:editId="25225729">
                      <wp:simplePos x="0" y="0"/>
                      <wp:positionH relativeFrom="column">
                        <wp:posOffset>45085</wp:posOffset>
                      </wp:positionH>
                      <wp:positionV relativeFrom="paragraph">
                        <wp:posOffset>38735</wp:posOffset>
                      </wp:positionV>
                      <wp:extent cx="464820" cy="449580"/>
                      <wp:effectExtent l="0" t="0" r="11430" b="26670"/>
                      <wp:wrapNone/>
                      <wp:docPr id="120" name="Owal 120" descr="Sceneria leśna"/>
                      <wp:cNvGraphicFramePr/>
                      <a:graphic xmlns:a="http://schemas.openxmlformats.org/drawingml/2006/main">
                        <a:graphicData uri="http://schemas.microsoft.com/office/word/2010/wordprocessingShape">
                          <wps:wsp>
                            <wps:cNvSpPr/>
                            <wps:spPr>
                              <a:xfrm>
                                <a:off x="0" y="0"/>
                                <a:ext cx="464820" cy="449580"/>
                              </a:xfrm>
                              <a:prstGeom prst="ellipse">
                                <a:avLst/>
                              </a:prstGeom>
                              <a:blipFill>
                                <a:blip r:embed="rId172">
                                  <a:extLst>
                                    <a:ext uri="{96DAC541-7B7A-43D3-8B79-37D633B846F1}">
                                      <asvg:svgBlip xmlns:asvg="http://schemas.microsoft.com/office/drawing/2016/SVG/main" r:embed="rId173"/>
                                    </a:ext>
                                  </a:extLst>
                                </a:blip>
                                <a:srcRect/>
                                <a:stretch>
                                  <a:fillRect l="-3000" r="-3000"/>
                                </a:stretch>
                              </a:blipFill>
                              <a:ln w="9525"/>
                            </wps:spPr>
                            <wps:style>
                              <a:lnRef idx="3">
                                <a:scrgbClr r="0" g="0" b="0"/>
                              </a:lnRef>
                              <a:fillRef idx="1">
                                <a:scrgbClr r="0" g="0" b="0"/>
                              </a:fillRef>
                              <a:effectRef idx="1">
                                <a:schemeClr val="dk1">
                                  <a:tint val="40000"/>
                                  <a:hueOff val="0"/>
                                  <a:satOff val="0"/>
                                  <a:lumOff val="0"/>
                                  <a:alphaOff val="0"/>
                                </a:schemeClr>
                              </a:effectRef>
                              <a:fontRef idx="minor">
                                <a:schemeClr val="lt1">
                                  <a:hueOff val="0"/>
                                  <a:satOff val="0"/>
                                  <a:lumOff val="0"/>
                                  <a:alphaOff val="0"/>
                                </a:schemeClr>
                              </a:fontRef>
                            </wps:style>
                            <wps:bodyPr/>
                          </wps:wsp>
                        </a:graphicData>
                      </a:graphic>
                      <wp14:sizeRelH relativeFrom="margin">
                        <wp14:pctWidth>0</wp14:pctWidth>
                      </wp14:sizeRelH>
                      <wp14:sizeRelV relativeFrom="margin">
                        <wp14:pctHeight>0</wp14:pctHeight>
                      </wp14:sizeRelV>
                    </wp:anchor>
                  </w:drawing>
                </mc:Choice>
                <mc:Fallback>
                  <w:pict>
                    <v:oval w14:anchorId="4B08BAFB" id="Owal 120" o:spid="_x0000_s1026" alt="Sceneria leśna" style="position:absolute;margin-left:3.55pt;margin-top:3.05pt;width:36.6pt;height:35.4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">
                      <v:fill r:id="rId174" o:title="Sceneria leśna" recolor="t" rotate="t" type="frame"/>
                      <v:stroke joinstyle="miter"/>
                    </v:oval>
                  </w:pict>
                </mc:Fallback>
              </mc:AlternateContent>
            </w:r>
          </w:p>
          <w:p w14:paraId="3A62824E" w14:textId="77777777" w:rsidR="007A0678" w:rsidRPr="004859BA" w:rsidRDefault="007A0678" w:rsidP="007A0678">
            <w:pPr>
              <w:pStyle w:val="elementgraficznytabela"/>
              <w:spacing w:before="100" w:beforeAutospacing="1" w:after="100" w:afterAutospacing="1"/>
              <w:contextualSpacing/>
              <w:rPr>
                <w:rFonts w:cstheme="minorHAnsi"/>
                <w:szCs w:val="24"/>
              </w:rPr>
            </w:pPr>
          </w:p>
          <w:p w14:paraId="53A9AC36" w14:textId="77777777" w:rsidR="007A0678" w:rsidRDefault="007A0678" w:rsidP="007A0678">
            <w:pPr>
              <w:ind w:left="0"/>
              <w:rPr>
                <w:lang w:val="pl-PL"/>
              </w:rPr>
            </w:pPr>
          </w:p>
        </w:tc>
        <w:tc>
          <w:tcPr>
            <w:tcW w:w="3260" w:type="dxa"/>
          </w:tcPr>
          <w:p w14:paraId="5DF65F85" w14:textId="77777777" w:rsidR="007A0678" w:rsidRPr="004859BA" w:rsidRDefault="007A0678" w:rsidP="007A0678">
            <w:pPr>
              <w:pStyle w:val="elementgraficznytabela"/>
              <w:spacing w:before="100" w:beforeAutospacing="1" w:after="100" w:afterAutospacing="1"/>
              <w:contextualSpacing/>
              <w:cnfStyle w:val="000000000000" w:firstRow="0" w:lastRow="0" w:firstColumn="0" w:lastColumn="0" w:oddVBand="0" w:evenVBand="0" w:oddHBand="0" w:evenHBand="0" w:firstRowFirstColumn="0" w:firstRowLastColumn="0" w:lastRowFirstColumn="0" w:lastRowLastColumn="0"/>
              <w:rPr>
                <w:rFonts w:cstheme="minorHAnsi"/>
                <w:szCs w:val="24"/>
              </w:rPr>
            </w:pPr>
            <w:r w:rsidRPr="004859BA">
              <w:rPr>
                <w:rStyle w:val="kwal"/>
                <w:rFonts w:cstheme="minorHAnsi"/>
                <w:szCs w:val="24"/>
              </w:rPr>
              <w:t>Wskazuje na cechy środowiska naturalnego, zasoby i uwarunkowania przyrodnicze</w:t>
            </w:r>
            <w:r w:rsidRPr="004859BA">
              <w:rPr>
                <w:rFonts w:cstheme="minorHAnsi"/>
                <w:szCs w:val="24"/>
              </w:rPr>
              <w:t xml:space="preserve"> </w:t>
            </w:r>
            <w:r w:rsidRPr="004859BA">
              <w:rPr>
                <w:rStyle w:val="def"/>
                <w:rFonts w:cstheme="minorHAnsi"/>
                <w:color w:val="000000"/>
                <w:szCs w:val="24"/>
                <w:shd w:val="clear" w:color="auto" w:fill="FFFFFF"/>
              </w:rPr>
              <w:t>określające zdolności obszaru do rozwoju w oparciu o potencjał środowiskowy</w:t>
            </w:r>
          </w:p>
          <w:p w14:paraId="2F407C71" w14:textId="77777777" w:rsidR="007A0678" w:rsidRDefault="007A0678" w:rsidP="007A0678">
            <w:pPr>
              <w:ind w:left="0"/>
              <w:cnfStyle w:val="000000000000" w:firstRow="0" w:lastRow="0" w:firstColumn="0" w:lastColumn="0" w:oddVBand="0" w:evenVBand="0" w:oddHBand="0" w:evenHBand="0" w:firstRowFirstColumn="0" w:firstRowLastColumn="0" w:lastRowFirstColumn="0" w:lastRowLastColumn="0"/>
              <w:rPr>
                <w:lang w:val="pl-PL"/>
              </w:rPr>
            </w:pPr>
          </w:p>
        </w:tc>
        <w:tc>
          <w:tcPr>
            <w:tcW w:w="3784" w:type="dxa"/>
          </w:tcPr>
          <w:p w14:paraId="3BED0632" w14:textId="0B6FB82D" w:rsidR="007A0678" w:rsidRPr="004859BA" w:rsidRDefault="007A0678" w:rsidP="00B063F0">
            <w:pPr>
              <w:pStyle w:val="elementgraficznytabela"/>
              <w:numPr>
                <w:ilvl w:val="0"/>
                <w:numId w:val="30"/>
              </w:numPr>
              <w:spacing w:before="100" w:beforeAutospacing="1" w:after="100" w:afterAutospacing="1"/>
              <w:contextualSpacing/>
              <w:cnfStyle w:val="000000000000" w:firstRow="0" w:lastRow="0" w:firstColumn="0" w:lastColumn="0" w:oddVBand="0" w:evenVBand="0" w:oddHBand="0" w:evenHBand="0" w:firstRowFirstColumn="0" w:firstRowLastColumn="0" w:lastRowFirstColumn="0" w:lastRowLastColumn="0"/>
              <w:rPr>
                <w:rFonts w:cstheme="minorHAnsi"/>
                <w:szCs w:val="24"/>
              </w:rPr>
            </w:pPr>
            <w:r w:rsidRPr="004859BA">
              <w:rPr>
                <w:rFonts w:cstheme="minorHAnsi"/>
                <w:szCs w:val="24"/>
              </w:rPr>
              <w:t xml:space="preserve">Duża </w:t>
            </w:r>
            <w:r w:rsidR="005E6B0D">
              <w:rPr>
                <w:rFonts w:cstheme="minorHAnsi"/>
                <w:szCs w:val="24"/>
              </w:rPr>
              <w:t>powierzchnia</w:t>
            </w:r>
            <w:r w:rsidRPr="004859BA">
              <w:rPr>
                <w:rFonts w:cstheme="minorHAnsi"/>
                <w:szCs w:val="24"/>
              </w:rPr>
              <w:t xml:space="preserve"> terenów zielonych (lasy, obszary chronione)</w:t>
            </w:r>
          </w:p>
          <w:p w14:paraId="0F136D5B" w14:textId="77777777" w:rsidR="007A0678" w:rsidRPr="004859BA" w:rsidRDefault="007A0678" w:rsidP="00B063F0">
            <w:pPr>
              <w:pStyle w:val="elementgraficznytabela"/>
              <w:numPr>
                <w:ilvl w:val="0"/>
                <w:numId w:val="30"/>
              </w:numPr>
              <w:spacing w:before="100" w:beforeAutospacing="1" w:after="100" w:afterAutospacing="1"/>
              <w:contextualSpacing/>
              <w:cnfStyle w:val="000000000000" w:firstRow="0" w:lastRow="0" w:firstColumn="0" w:lastColumn="0" w:oddVBand="0" w:evenVBand="0" w:oddHBand="0" w:evenHBand="0" w:firstRowFirstColumn="0" w:firstRowLastColumn="0" w:lastRowFirstColumn="0" w:lastRowLastColumn="0"/>
              <w:rPr>
                <w:rFonts w:cstheme="minorHAnsi"/>
                <w:szCs w:val="24"/>
              </w:rPr>
            </w:pPr>
            <w:r w:rsidRPr="004859BA">
              <w:rPr>
                <w:rFonts w:cstheme="minorHAnsi"/>
                <w:szCs w:val="24"/>
              </w:rPr>
              <w:t>Istniejąca sieć hydrologiczna, jeziora, rzeki, kanały</w:t>
            </w:r>
          </w:p>
          <w:p w14:paraId="7756F095" w14:textId="77777777" w:rsidR="007A0678" w:rsidRPr="004859BA" w:rsidRDefault="007A0678" w:rsidP="00B063F0">
            <w:pPr>
              <w:pStyle w:val="elementgraficznytabela"/>
              <w:numPr>
                <w:ilvl w:val="0"/>
                <w:numId w:val="30"/>
              </w:numPr>
              <w:spacing w:before="100" w:beforeAutospacing="1" w:after="100" w:afterAutospacing="1"/>
              <w:contextualSpacing/>
              <w:cnfStyle w:val="000000000000" w:firstRow="0" w:lastRow="0" w:firstColumn="0" w:lastColumn="0" w:oddVBand="0" w:evenVBand="0" w:oddHBand="0" w:evenHBand="0" w:firstRowFirstColumn="0" w:firstRowLastColumn="0" w:lastRowFirstColumn="0" w:lastRowLastColumn="0"/>
              <w:rPr>
                <w:rFonts w:cstheme="minorHAnsi"/>
                <w:szCs w:val="24"/>
              </w:rPr>
            </w:pPr>
            <w:r w:rsidRPr="004859BA">
              <w:rPr>
                <w:rFonts w:cstheme="minorHAnsi"/>
                <w:szCs w:val="24"/>
              </w:rPr>
              <w:t>Niski poziom zanieczyszczeń – czyste woda, gleba</w:t>
            </w:r>
          </w:p>
          <w:p w14:paraId="7B121EAE" w14:textId="77777777" w:rsidR="007A0678" w:rsidRDefault="007A0678" w:rsidP="00B063F0">
            <w:pPr>
              <w:pStyle w:val="elementgraficznytabela"/>
              <w:numPr>
                <w:ilvl w:val="0"/>
                <w:numId w:val="30"/>
              </w:numPr>
              <w:spacing w:before="100" w:beforeAutospacing="1" w:after="100" w:afterAutospacing="1"/>
              <w:contextualSpacing/>
              <w:cnfStyle w:val="000000000000" w:firstRow="0" w:lastRow="0" w:firstColumn="0" w:lastColumn="0" w:oddVBand="0" w:evenVBand="0" w:oddHBand="0" w:evenHBand="0" w:firstRowFirstColumn="0" w:firstRowLastColumn="0" w:lastRowFirstColumn="0" w:lastRowLastColumn="0"/>
              <w:rPr>
                <w:rFonts w:cstheme="minorHAnsi"/>
                <w:szCs w:val="24"/>
              </w:rPr>
            </w:pPr>
            <w:r w:rsidRPr="004859BA">
              <w:rPr>
                <w:rFonts w:cstheme="minorHAnsi"/>
                <w:szCs w:val="24"/>
              </w:rPr>
              <w:t>Dobry stan środowiska naturalnego</w:t>
            </w:r>
          </w:p>
          <w:p w14:paraId="57F2D94F" w14:textId="7B39FFAA" w:rsidR="007A0678" w:rsidRPr="007A0678" w:rsidRDefault="007A0678" w:rsidP="00B063F0">
            <w:pPr>
              <w:pStyle w:val="elementgraficznytabela"/>
              <w:numPr>
                <w:ilvl w:val="0"/>
                <w:numId w:val="30"/>
              </w:numPr>
              <w:spacing w:before="100" w:beforeAutospacing="1" w:after="100" w:afterAutospacing="1"/>
              <w:contextualSpacing/>
              <w:cnfStyle w:val="000000000000" w:firstRow="0" w:lastRow="0" w:firstColumn="0" w:lastColumn="0" w:oddVBand="0" w:evenVBand="0" w:oddHBand="0" w:evenHBand="0" w:firstRowFirstColumn="0" w:firstRowLastColumn="0" w:lastRowFirstColumn="0" w:lastRowLastColumn="0"/>
              <w:rPr>
                <w:rFonts w:cstheme="minorHAnsi"/>
                <w:szCs w:val="24"/>
              </w:rPr>
            </w:pPr>
            <w:r w:rsidRPr="007A0678">
              <w:rPr>
                <w:rFonts w:cstheme="minorHAnsi"/>
                <w:color w:val="000000" w:themeColor="text1"/>
                <w:szCs w:val="24"/>
              </w:rPr>
              <w:t>Korzystne warunki wietrzności i średnie warunki nasłonecznienia</w:t>
            </w:r>
          </w:p>
        </w:tc>
      </w:tr>
      <w:tr w:rsidR="007A0678" w:rsidRPr="00176303" w14:paraId="640BE790" w14:textId="77777777" w:rsidTr="007A0678">
        <w:tc>
          <w:tcPr>
            <w:cnfStyle w:val="001000000000" w:firstRow="0" w:lastRow="0" w:firstColumn="1" w:lastColumn="0" w:oddVBand="0" w:evenVBand="0" w:oddHBand="0" w:evenHBand="0" w:firstRowFirstColumn="0" w:firstRowLastColumn="0" w:lastRowFirstColumn="0" w:lastRowLastColumn="0"/>
            <w:tcW w:w="1838" w:type="dxa"/>
          </w:tcPr>
          <w:p w14:paraId="10B3B9E1" w14:textId="77777777" w:rsidR="007A0678" w:rsidRPr="004859BA" w:rsidRDefault="007A0678" w:rsidP="007A0678">
            <w:pPr>
              <w:pStyle w:val="elementgraficznytabela"/>
              <w:spacing w:before="100" w:beforeAutospacing="1" w:after="100" w:afterAutospacing="1"/>
              <w:contextualSpacing/>
              <w:rPr>
                <w:rFonts w:cstheme="minorHAnsi"/>
                <w:szCs w:val="24"/>
              </w:rPr>
            </w:pPr>
            <w:r w:rsidRPr="004859BA">
              <w:rPr>
                <w:rFonts w:cstheme="minorHAnsi"/>
                <w:szCs w:val="24"/>
              </w:rPr>
              <w:lastRenderedPageBreak/>
              <w:t>Gospodarcze</w:t>
            </w:r>
          </w:p>
          <w:p w14:paraId="59EEA2C3" w14:textId="77777777" w:rsidR="007A0678" w:rsidRPr="004859BA" w:rsidRDefault="007A0678" w:rsidP="007A0678">
            <w:pPr>
              <w:pStyle w:val="elementgraficznytabela"/>
              <w:spacing w:before="100" w:beforeAutospacing="1" w:after="100" w:afterAutospacing="1"/>
              <w:contextualSpacing/>
              <w:rPr>
                <w:rFonts w:cstheme="minorHAnsi"/>
                <w:szCs w:val="24"/>
              </w:rPr>
            </w:pPr>
            <w:r w:rsidRPr="004859BA">
              <w:rPr>
                <w:rFonts w:cstheme="minorHAnsi"/>
                <w:szCs w:val="24"/>
              </w:rPr>
              <mc:AlternateContent>
                <mc:Choice Requires="wps">
                  <w:drawing>
                    <wp:anchor distT="0" distB="0" distL="114300" distR="114300" simplePos="0" relativeHeight="251658273" behindDoc="0" locked="0" layoutInCell="1" allowOverlap="1" wp14:anchorId="32E6EB42" wp14:editId="5FDC0357">
                      <wp:simplePos x="0" y="0"/>
                      <wp:positionH relativeFrom="column">
                        <wp:posOffset>29845</wp:posOffset>
                      </wp:positionH>
                      <wp:positionV relativeFrom="paragraph">
                        <wp:posOffset>41910</wp:posOffset>
                      </wp:positionV>
                      <wp:extent cx="483870" cy="438150"/>
                      <wp:effectExtent l="0" t="0" r="11430" b="19050"/>
                      <wp:wrapNone/>
                      <wp:docPr id="126" name="Owal 126" descr="Pieniądze"/>
                      <wp:cNvGraphicFramePr/>
                      <a:graphic xmlns:a="http://schemas.openxmlformats.org/drawingml/2006/main">
                        <a:graphicData uri="http://schemas.microsoft.com/office/word/2010/wordprocessingShape">
                          <wps:wsp>
                            <wps:cNvSpPr/>
                            <wps:spPr>
                              <a:xfrm>
                                <a:off x="0" y="0"/>
                                <a:ext cx="483870" cy="438150"/>
                              </a:xfrm>
                              <a:prstGeom prst="ellipse">
                                <a:avLst/>
                              </a:prstGeom>
                              <a:blipFill>
                                <a:blip r:embed="rId175">
                                  <a:extLst>
                                    <a:ext uri="{28A0092B-C50C-407E-A947-70E740481C1C}">
                                      <a14:useLocalDpi xmlns:a14="http://schemas.microsoft.com/office/drawing/2010/main" val="0"/>
                                    </a:ext>
                                    <a:ext uri="{96DAC541-7B7A-43D3-8B79-37D633B846F1}">
                                      <asvg:svgBlip xmlns:asvg="http://schemas.microsoft.com/office/drawing/2016/SVG/main" r:embed="rId176"/>
                                    </a:ext>
                                  </a:extLst>
                                </a:blip>
                                <a:srcRect/>
                                <a:stretch>
                                  <a:fillRect/>
                                </a:stretch>
                              </a:blipFill>
                              <a:ln w="9525"/>
                            </wps:spPr>
                            <wps:style>
                              <a:lnRef idx="3">
                                <a:scrgbClr r="0" g="0" b="0"/>
                              </a:lnRef>
                              <a:fillRef idx="1">
                                <a:scrgbClr r="0" g="0" b="0"/>
                              </a:fillRef>
                              <a:effectRef idx="1">
                                <a:schemeClr val="dk1">
                                  <a:tint val="40000"/>
                                  <a:hueOff val="0"/>
                                  <a:satOff val="0"/>
                                  <a:lumOff val="0"/>
                                  <a:alphaOff val="0"/>
                                </a:schemeClr>
                              </a:effectRef>
                              <a:fontRef idx="minor">
                                <a:schemeClr val="lt1">
                                  <a:hueOff val="0"/>
                                  <a:satOff val="0"/>
                                  <a:lumOff val="0"/>
                                  <a:alphaOff val="0"/>
                                </a:schemeClr>
                              </a:fontRef>
                            </wps:style>
                            <wps:bodyPr/>
                          </wps:wsp>
                        </a:graphicData>
                      </a:graphic>
                      <wp14:sizeRelH relativeFrom="margin">
                        <wp14:pctWidth>0</wp14:pctWidth>
                      </wp14:sizeRelH>
                      <wp14:sizeRelV relativeFrom="margin">
                        <wp14:pctHeight>0</wp14:pctHeight>
                      </wp14:sizeRelV>
                    </wp:anchor>
                  </w:drawing>
                </mc:Choice>
                <mc:Fallback>
                  <w:pict>
                    <v:oval w14:anchorId="08D9270C" id="Owal 126" o:spid="_x0000_s1026" alt="Pieniądze" style="position:absolute;margin-left:2.35pt;margin-top:3.3pt;width:38.1pt;height:34.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">
                      <v:fill r:id="rId177" o:title="Pieniądze" recolor="t" rotate="t" type="frame"/>
                      <v:stroke joinstyle="miter"/>
                    </v:oval>
                  </w:pict>
                </mc:Fallback>
              </mc:AlternateContent>
            </w:r>
          </w:p>
          <w:p w14:paraId="5F006F70" w14:textId="77777777" w:rsidR="007A0678" w:rsidRDefault="007A0678" w:rsidP="007A0678">
            <w:pPr>
              <w:ind w:left="0"/>
              <w:rPr>
                <w:lang w:val="pl-PL"/>
              </w:rPr>
            </w:pPr>
          </w:p>
        </w:tc>
        <w:tc>
          <w:tcPr>
            <w:tcW w:w="3260" w:type="dxa"/>
          </w:tcPr>
          <w:p w14:paraId="2EC00005" w14:textId="60084626" w:rsidR="007A0678" w:rsidRPr="007A0678" w:rsidRDefault="007A0678" w:rsidP="007A0678">
            <w:pPr>
              <w:ind w:left="0"/>
              <w:cnfStyle w:val="000000000000" w:firstRow="0" w:lastRow="0" w:firstColumn="0" w:lastColumn="0" w:oddVBand="0" w:evenVBand="0" w:oddHBand="0" w:evenHBand="0" w:firstRowFirstColumn="0" w:firstRowLastColumn="0" w:lastRowFirstColumn="0" w:lastRowLastColumn="0"/>
              <w:rPr>
                <w:lang w:val="pl-PL"/>
              </w:rPr>
            </w:pPr>
            <w:r w:rsidRPr="007A0678">
              <w:rPr>
                <w:rFonts w:cstheme="minorHAnsi"/>
                <w:szCs w:val="24"/>
                <w:lang w:val="pl-PL"/>
              </w:rPr>
              <w:t>Wskazuje na cechy gospodarki obszaru (struktura sektorów gospodarki, powiązania gospodarcze, dobrze rozwinięte branże, zasoby demograficzne - grupy funkcjonalne ludności)</w:t>
            </w:r>
            <w:r w:rsidRPr="007A0678">
              <w:rPr>
                <w:rStyle w:val="kwal"/>
                <w:rFonts w:cstheme="minorHAnsi"/>
                <w:szCs w:val="24"/>
                <w:lang w:val="pl-PL"/>
              </w:rPr>
              <w:t xml:space="preserve"> a także </w:t>
            </w:r>
            <w:r w:rsidRPr="007A0678">
              <w:rPr>
                <w:rStyle w:val="def"/>
                <w:rFonts w:cstheme="minorHAnsi"/>
                <w:color w:val="000000"/>
                <w:szCs w:val="24"/>
                <w:shd w:val="clear" w:color="auto" w:fill="FFFFFF"/>
                <w:lang w:val="pl-PL"/>
              </w:rPr>
              <w:t>zasoby wiedzy i umiejętności (</w:t>
            </w:r>
            <w:r w:rsidRPr="007A0678">
              <w:rPr>
                <w:rFonts w:cstheme="minorHAnsi"/>
                <w:szCs w:val="24"/>
                <w:lang w:val="pl-PL"/>
              </w:rPr>
              <w:t xml:space="preserve">kadry dla gospodarki) i postaw (poziom przedsiębiorczości) </w:t>
            </w:r>
            <w:r w:rsidRPr="007A0678">
              <w:rPr>
                <w:rStyle w:val="def"/>
                <w:rFonts w:cstheme="minorHAnsi"/>
                <w:color w:val="000000"/>
                <w:szCs w:val="24"/>
                <w:shd w:val="clear" w:color="auto" w:fill="FFFFFF"/>
                <w:lang w:val="pl-PL"/>
              </w:rPr>
              <w:t>określające możliwości kreowania konkurencyjnych rozwiązań</w:t>
            </w:r>
          </w:p>
        </w:tc>
        <w:tc>
          <w:tcPr>
            <w:tcW w:w="3784" w:type="dxa"/>
          </w:tcPr>
          <w:p w14:paraId="41752B07" w14:textId="57DC07E8" w:rsidR="007A0678" w:rsidRPr="004859BA" w:rsidRDefault="007A0678" w:rsidP="00B063F0">
            <w:pPr>
              <w:pStyle w:val="elementgraficznytabela"/>
              <w:numPr>
                <w:ilvl w:val="0"/>
                <w:numId w:val="30"/>
              </w:numPr>
              <w:spacing w:before="100" w:beforeAutospacing="1" w:after="100" w:afterAutospacing="1"/>
              <w:contextualSpacing/>
              <w:cnfStyle w:val="000000000000" w:firstRow="0" w:lastRow="0" w:firstColumn="0" w:lastColumn="0" w:oddVBand="0" w:evenVBand="0" w:oddHBand="0" w:evenHBand="0" w:firstRowFirstColumn="0" w:firstRowLastColumn="0" w:lastRowFirstColumn="0" w:lastRowLastColumn="0"/>
              <w:rPr>
                <w:rFonts w:cstheme="minorHAnsi"/>
                <w:szCs w:val="24"/>
              </w:rPr>
            </w:pPr>
            <w:r w:rsidRPr="004859BA">
              <w:rPr>
                <w:rFonts w:cstheme="minorHAnsi"/>
                <w:szCs w:val="24"/>
              </w:rPr>
              <w:t>Istniejące powiązania gospodarcze wewnątrz obszaru</w:t>
            </w:r>
          </w:p>
          <w:p w14:paraId="470079FE" w14:textId="77777777" w:rsidR="007A0678" w:rsidRPr="004859BA" w:rsidRDefault="007A0678" w:rsidP="00B063F0">
            <w:pPr>
              <w:pStyle w:val="elementgraficznytabela"/>
              <w:numPr>
                <w:ilvl w:val="0"/>
                <w:numId w:val="30"/>
              </w:numPr>
              <w:spacing w:before="100" w:beforeAutospacing="1" w:after="100" w:afterAutospacing="1"/>
              <w:contextualSpacing/>
              <w:cnfStyle w:val="000000000000" w:firstRow="0" w:lastRow="0" w:firstColumn="0" w:lastColumn="0" w:oddVBand="0" w:evenVBand="0" w:oddHBand="0" w:evenHBand="0" w:firstRowFirstColumn="0" w:firstRowLastColumn="0" w:lastRowFirstColumn="0" w:lastRowLastColumn="0"/>
              <w:rPr>
                <w:rFonts w:cstheme="minorHAnsi"/>
                <w:szCs w:val="24"/>
              </w:rPr>
            </w:pPr>
            <w:r w:rsidRPr="004859BA">
              <w:rPr>
                <w:rFonts w:cstheme="minorHAnsi"/>
                <w:szCs w:val="24"/>
              </w:rPr>
              <w:t>Różnorodność (dywersyfikacja) sektorów działalności gospodarczej</w:t>
            </w:r>
          </w:p>
          <w:p w14:paraId="57987AAD" w14:textId="77777777" w:rsidR="005E6B0D" w:rsidRDefault="007A0678" w:rsidP="00B063F0">
            <w:pPr>
              <w:pStyle w:val="elementgraficznytabela"/>
              <w:numPr>
                <w:ilvl w:val="0"/>
                <w:numId w:val="30"/>
              </w:numPr>
              <w:spacing w:before="100" w:beforeAutospacing="1" w:after="100" w:afterAutospacing="1"/>
              <w:contextualSpacing/>
              <w:cnfStyle w:val="000000000000" w:firstRow="0" w:lastRow="0" w:firstColumn="0" w:lastColumn="0" w:oddVBand="0" w:evenVBand="0" w:oddHBand="0" w:evenHBand="0" w:firstRowFirstColumn="0" w:firstRowLastColumn="0" w:lastRowFirstColumn="0" w:lastRowLastColumn="0"/>
              <w:rPr>
                <w:rFonts w:cstheme="minorHAnsi"/>
                <w:szCs w:val="24"/>
              </w:rPr>
            </w:pPr>
            <w:r w:rsidRPr="007A0678">
              <w:rPr>
                <w:rFonts w:cstheme="minorHAnsi"/>
                <w:szCs w:val="24"/>
              </w:rPr>
              <w:t>Rozwinięty sektor usługowy (w tym turystyczny</w:t>
            </w:r>
            <w:r w:rsidR="005E6B0D">
              <w:rPr>
                <w:rFonts w:cstheme="minorHAnsi"/>
                <w:szCs w:val="24"/>
              </w:rPr>
              <w:t>)</w:t>
            </w:r>
          </w:p>
          <w:p w14:paraId="16CD7B9D" w14:textId="6D2C4D25" w:rsidR="005E6B0D" w:rsidRPr="005E6B0D" w:rsidRDefault="005E6B0D" w:rsidP="00B063F0">
            <w:pPr>
              <w:pStyle w:val="elementgraficznytabela"/>
              <w:numPr>
                <w:ilvl w:val="0"/>
                <w:numId w:val="30"/>
              </w:numPr>
              <w:spacing w:before="100" w:beforeAutospacing="1" w:after="100" w:afterAutospacing="1"/>
              <w:contextualSpacing/>
              <w:cnfStyle w:val="000000000000" w:firstRow="0" w:lastRow="0" w:firstColumn="0" w:lastColumn="0" w:oddVBand="0" w:evenVBand="0" w:oddHBand="0" w:evenHBand="0" w:firstRowFirstColumn="0" w:firstRowLastColumn="0" w:lastRowFirstColumn="0" w:lastRowLastColumn="0"/>
              <w:rPr>
                <w:rFonts w:cstheme="minorHAnsi"/>
                <w:szCs w:val="24"/>
              </w:rPr>
            </w:pPr>
            <w:r w:rsidRPr="005E6B0D">
              <w:t xml:space="preserve">Istniejący sektor rolniczy i przetwórstwa leśnego </w:t>
            </w:r>
          </w:p>
        </w:tc>
      </w:tr>
      <w:tr w:rsidR="007A0678" w14:paraId="268BC80E" w14:textId="77777777" w:rsidTr="007A0678">
        <w:tc>
          <w:tcPr>
            <w:cnfStyle w:val="001000000000" w:firstRow="0" w:lastRow="0" w:firstColumn="1" w:lastColumn="0" w:oddVBand="0" w:evenVBand="0" w:oddHBand="0" w:evenHBand="0" w:firstRowFirstColumn="0" w:firstRowLastColumn="0" w:lastRowFirstColumn="0" w:lastRowLastColumn="0"/>
            <w:tcW w:w="1838" w:type="dxa"/>
          </w:tcPr>
          <w:p w14:paraId="210E6232" w14:textId="48E8A47F" w:rsidR="007A0678" w:rsidRPr="004859BA" w:rsidRDefault="007A0678" w:rsidP="007A0678">
            <w:pPr>
              <w:pStyle w:val="elementgraficznytabela"/>
              <w:spacing w:before="100" w:beforeAutospacing="1" w:after="100" w:afterAutospacing="1"/>
              <w:contextualSpacing/>
              <w:rPr>
                <w:rFonts w:cstheme="minorHAnsi"/>
                <w:szCs w:val="24"/>
              </w:rPr>
            </w:pPr>
            <w:r w:rsidRPr="004859BA">
              <w:rPr>
                <w:rFonts w:cstheme="minorHAnsi"/>
                <w:szCs w:val="24"/>
              </w:rPr>
              <w:t>Instytucjonalne</w:t>
            </w:r>
          </w:p>
          <w:p w14:paraId="3FD9EEA2" w14:textId="77777777" w:rsidR="007A0678" w:rsidRPr="004859BA" w:rsidRDefault="007A0678" w:rsidP="007A0678">
            <w:pPr>
              <w:pStyle w:val="elementgraficznytabela"/>
              <w:spacing w:before="100" w:beforeAutospacing="1" w:after="100" w:afterAutospacing="1"/>
              <w:contextualSpacing/>
              <w:rPr>
                <w:rFonts w:cstheme="minorHAnsi"/>
                <w:szCs w:val="24"/>
              </w:rPr>
            </w:pPr>
            <w:r w:rsidRPr="004859BA">
              <w:rPr>
                <w:rFonts w:cstheme="minorHAnsi"/>
                <w:szCs w:val="24"/>
              </w:rPr>
              <mc:AlternateContent>
                <mc:Choice Requires="wps">
                  <w:drawing>
                    <wp:anchor distT="0" distB="0" distL="114300" distR="114300" simplePos="0" relativeHeight="251658270" behindDoc="0" locked="0" layoutInCell="1" allowOverlap="1" wp14:anchorId="26A487DB" wp14:editId="10FCAF95">
                      <wp:simplePos x="0" y="0"/>
                      <wp:positionH relativeFrom="column">
                        <wp:posOffset>26035</wp:posOffset>
                      </wp:positionH>
                      <wp:positionV relativeFrom="paragraph">
                        <wp:posOffset>50165</wp:posOffset>
                      </wp:positionV>
                      <wp:extent cx="499110" cy="468630"/>
                      <wp:effectExtent l="0" t="0" r="15240" b="26670"/>
                      <wp:wrapNone/>
                      <wp:docPr id="113" name="Owal 113" descr="Połączenia"/>
                      <wp:cNvGraphicFramePr/>
                      <a:graphic xmlns:a="http://schemas.openxmlformats.org/drawingml/2006/main">
                        <a:graphicData uri="http://schemas.microsoft.com/office/word/2010/wordprocessingShape">
                          <wps:wsp>
                            <wps:cNvSpPr/>
                            <wps:spPr>
                              <a:xfrm>
                                <a:off x="0" y="0"/>
                                <a:ext cx="499110" cy="468630"/>
                              </a:xfrm>
                              <a:prstGeom prst="ellipse">
                                <a:avLst/>
                              </a:prstGeom>
                              <a:blipFill>
                                <a:blip r:embed="rId178">
                                  <a:extLst>
                                    <a:ext uri="{96DAC541-7B7A-43D3-8B79-37D633B846F1}">
                                      <asvg:svgBlip xmlns:asvg="http://schemas.microsoft.com/office/drawing/2016/SVG/main" r:embed="rId179"/>
                                    </a:ext>
                                  </a:extLst>
                                </a:blip>
                                <a:srcRect/>
                                <a:stretch>
                                  <a:fillRect/>
                                </a:stretch>
                              </a:blipFill>
                              <a:ln w="9525"/>
                            </wps:spPr>
                            <wps:style>
                              <a:lnRef idx="3">
                                <a:scrgbClr r="0" g="0" b="0"/>
                              </a:lnRef>
                              <a:fillRef idx="1">
                                <a:scrgbClr r="0" g="0" b="0"/>
                              </a:fillRef>
                              <a:effectRef idx="1">
                                <a:schemeClr val="dk1">
                                  <a:tint val="40000"/>
                                  <a:hueOff val="0"/>
                                  <a:satOff val="0"/>
                                  <a:lumOff val="0"/>
                                  <a:alphaOff val="0"/>
                                </a:schemeClr>
                              </a:effectRef>
                              <a:fontRef idx="minor">
                                <a:schemeClr val="lt1">
                                  <a:hueOff val="0"/>
                                  <a:satOff val="0"/>
                                  <a:lumOff val="0"/>
                                  <a:alphaOff val="0"/>
                                </a:schemeClr>
                              </a:fontRef>
                            </wps:style>
                            <wps:bodyPr/>
                          </wps:wsp>
                        </a:graphicData>
                      </a:graphic>
                      <wp14:sizeRelH relativeFrom="margin">
                        <wp14:pctWidth>0</wp14:pctWidth>
                      </wp14:sizeRelH>
                      <wp14:sizeRelV relativeFrom="margin">
                        <wp14:pctHeight>0</wp14:pctHeight>
                      </wp14:sizeRelV>
                    </wp:anchor>
                  </w:drawing>
                </mc:Choice>
                <mc:Fallback>
                  <w:pict>
                    <v:oval w14:anchorId="75E6F6B5" id="Owal 113" o:spid="_x0000_s1026" alt="Połączenia" style="position:absolute;margin-left:2.05pt;margin-top:3.95pt;width:39.3pt;height:36.9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">
                      <v:fill r:id="rId180" o:title="Połączenia" recolor="t" rotate="t" type="frame"/>
                      <v:stroke joinstyle="miter"/>
                    </v:oval>
                  </w:pict>
                </mc:Fallback>
              </mc:AlternateContent>
            </w:r>
          </w:p>
          <w:p w14:paraId="37BF5BA0" w14:textId="77777777" w:rsidR="007A0678" w:rsidRDefault="007A0678" w:rsidP="007A0678">
            <w:pPr>
              <w:ind w:left="0"/>
              <w:rPr>
                <w:lang w:val="pl-PL"/>
              </w:rPr>
            </w:pPr>
          </w:p>
        </w:tc>
        <w:tc>
          <w:tcPr>
            <w:tcW w:w="3260" w:type="dxa"/>
          </w:tcPr>
          <w:p w14:paraId="432ADA92" w14:textId="3F4E4F79" w:rsidR="007A0678" w:rsidRPr="007A0678" w:rsidRDefault="007A0678" w:rsidP="007A0678">
            <w:pPr>
              <w:pStyle w:val="elementgraficznytabela"/>
              <w:spacing w:before="100" w:beforeAutospacing="1" w:after="100" w:afterAutospacing="1"/>
              <w:contextualSpacing/>
              <w:cnfStyle w:val="000000000000" w:firstRow="0" w:lastRow="0" w:firstColumn="0" w:lastColumn="0" w:oddVBand="0" w:evenVBand="0" w:oddHBand="0" w:evenHBand="0" w:firstRowFirstColumn="0" w:firstRowLastColumn="0" w:lastRowFirstColumn="0" w:lastRowLastColumn="0"/>
              <w:rPr>
                <w:rFonts w:cstheme="minorHAnsi"/>
                <w:szCs w:val="24"/>
                <w:shd w:val="clear" w:color="auto" w:fill="FFFFFF"/>
              </w:rPr>
            </w:pPr>
            <w:r w:rsidRPr="004859BA">
              <w:rPr>
                <w:rFonts w:cstheme="minorHAnsi"/>
                <w:szCs w:val="24"/>
              </w:rPr>
              <w:t xml:space="preserve">Oznacza cechy organizacji (sposób zarządzania, przywództwo, kultura organizacyjna, zdolności finansowania rozwoju) a także </w:t>
            </w:r>
            <w:r w:rsidRPr="004859BA">
              <w:rPr>
                <w:rStyle w:val="def"/>
                <w:rFonts w:cstheme="minorHAnsi"/>
                <w:szCs w:val="24"/>
                <w:shd w:val="clear" w:color="auto" w:fill="FFFFFF"/>
              </w:rPr>
              <w:t xml:space="preserve">zasoby wiedzy, postawy i umiejętności pracowników (kapitał ludzki) określające zdolności do współpracy, adaptacji organizacji do zmian w otoczeniu oraz możliwości kreacji nowych rozwiązań. </w:t>
            </w:r>
            <w:r w:rsidRPr="004859BA">
              <w:rPr>
                <w:rFonts w:cstheme="minorHAnsi"/>
                <w:szCs w:val="24"/>
              </w:rPr>
              <w:t>Jest czynnikiem harmonizującym i wzmacniającym oddziaływania potencjałów wymienionych wyżej.</w:t>
            </w:r>
          </w:p>
        </w:tc>
        <w:tc>
          <w:tcPr>
            <w:tcW w:w="3784" w:type="dxa"/>
          </w:tcPr>
          <w:p w14:paraId="3AFE1330" w14:textId="77777777" w:rsidR="007A0678" w:rsidRPr="004859BA" w:rsidRDefault="007A0678" w:rsidP="00B063F0">
            <w:pPr>
              <w:pStyle w:val="elementgraficznytabela"/>
              <w:numPr>
                <w:ilvl w:val="0"/>
                <w:numId w:val="30"/>
              </w:numPr>
              <w:spacing w:before="100" w:beforeAutospacing="1" w:after="100" w:afterAutospacing="1"/>
              <w:contextualSpacing/>
              <w:cnfStyle w:val="000000000000" w:firstRow="0" w:lastRow="0" w:firstColumn="0" w:lastColumn="0" w:oddVBand="0" w:evenVBand="0" w:oddHBand="0" w:evenHBand="0" w:firstRowFirstColumn="0" w:firstRowLastColumn="0" w:lastRowFirstColumn="0" w:lastRowLastColumn="0"/>
              <w:rPr>
                <w:rFonts w:cstheme="minorHAnsi"/>
                <w:szCs w:val="24"/>
              </w:rPr>
            </w:pPr>
            <w:r w:rsidRPr="004859BA">
              <w:rPr>
                <w:rFonts w:cstheme="minorHAnsi"/>
                <w:szCs w:val="24"/>
              </w:rPr>
              <w:t>Struktura organizacyjna Partnerstwa</w:t>
            </w:r>
          </w:p>
          <w:p w14:paraId="4032FD72" w14:textId="77777777" w:rsidR="007A0678" w:rsidRPr="004859BA" w:rsidRDefault="007A0678" w:rsidP="00B063F0">
            <w:pPr>
              <w:pStyle w:val="elementgraficznytabela"/>
              <w:numPr>
                <w:ilvl w:val="0"/>
                <w:numId w:val="30"/>
              </w:numPr>
              <w:spacing w:before="100" w:beforeAutospacing="1" w:after="100" w:afterAutospacing="1"/>
              <w:contextualSpacing/>
              <w:cnfStyle w:val="000000000000" w:firstRow="0" w:lastRow="0" w:firstColumn="0" w:lastColumn="0" w:oddVBand="0" w:evenVBand="0" w:oddHBand="0" w:evenHBand="0" w:firstRowFirstColumn="0" w:firstRowLastColumn="0" w:lastRowFirstColumn="0" w:lastRowLastColumn="0"/>
              <w:rPr>
                <w:rFonts w:cstheme="minorHAnsi"/>
                <w:szCs w:val="24"/>
              </w:rPr>
            </w:pPr>
            <w:r w:rsidRPr="004859BA">
              <w:rPr>
                <w:rFonts w:cstheme="minorHAnsi"/>
                <w:szCs w:val="24"/>
              </w:rPr>
              <w:t>Silne przywództwo</w:t>
            </w:r>
          </w:p>
          <w:p w14:paraId="331A4BA0" w14:textId="5F921EAB" w:rsidR="007A0678" w:rsidRPr="00CA3C7E" w:rsidRDefault="007A0678" w:rsidP="00B063F0">
            <w:pPr>
              <w:pStyle w:val="elementgraficznytabela"/>
              <w:numPr>
                <w:ilvl w:val="0"/>
                <w:numId w:val="30"/>
              </w:numPr>
              <w:spacing w:before="100" w:beforeAutospacing="1" w:after="100" w:afterAutospacing="1"/>
              <w:contextualSpacing/>
              <w:cnfStyle w:val="000000000000" w:firstRow="0" w:lastRow="0" w:firstColumn="0" w:lastColumn="0" w:oddVBand="0" w:evenVBand="0" w:oddHBand="0" w:evenHBand="0" w:firstRowFirstColumn="0" w:firstRowLastColumn="0" w:lastRowFirstColumn="0" w:lastRowLastColumn="0"/>
              <w:rPr>
                <w:rFonts w:cstheme="minorHAnsi"/>
                <w:szCs w:val="24"/>
              </w:rPr>
            </w:pPr>
            <w:r w:rsidRPr="004859BA">
              <w:rPr>
                <w:rFonts w:cstheme="minorHAnsi"/>
                <w:szCs w:val="24"/>
              </w:rPr>
              <w:t>Model kultury organizacyjnej Partnerstwa</w:t>
            </w:r>
            <w:r w:rsidR="00CA3C7E">
              <w:rPr>
                <w:rFonts w:cstheme="minorHAnsi"/>
                <w:szCs w:val="24"/>
              </w:rPr>
              <w:t xml:space="preserve"> </w:t>
            </w:r>
            <w:r w:rsidRPr="00CA3C7E">
              <w:rPr>
                <w:rFonts w:cstheme="minorHAnsi"/>
                <w:szCs w:val="24"/>
              </w:rPr>
              <w:t>(dążenie do wzmocnienia kultury klanowej i adhokracyjnej-kreacyjnej)</w:t>
            </w:r>
          </w:p>
          <w:p w14:paraId="12D419B6" w14:textId="77777777" w:rsidR="007A0678" w:rsidRPr="004859BA" w:rsidRDefault="007A0678" w:rsidP="00B063F0">
            <w:pPr>
              <w:pStyle w:val="elementgraficznytabela"/>
              <w:numPr>
                <w:ilvl w:val="0"/>
                <w:numId w:val="30"/>
              </w:numPr>
              <w:spacing w:before="100" w:beforeAutospacing="1" w:after="100" w:afterAutospacing="1"/>
              <w:contextualSpacing/>
              <w:cnfStyle w:val="000000000000" w:firstRow="0" w:lastRow="0" w:firstColumn="0" w:lastColumn="0" w:oddVBand="0" w:evenVBand="0" w:oddHBand="0" w:evenHBand="0" w:firstRowFirstColumn="0" w:firstRowLastColumn="0" w:lastRowFirstColumn="0" w:lastRowLastColumn="0"/>
              <w:rPr>
                <w:rFonts w:cstheme="minorHAnsi"/>
                <w:szCs w:val="24"/>
              </w:rPr>
            </w:pPr>
            <w:r w:rsidRPr="004859BA">
              <w:rPr>
                <w:rFonts w:cstheme="minorHAnsi"/>
                <w:szCs w:val="24"/>
              </w:rPr>
              <w:t>Zdolność do współpracy (doświadczenia we współpracy)</w:t>
            </w:r>
          </w:p>
          <w:p w14:paraId="6DEB13C3" w14:textId="77777777" w:rsidR="007A0678" w:rsidRPr="004859BA" w:rsidRDefault="007A0678" w:rsidP="00B063F0">
            <w:pPr>
              <w:pStyle w:val="elementgraficznytabela"/>
              <w:numPr>
                <w:ilvl w:val="0"/>
                <w:numId w:val="30"/>
              </w:numPr>
              <w:spacing w:before="100" w:beforeAutospacing="1" w:after="100" w:afterAutospacing="1"/>
              <w:contextualSpacing/>
              <w:cnfStyle w:val="000000000000" w:firstRow="0" w:lastRow="0" w:firstColumn="0" w:lastColumn="0" w:oddVBand="0" w:evenVBand="0" w:oddHBand="0" w:evenHBand="0" w:firstRowFirstColumn="0" w:firstRowLastColumn="0" w:lastRowFirstColumn="0" w:lastRowLastColumn="0"/>
              <w:rPr>
                <w:rFonts w:cstheme="minorHAnsi"/>
                <w:szCs w:val="24"/>
              </w:rPr>
            </w:pPr>
            <w:r w:rsidRPr="004859BA">
              <w:rPr>
                <w:rFonts w:cstheme="minorHAnsi"/>
                <w:szCs w:val="24"/>
              </w:rPr>
              <w:t>Otwartość na zmiany</w:t>
            </w:r>
          </w:p>
          <w:p w14:paraId="4AB5B123" w14:textId="77777777" w:rsidR="007A0678" w:rsidRDefault="007A0678" w:rsidP="00B063F0">
            <w:pPr>
              <w:pStyle w:val="elementgraficznytabela"/>
              <w:numPr>
                <w:ilvl w:val="0"/>
                <w:numId w:val="30"/>
              </w:numPr>
              <w:spacing w:before="100" w:beforeAutospacing="1" w:after="100" w:afterAutospacing="1"/>
              <w:contextualSpacing/>
              <w:cnfStyle w:val="000000000000" w:firstRow="0" w:lastRow="0" w:firstColumn="0" w:lastColumn="0" w:oddVBand="0" w:evenVBand="0" w:oddHBand="0" w:evenHBand="0" w:firstRowFirstColumn="0" w:firstRowLastColumn="0" w:lastRowFirstColumn="0" w:lastRowLastColumn="0"/>
              <w:rPr>
                <w:rFonts w:cstheme="minorHAnsi"/>
                <w:szCs w:val="24"/>
              </w:rPr>
            </w:pPr>
            <w:r w:rsidRPr="004859BA">
              <w:rPr>
                <w:rFonts w:cstheme="minorHAnsi"/>
                <w:szCs w:val="24"/>
              </w:rPr>
              <w:t>Kwalifikacje pracowników</w:t>
            </w:r>
          </w:p>
          <w:p w14:paraId="5E0FFDE3" w14:textId="175C4AFE" w:rsidR="007A0678" w:rsidRPr="007A0678" w:rsidRDefault="007A0678" w:rsidP="00B063F0">
            <w:pPr>
              <w:pStyle w:val="elementgraficznytabela"/>
              <w:numPr>
                <w:ilvl w:val="0"/>
                <w:numId w:val="30"/>
              </w:numPr>
              <w:spacing w:before="100" w:beforeAutospacing="1" w:after="100" w:afterAutospacing="1"/>
              <w:contextualSpacing/>
              <w:cnfStyle w:val="000000000000" w:firstRow="0" w:lastRow="0" w:firstColumn="0" w:lastColumn="0" w:oddVBand="0" w:evenVBand="0" w:oddHBand="0" w:evenHBand="0" w:firstRowFirstColumn="0" w:firstRowLastColumn="0" w:lastRowFirstColumn="0" w:lastRowLastColumn="0"/>
              <w:rPr>
                <w:rFonts w:cstheme="minorHAnsi"/>
                <w:szCs w:val="24"/>
              </w:rPr>
            </w:pPr>
            <w:r w:rsidRPr="007A0678">
              <w:rPr>
                <w:rFonts w:cstheme="minorHAnsi"/>
                <w:szCs w:val="24"/>
              </w:rPr>
              <w:t>Stabilność polityczna</w:t>
            </w:r>
          </w:p>
        </w:tc>
      </w:tr>
    </w:tbl>
    <w:p w14:paraId="0A9B8981" w14:textId="3A717CF8" w:rsidR="0004527E" w:rsidRDefault="0004527E" w:rsidP="00733091">
      <w:pPr>
        <w:pStyle w:val="podpiselementu"/>
        <w:spacing w:after="240"/>
        <w:rPr>
          <w:lang w:val="pl-PL"/>
        </w:rPr>
      </w:pPr>
      <w:r w:rsidRPr="00733091">
        <w:rPr>
          <w:lang w:val="pl-PL"/>
        </w:rPr>
        <w:t>Źródło: opracowanie własne w oparciu w oparciu o wywiady pogłębione z przedstawicielami JST wchodzącymi w skład Partnerstwa oraz badania ankietowe mieszkańców i młodzież</w:t>
      </w:r>
    </w:p>
    <w:p w14:paraId="2ED414A8" w14:textId="19292D5A" w:rsidR="00C63C8A" w:rsidRDefault="00C63C8A" w:rsidP="00C63C8A">
      <w:pPr>
        <w:rPr>
          <w:lang w:val="pl-PL"/>
        </w:rPr>
      </w:pPr>
    </w:p>
    <w:p w14:paraId="5BBD91A3" w14:textId="77777777" w:rsidR="00C63C8A" w:rsidRPr="00C63C8A" w:rsidRDefault="00C63C8A" w:rsidP="00C63C8A">
      <w:pPr>
        <w:rPr>
          <w:lang w:val="pl-PL"/>
        </w:rPr>
      </w:pPr>
    </w:p>
    <w:p w14:paraId="15C5F911" w14:textId="77777777" w:rsidR="0004527E" w:rsidRPr="00733091" w:rsidRDefault="0004527E" w:rsidP="00733091">
      <w:pPr>
        <w:rPr>
          <w:color w:val="44546A" w:themeColor="text2"/>
          <w:sz w:val="18"/>
          <w:szCs w:val="18"/>
          <w:lang w:val="pl-PL"/>
        </w:rPr>
      </w:pPr>
    </w:p>
    <w:p w14:paraId="2EFBFB49" w14:textId="77777777" w:rsidR="0004527E" w:rsidRPr="00733091" w:rsidRDefault="0004527E" w:rsidP="00733091">
      <w:pPr>
        <w:rPr>
          <w:color w:val="44546A" w:themeColor="text2"/>
          <w:sz w:val="18"/>
          <w:szCs w:val="18"/>
          <w:lang w:val="pl-PL"/>
        </w:rPr>
      </w:pPr>
      <w:r>
        <w:rPr>
          <w:noProof/>
          <w:color w:val="44546A" w:themeColor="text2"/>
          <w:sz w:val="18"/>
          <w:szCs w:val="18"/>
        </w:rPr>
        <w:lastRenderedPageBreak/>
        <mc:AlternateContent>
          <mc:Choice Requires="wps">
            <w:drawing>
              <wp:anchor distT="0" distB="0" distL="114300" distR="114300" simplePos="0" relativeHeight="251658264" behindDoc="0" locked="0" layoutInCell="1" allowOverlap="1" wp14:anchorId="7912A002" wp14:editId="71F404F4">
                <wp:simplePos x="0" y="0"/>
                <wp:positionH relativeFrom="margin">
                  <wp:posOffset>463550</wp:posOffset>
                </wp:positionH>
                <wp:positionV relativeFrom="paragraph">
                  <wp:posOffset>-168910</wp:posOffset>
                </wp:positionV>
                <wp:extent cx="5311140" cy="3909060"/>
                <wp:effectExtent l="0" t="0" r="22860" b="15240"/>
                <wp:wrapNone/>
                <wp:docPr id="79" name="Pole tekstowe 79"/>
                <wp:cNvGraphicFramePr/>
                <a:graphic xmlns:a="http://schemas.openxmlformats.org/drawingml/2006/main">
                  <a:graphicData uri="http://schemas.microsoft.com/office/word/2010/wordprocessingShape">
                    <wps:wsp>
                      <wps:cNvSpPr txBox="1"/>
                      <wps:spPr>
                        <a:xfrm>
                          <a:off x="0" y="0"/>
                          <a:ext cx="5311140" cy="3909060"/>
                        </a:xfrm>
                        <a:prstGeom prst="rect">
                          <a:avLst/>
                        </a:prstGeom>
                        <a:solidFill>
                          <a:schemeClr val="accent1">
                            <a:lumMod val="20000"/>
                            <a:lumOff val="80000"/>
                          </a:schemeClr>
                        </a:solidFill>
                        <a:ln w="6350">
                          <a:solidFill>
                            <a:schemeClr val="accent1"/>
                          </a:solidFill>
                        </a:ln>
                      </wps:spPr>
                      <wps:txbx>
                        <w:txbxContent>
                          <w:p w14:paraId="63D7DE5C" w14:textId="77777777" w:rsidR="00B14787" w:rsidRPr="00111213" w:rsidRDefault="00B14787" w:rsidP="0004527E">
                            <w:pPr>
                              <w:pStyle w:val="Akapitzlist"/>
                              <w:ind w:left="0"/>
                              <w:jc w:val="both"/>
                              <w:rPr>
                                <w:rFonts w:eastAsia="Times New Roman" w:cstheme="minorHAnsi"/>
                                <w:szCs w:val="24"/>
                                <w:lang w:val="pl-PL" w:eastAsia="pl-PL"/>
                              </w:rPr>
                            </w:pPr>
                            <w:r w:rsidRPr="00111213">
                              <w:rPr>
                                <w:rFonts w:eastAsia="Times New Roman" w:cstheme="minorHAnsi"/>
                                <w:szCs w:val="24"/>
                                <w:lang w:val="pl-PL" w:eastAsia="pl-PL"/>
                              </w:rPr>
                              <w:t>Do potencjałów Południowych Mazur mieszkańcy obszaru zaliczyli czynniki środowiskowo-kulturowe:</w:t>
                            </w:r>
                          </w:p>
                          <w:p w14:paraId="6B7A4896" w14:textId="77777777" w:rsidR="00B14787" w:rsidRPr="00111213" w:rsidRDefault="00B14787" w:rsidP="00B063F0">
                            <w:pPr>
                              <w:pStyle w:val="Akapitzlist"/>
                              <w:numPr>
                                <w:ilvl w:val="0"/>
                                <w:numId w:val="20"/>
                              </w:numPr>
                              <w:spacing w:before="0" w:after="160" w:line="259" w:lineRule="auto"/>
                              <w:ind w:left="426" w:hanging="284"/>
                              <w:jc w:val="both"/>
                              <w:rPr>
                                <w:rFonts w:eastAsia="Times New Roman" w:cstheme="minorHAnsi"/>
                                <w:szCs w:val="24"/>
                                <w:lang w:val="pl-PL" w:eastAsia="pl-PL"/>
                              </w:rPr>
                            </w:pPr>
                            <w:r w:rsidRPr="00111213">
                              <w:rPr>
                                <w:rFonts w:eastAsia="Times New Roman" w:cstheme="minorHAnsi"/>
                                <w:szCs w:val="24"/>
                                <w:lang w:val="pl-PL" w:eastAsia="pl-PL"/>
                              </w:rPr>
                              <w:t xml:space="preserve">Jakość i czystość środowiska naturalnego (powietrza, wody, zieleni) – </w:t>
                            </w:r>
                            <w:r w:rsidRPr="00111213">
                              <w:rPr>
                                <w:rFonts w:eastAsia="Times New Roman" w:cstheme="minorHAnsi"/>
                                <w:b/>
                                <w:bCs/>
                                <w:szCs w:val="24"/>
                                <w:lang w:val="pl-PL" w:eastAsia="pl-PL"/>
                              </w:rPr>
                              <w:t>(65,45%)</w:t>
                            </w:r>
                          </w:p>
                          <w:p w14:paraId="4D3F822D" w14:textId="77777777" w:rsidR="00B14787" w:rsidRPr="00111213" w:rsidRDefault="00B14787" w:rsidP="00B063F0">
                            <w:pPr>
                              <w:pStyle w:val="Akapitzlist"/>
                              <w:numPr>
                                <w:ilvl w:val="0"/>
                                <w:numId w:val="20"/>
                              </w:numPr>
                              <w:spacing w:before="0" w:after="160" w:line="259" w:lineRule="auto"/>
                              <w:ind w:left="426" w:hanging="284"/>
                              <w:jc w:val="both"/>
                              <w:rPr>
                                <w:rFonts w:eastAsia="Times New Roman" w:cstheme="minorHAnsi"/>
                                <w:szCs w:val="24"/>
                                <w:lang w:val="pl-PL" w:eastAsia="pl-PL"/>
                              </w:rPr>
                            </w:pPr>
                            <w:r w:rsidRPr="00111213">
                              <w:rPr>
                                <w:rFonts w:eastAsia="Times New Roman" w:cstheme="minorHAnsi"/>
                                <w:szCs w:val="24"/>
                                <w:lang w:val="pl-PL" w:eastAsia="pl-PL"/>
                              </w:rPr>
                              <w:t xml:space="preserve"> Atrakcyjność turystyczną: przyrodniczą i kulturową, zabytki </w:t>
                            </w:r>
                            <w:r w:rsidRPr="00111213">
                              <w:rPr>
                                <w:rFonts w:eastAsia="Times New Roman" w:cstheme="minorHAnsi"/>
                                <w:b/>
                                <w:bCs/>
                                <w:szCs w:val="24"/>
                                <w:lang w:val="pl-PL" w:eastAsia="pl-PL"/>
                              </w:rPr>
                              <w:t>(52,54%)</w:t>
                            </w:r>
                          </w:p>
                          <w:p w14:paraId="1871D08A" w14:textId="77777777" w:rsidR="00B14787" w:rsidRPr="00111213" w:rsidRDefault="00B14787" w:rsidP="0004527E">
                            <w:pPr>
                              <w:pStyle w:val="Akapitzlist"/>
                              <w:ind w:left="0"/>
                              <w:jc w:val="both"/>
                              <w:rPr>
                                <w:rFonts w:eastAsia="Times New Roman" w:cstheme="minorHAnsi"/>
                                <w:szCs w:val="24"/>
                                <w:lang w:eastAsia="pl-PL"/>
                              </w:rPr>
                            </w:pPr>
                            <w:r w:rsidRPr="00111213">
                              <w:rPr>
                                <w:rFonts w:eastAsia="Times New Roman" w:cstheme="minorHAnsi"/>
                                <w:szCs w:val="24"/>
                                <w:lang w:eastAsia="pl-PL"/>
                              </w:rPr>
                              <w:t>oraz społeczne:</w:t>
                            </w:r>
                          </w:p>
                          <w:p w14:paraId="615A0FF4" w14:textId="77777777" w:rsidR="00B14787" w:rsidRPr="00111213" w:rsidRDefault="00B14787" w:rsidP="00B063F0">
                            <w:pPr>
                              <w:pStyle w:val="Akapitzlist"/>
                              <w:numPr>
                                <w:ilvl w:val="0"/>
                                <w:numId w:val="20"/>
                              </w:numPr>
                              <w:spacing w:before="0" w:after="160" w:line="259" w:lineRule="auto"/>
                              <w:ind w:left="426" w:hanging="284"/>
                              <w:jc w:val="both"/>
                              <w:rPr>
                                <w:rFonts w:eastAsia="Times New Roman" w:cstheme="minorHAnsi"/>
                                <w:szCs w:val="24"/>
                                <w:lang w:eastAsia="pl-PL"/>
                              </w:rPr>
                            </w:pPr>
                            <w:r w:rsidRPr="00111213">
                              <w:rPr>
                                <w:rFonts w:eastAsia="Times New Roman" w:cstheme="minorHAnsi"/>
                                <w:szCs w:val="24"/>
                                <w:lang w:eastAsia="pl-PL"/>
                              </w:rPr>
                              <w:t xml:space="preserve">Więzi i tradycje rodzinne </w:t>
                            </w:r>
                            <w:r w:rsidRPr="00111213">
                              <w:rPr>
                                <w:rFonts w:eastAsia="Times New Roman" w:cstheme="minorHAnsi"/>
                                <w:b/>
                                <w:bCs/>
                                <w:szCs w:val="24"/>
                                <w:lang w:eastAsia="pl-PL"/>
                              </w:rPr>
                              <w:t>(61,54%)</w:t>
                            </w:r>
                          </w:p>
                          <w:p w14:paraId="5722EAF7" w14:textId="77777777" w:rsidR="00B14787" w:rsidRPr="00111213" w:rsidRDefault="00B14787" w:rsidP="00B063F0">
                            <w:pPr>
                              <w:pStyle w:val="Akapitzlist"/>
                              <w:numPr>
                                <w:ilvl w:val="0"/>
                                <w:numId w:val="20"/>
                              </w:numPr>
                              <w:spacing w:before="0" w:after="160" w:line="259" w:lineRule="auto"/>
                              <w:ind w:left="426" w:hanging="284"/>
                              <w:jc w:val="both"/>
                              <w:rPr>
                                <w:rFonts w:eastAsia="Times New Roman" w:cstheme="minorHAnsi"/>
                                <w:szCs w:val="24"/>
                                <w:lang w:eastAsia="pl-PL"/>
                              </w:rPr>
                            </w:pPr>
                            <w:r w:rsidRPr="00111213">
                              <w:rPr>
                                <w:rFonts w:eastAsia="Times New Roman" w:cstheme="minorHAnsi"/>
                                <w:szCs w:val="24"/>
                                <w:lang w:eastAsia="pl-PL"/>
                              </w:rPr>
                              <w:t xml:space="preserve">Relacje z przyjaciółmi, znajomymi </w:t>
                            </w:r>
                            <w:r w:rsidRPr="00111213">
                              <w:rPr>
                                <w:rFonts w:eastAsia="Times New Roman" w:cstheme="minorHAnsi"/>
                                <w:b/>
                                <w:bCs/>
                                <w:szCs w:val="24"/>
                                <w:lang w:eastAsia="pl-PL"/>
                              </w:rPr>
                              <w:t>(58,02%)</w:t>
                            </w:r>
                          </w:p>
                          <w:p w14:paraId="719CF213" w14:textId="77777777" w:rsidR="00B14787" w:rsidRPr="00111213" w:rsidRDefault="00B14787" w:rsidP="00B063F0">
                            <w:pPr>
                              <w:pStyle w:val="Akapitzlist"/>
                              <w:numPr>
                                <w:ilvl w:val="0"/>
                                <w:numId w:val="20"/>
                              </w:numPr>
                              <w:spacing w:before="0" w:after="160" w:line="259" w:lineRule="auto"/>
                              <w:ind w:left="426" w:hanging="284"/>
                              <w:jc w:val="both"/>
                              <w:rPr>
                                <w:rFonts w:eastAsia="Times New Roman" w:cstheme="minorHAnsi"/>
                                <w:b/>
                                <w:bCs/>
                                <w:szCs w:val="24"/>
                                <w:lang w:eastAsia="pl-PL"/>
                              </w:rPr>
                            </w:pPr>
                            <w:r w:rsidRPr="00111213">
                              <w:rPr>
                                <w:rFonts w:eastAsia="Times New Roman" w:cstheme="minorHAnsi"/>
                                <w:szCs w:val="24"/>
                                <w:lang w:eastAsia="pl-PL"/>
                              </w:rPr>
                              <w:t xml:space="preserve">Bezpieczeństwo </w:t>
                            </w:r>
                            <w:r w:rsidRPr="00111213">
                              <w:rPr>
                                <w:rFonts w:eastAsia="Times New Roman" w:cstheme="minorHAnsi"/>
                                <w:b/>
                                <w:bCs/>
                                <w:szCs w:val="24"/>
                                <w:lang w:eastAsia="pl-PL"/>
                              </w:rPr>
                              <w:t xml:space="preserve">(51,63%) </w:t>
                            </w:r>
                          </w:p>
                          <w:p w14:paraId="2CFFB5C5" w14:textId="77777777" w:rsidR="00B14787" w:rsidRPr="00111213" w:rsidRDefault="00B14787" w:rsidP="0004527E">
                            <w:pPr>
                              <w:pStyle w:val="Akapitzlist"/>
                              <w:ind w:left="0"/>
                              <w:jc w:val="both"/>
                              <w:rPr>
                                <w:rFonts w:eastAsia="Times New Roman" w:cstheme="minorHAnsi"/>
                                <w:szCs w:val="24"/>
                                <w:lang w:val="pl-PL" w:eastAsia="pl-PL"/>
                              </w:rPr>
                            </w:pPr>
                            <w:r w:rsidRPr="00111213">
                              <w:rPr>
                                <w:rFonts w:eastAsia="Times New Roman" w:cstheme="minorHAnsi"/>
                                <w:szCs w:val="24"/>
                                <w:lang w:val="pl-PL" w:eastAsia="pl-PL"/>
                              </w:rPr>
                              <w:t>Podobne zdanie miała młodzież z ostatnich klas szkół ponadpodstawowych, uznając za potencjały Południowych Mazur:</w:t>
                            </w:r>
                          </w:p>
                          <w:p w14:paraId="68ED0B93" w14:textId="77777777" w:rsidR="00B14787" w:rsidRPr="00111213" w:rsidRDefault="00B14787" w:rsidP="00B063F0">
                            <w:pPr>
                              <w:pStyle w:val="Akapitzlist"/>
                              <w:numPr>
                                <w:ilvl w:val="0"/>
                                <w:numId w:val="20"/>
                              </w:numPr>
                              <w:spacing w:before="0" w:after="160" w:line="259" w:lineRule="auto"/>
                              <w:ind w:left="426" w:hanging="284"/>
                              <w:jc w:val="both"/>
                              <w:rPr>
                                <w:rFonts w:eastAsia="Times New Roman" w:cstheme="minorHAnsi"/>
                                <w:szCs w:val="24"/>
                                <w:lang w:val="pl-PL" w:eastAsia="pl-PL"/>
                              </w:rPr>
                            </w:pPr>
                            <w:r w:rsidRPr="00111213">
                              <w:rPr>
                                <w:rFonts w:eastAsia="Times New Roman" w:cstheme="minorHAnsi"/>
                                <w:szCs w:val="24"/>
                                <w:lang w:val="pl-PL" w:eastAsia="pl-PL"/>
                              </w:rPr>
                              <w:t xml:space="preserve">Jakość i czystość środowiska naturalnego (powietrza, wody, zieleni) – </w:t>
                            </w:r>
                            <w:r w:rsidRPr="00111213">
                              <w:rPr>
                                <w:rFonts w:eastAsia="Times New Roman" w:cstheme="minorHAnsi"/>
                                <w:b/>
                                <w:bCs/>
                                <w:szCs w:val="24"/>
                                <w:lang w:val="pl-PL" w:eastAsia="pl-PL"/>
                              </w:rPr>
                              <w:t>(72,30%)</w:t>
                            </w:r>
                          </w:p>
                          <w:p w14:paraId="68E1EB67" w14:textId="77777777" w:rsidR="00B14787" w:rsidRPr="00111213" w:rsidRDefault="00B14787" w:rsidP="00B063F0">
                            <w:pPr>
                              <w:pStyle w:val="Akapitzlist"/>
                              <w:numPr>
                                <w:ilvl w:val="0"/>
                                <w:numId w:val="20"/>
                              </w:numPr>
                              <w:spacing w:before="0" w:after="160" w:line="259" w:lineRule="auto"/>
                              <w:ind w:left="426" w:hanging="284"/>
                              <w:jc w:val="both"/>
                              <w:rPr>
                                <w:rFonts w:eastAsia="Times New Roman" w:cstheme="minorHAnsi"/>
                                <w:szCs w:val="24"/>
                                <w:lang w:val="pl-PL" w:eastAsia="pl-PL"/>
                              </w:rPr>
                            </w:pPr>
                            <w:r w:rsidRPr="00111213">
                              <w:rPr>
                                <w:rFonts w:eastAsia="Times New Roman" w:cstheme="minorHAnsi"/>
                                <w:szCs w:val="24"/>
                                <w:lang w:val="pl-PL" w:eastAsia="pl-PL"/>
                              </w:rPr>
                              <w:t xml:space="preserve">Atrakcyjność turystyczną: przyrodniczą i kulturową, zabytki </w:t>
                            </w:r>
                            <w:r w:rsidRPr="00111213">
                              <w:rPr>
                                <w:rFonts w:eastAsia="Times New Roman" w:cstheme="minorHAnsi"/>
                                <w:b/>
                                <w:bCs/>
                                <w:szCs w:val="24"/>
                                <w:lang w:val="pl-PL" w:eastAsia="pl-PL"/>
                              </w:rPr>
                              <w:t>(57,85%)</w:t>
                            </w:r>
                          </w:p>
                          <w:p w14:paraId="3E10C8ED" w14:textId="77777777" w:rsidR="00B14787" w:rsidRPr="00111213" w:rsidRDefault="00B14787" w:rsidP="00B063F0">
                            <w:pPr>
                              <w:pStyle w:val="Akapitzlist"/>
                              <w:numPr>
                                <w:ilvl w:val="0"/>
                                <w:numId w:val="20"/>
                              </w:numPr>
                              <w:spacing w:before="0" w:after="160" w:line="259" w:lineRule="auto"/>
                              <w:ind w:left="426" w:hanging="284"/>
                              <w:jc w:val="both"/>
                              <w:rPr>
                                <w:rFonts w:eastAsia="Times New Roman" w:cstheme="minorHAnsi"/>
                                <w:szCs w:val="24"/>
                                <w:lang w:eastAsia="pl-PL"/>
                              </w:rPr>
                            </w:pPr>
                            <w:r w:rsidRPr="00111213">
                              <w:rPr>
                                <w:rFonts w:eastAsia="Times New Roman" w:cs="Times New Roman"/>
                                <w:color w:val="000000"/>
                                <w:szCs w:val="24"/>
                                <w:lang w:eastAsia="pl-PL"/>
                              </w:rPr>
                              <w:t xml:space="preserve">Więzi rodzinne </w:t>
                            </w:r>
                            <w:r w:rsidRPr="00111213">
                              <w:rPr>
                                <w:rFonts w:eastAsia="Times New Roman" w:cs="Times New Roman"/>
                                <w:b/>
                                <w:bCs/>
                                <w:color w:val="000000"/>
                                <w:szCs w:val="24"/>
                                <w:lang w:eastAsia="pl-PL"/>
                              </w:rPr>
                              <w:t>(78,37%)</w:t>
                            </w:r>
                          </w:p>
                          <w:p w14:paraId="24F90544" w14:textId="77777777" w:rsidR="00B14787" w:rsidRPr="00111213" w:rsidRDefault="00B14787" w:rsidP="00B063F0">
                            <w:pPr>
                              <w:pStyle w:val="Akapitzlist"/>
                              <w:numPr>
                                <w:ilvl w:val="0"/>
                                <w:numId w:val="20"/>
                              </w:numPr>
                              <w:spacing w:before="0" w:after="160" w:line="259" w:lineRule="auto"/>
                              <w:ind w:left="426" w:hanging="284"/>
                              <w:jc w:val="both"/>
                              <w:rPr>
                                <w:rFonts w:eastAsia="Times New Roman" w:cstheme="minorHAnsi"/>
                                <w:szCs w:val="24"/>
                                <w:lang w:eastAsia="pl-PL"/>
                              </w:rPr>
                            </w:pPr>
                            <w:r w:rsidRPr="00111213">
                              <w:rPr>
                                <w:rFonts w:eastAsia="Times New Roman" w:cs="Times New Roman"/>
                                <w:color w:val="000000"/>
                                <w:szCs w:val="24"/>
                                <w:lang w:eastAsia="pl-PL"/>
                              </w:rPr>
                              <w:t xml:space="preserve">Relacje z przyjaciółmi, znajomymi </w:t>
                            </w:r>
                            <w:r w:rsidRPr="00111213">
                              <w:rPr>
                                <w:rFonts w:eastAsia="Times New Roman" w:cs="Times New Roman"/>
                                <w:b/>
                                <w:bCs/>
                                <w:color w:val="000000"/>
                                <w:szCs w:val="24"/>
                                <w:lang w:eastAsia="pl-PL"/>
                              </w:rPr>
                              <w:t>(74,43%)</w:t>
                            </w:r>
                          </w:p>
                          <w:p w14:paraId="004BBB07" w14:textId="77777777" w:rsidR="00B14787" w:rsidRPr="00111213" w:rsidRDefault="00B14787" w:rsidP="00B063F0">
                            <w:pPr>
                              <w:pStyle w:val="Akapitzlist"/>
                              <w:numPr>
                                <w:ilvl w:val="0"/>
                                <w:numId w:val="20"/>
                              </w:numPr>
                              <w:spacing w:before="0" w:after="160" w:line="259" w:lineRule="auto"/>
                              <w:ind w:left="426" w:hanging="284"/>
                              <w:jc w:val="both"/>
                              <w:rPr>
                                <w:rFonts w:eastAsia="Times New Roman" w:cstheme="minorHAnsi"/>
                                <w:szCs w:val="24"/>
                                <w:lang w:eastAsia="pl-PL"/>
                              </w:rPr>
                            </w:pPr>
                            <w:r w:rsidRPr="00111213">
                              <w:rPr>
                                <w:rFonts w:eastAsia="Times New Roman" w:cs="Times New Roman"/>
                                <w:color w:val="000000"/>
                                <w:szCs w:val="24"/>
                                <w:lang w:eastAsia="pl-PL"/>
                              </w:rPr>
                              <w:t xml:space="preserve">Więzi rodzinne </w:t>
                            </w:r>
                            <w:r w:rsidRPr="00111213">
                              <w:rPr>
                                <w:rFonts w:eastAsia="Times New Roman" w:cs="Times New Roman"/>
                                <w:b/>
                                <w:bCs/>
                                <w:color w:val="000000"/>
                                <w:szCs w:val="24"/>
                                <w:lang w:eastAsia="pl-PL"/>
                              </w:rPr>
                              <w:t>(78,37%)</w:t>
                            </w:r>
                          </w:p>
                          <w:p w14:paraId="7452AD4B" w14:textId="77777777" w:rsidR="00B14787" w:rsidRPr="00111213" w:rsidRDefault="00B14787" w:rsidP="00B063F0">
                            <w:pPr>
                              <w:pStyle w:val="Akapitzlist"/>
                              <w:numPr>
                                <w:ilvl w:val="0"/>
                                <w:numId w:val="20"/>
                              </w:numPr>
                              <w:spacing w:before="0" w:after="160" w:line="259" w:lineRule="auto"/>
                              <w:ind w:left="426" w:hanging="284"/>
                              <w:jc w:val="both"/>
                              <w:rPr>
                                <w:rFonts w:eastAsia="Times New Roman" w:cstheme="minorHAnsi"/>
                                <w:szCs w:val="24"/>
                                <w:lang w:eastAsia="pl-PL"/>
                              </w:rPr>
                            </w:pPr>
                            <w:r w:rsidRPr="00111213">
                              <w:rPr>
                                <w:rFonts w:eastAsia="Times New Roman" w:cstheme="minorHAnsi"/>
                                <w:szCs w:val="24"/>
                                <w:lang w:eastAsia="pl-PL"/>
                              </w:rPr>
                              <w:t xml:space="preserve">Bezpieczeństwo </w:t>
                            </w:r>
                            <w:r w:rsidRPr="00111213">
                              <w:rPr>
                                <w:rFonts w:eastAsia="Times New Roman" w:cstheme="minorHAnsi"/>
                                <w:b/>
                                <w:bCs/>
                                <w:szCs w:val="24"/>
                                <w:lang w:eastAsia="pl-PL"/>
                              </w:rPr>
                              <w:t>(64,88%)</w:t>
                            </w:r>
                            <w:r w:rsidRPr="00111213">
                              <w:rPr>
                                <w:rFonts w:eastAsia="Times New Roman" w:cstheme="minorHAnsi"/>
                                <w:szCs w:val="24"/>
                                <w:lang w:eastAsia="pl-PL"/>
                              </w:rPr>
                              <w:t xml:space="preserve"> </w:t>
                            </w:r>
                          </w:p>
                          <w:p w14:paraId="22CF0777" w14:textId="77777777" w:rsidR="00B14787" w:rsidRPr="00111213" w:rsidRDefault="00B14787" w:rsidP="0004527E">
                            <w:pPr>
                              <w:pStyle w:val="Akapitzlist"/>
                              <w:ind w:left="284" w:hanging="284"/>
                              <w:jc w:val="both"/>
                              <w:rPr>
                                <w:rFonts w:eastAsia="Times New Roman" w:cstheme="minorHAnsi"/>
                                <w:szCs w:val="24"/>
                                <w:lang w:val="pl-PL" w:eastAsia="pl-PL"/>
                              </w:rPr>
                            </w:pPr>
                            <w:r w:rsidRPr="00111213">
                              <w:rPr>
                                <w:rFonts w:eastAsia="Times New Roman" w:cstheme="minorHAnsi"/>
                                <w:szCs w:val="24"/>
                                <w:lang w:val="pl-PL" w:eastAsia="pl-PL"/>
                              </w:rPr>
                              <w:t xml:space="preserve">i dodatkowo: </w:t>
                            </w:r>
                            <w:r w:rsidRPr="00111213">
                              <w:rPr>
                                <w:rFonts w:eastAsia="Times New Roman" w:cs="Times New Roman"/>
                                <w:color w:val="000000"/>
                                <w:szCs w:val="24"/>
                                <w:lang w:val="pl-PL" w:eastAsia="pl-PL"/>
                              </w:rPr>
                              <w:t xml:space="preserve">lokalny patriotyzm, historię </w:t>
                            </w:r>
                            <w:r w:rsidRPr="00111213">
                              <w:rPr>
                                <w:rFonts w:eastAsia="Times New Roman" w:cs="Times New Roman"/>
                                <w:b/>
                                <w:bCs/>
                                <w:color w:val="000000"/>
                                <w:szCs w:val="24"/>
                                <w:lang w:val="pl-PL" w:eastAsia="pl-PL"/>
                              </w:rPr>
                              <w:t>(53,91%).</w:t>
                            </w:r>
                          </w:p>
                          <w:p w14:paraId="7B5E33C6" w14:textId="77777777" w:rsidR="00B14787" w:rsidRPr="00111213" w:rsidRDefault="00B14787" w:rsidP="00F52999">
                            <w:pPr>
                              <w:ind w:left="0"/>
                              <w:jc w:val="both"/>
                              <w:rPr>
                                <w:rFonts w:eastAsia="Times New Roman" w:cstheme="minorHAnsi"/>
                                <w:szCs w:val="24"/>
                                <w:lang w:val="pl-PL" w:eastAsia="pl-PL"/>
                              </w:rPr>
                            </w:pPr>
                          </w:p>
                          <w:p w14:paraId="67F52112" w14:textId="77777777" w:rsidR="00B14787" w:rsidRPr="00733091" w:rsidRDefault="00B14787" w:rsidP="0004527E">
                            <w:pPr>
                              <w:ind w:left="142"/>
                              <w:jc w:val="both"/>
                              <w:rPr>
                                <w:rFonts w:eastAsia="Times New Roman" w:cstheme="minorHAnsi"/>
                                <w:sz w:val="20"/>
                                <w:szCs w:val="20"/>
                                <w:lang w:val="pl-PL" w:eastAsia="pl-P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12A002" id="Pole tekstowe 79" o:spid="_x0000_s1051" type="#_x0000_t202" style="position:absolute;left:0;text-align:left;margin-left:36.5pt;margin-top:-13.3pt;width:418.2pt;height:307.8pt;z-index:251658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" fillcolor="#d9e2f3 [660]" strokecolor="#4472c4 [3204]" strokeweight=".5pt">
                <v:textbox>
                  <w:txbxContent>
                    <w:p w14:paraId="63D7DE5C" w14:textId="77777777" w:rsidR="00B14787" w:rsidRPr="00111213" w:rsidRDefault="00B14787" w:rsidP="0004527E">
                      <w:pPr>
                        <w:pStyle w:val="Akapitzlist"/>
                        <w:ind w:left="0"/>
                        <w:jc w:val="both"/>
                        <w:rPr>
                          <w:rFonts w:eastAsia="Times New Roman" w:cstheme="minorHAnsi"/>
                          <w:szCs w:val="24"/>
                          <w:lang w:val="pl-PL" w:eastAsia="pl-PL"/>
                        </w:rPr>
                      </w:pPr>
                      <w:r w:rsidRPr="00111213">
                        <w:rPr>
                          <w:rFonts w:eastAsia="Times New Roman" w:cstheme="minorHAnsi"/>
                          <w:szCs w:val="24"/>
                          <w:lang w:val="pl-PL" w:eastAsia="pl-PL"/>
                        </w:rPr>
                        <w:t>Do potencjałów Południowych Mazur mieszkańcy obszaru zaliczyli czynniki środowiskowo-kulturowe:</w:t>
                      </w:r>
                    </w:p>
                    <w:p w14:paraId="6B7A4896" w14:textId="77777777" w:rsidR="00B14787" w:rsidRPr="00111213" w:rsidRDefault="00B14787" w:rsidP="00B063F0">
                      <w:pPr>
                        <w:pStyle w:val="Akapitzlist"/>
                        <w:numPr>
                          <w:ilvl w:val="0"/>
                          <w:numId w:val="20"/>
                        </w:numPr>
                        <w:spacing w:before="0" w:after="160" w:line="259" w:lineRule="auto"/>
                        <w:ind w:left="426" w:hanging="284"/>
                        <w:jc w:val="both"/>
                        <w:rPr>
                          <w:rFonts w:eastAsia="Times New Roman" w:cstheme="minorHAnsi"/>
                          <w:szCs w:val="24"/>
                          <w:lang w:val="pl-PL" w:eastAsia="pl-PL"/>
                        </w:rPr>
                      </w:pPr>
                      <w:r w:rsidRPr="00111213">
                        <w:rPr>
                          <w:rFonts w:eastAsia="Times New Roman" w:cstheme="minorHAnsi"/>
                          <w:szCs w:val="24"/>
                          <w:lang w:val="pl-PL" w:eastAsia="pl-PL"/>
                        </w:rPr>
                        <w:t xml:space="preserve">Jakość i czystość środowiska naturalnego (powietrza, wody, zieleni) – </w:t>
                      </w:r>
                      <w:r w:rsidRPr="00111213">
                        <w:rPr>
                          <w:rFonts w:eastAsia="Times New Roman" w:cstheme="minorHAnsi"/>
                          <w:b/>
                          <w:bCs/>
                          <w:szCs w:val="24"/>
                          <w:lang w:val="pl-PL" w:eastAsia="pl-PL"/>
                        </w:rPr>
                        <w:t>(65,45%)</w:t>
                      </w:r>
                    </w:p>
                    <w:p w14:paraId="4D3F822D" w14:textId="77777777" w:rsidR="00B14787" w:rsidRPr="00111213" w:rsidRDefault="00B14787" w:rsidP="00B063F0">
                      <w:pPr>
                        <w:pStyle w:val="Akapitzlist"/>
                        <w:numPr>
                          <w:ilvl w:val="0"/>
                          <w:numId w:val="20"/>
                        </w:numPr>
                        <w:spacing w:before="0" w:after="160" w:line="259" w:lineRule="auto"/>
                        <w:ind w:left="426" w:hanging="284"/>
                        <w:jc w:val="both"/>
                        <w:rPr>
                          <w:rFonts w:eastAsia="Times New Roman" w:cstheme="minorHAnsi"/>
                          <w:szCs w:val="24"/>
                          <w:lang w:val="pl-PL" w:eastAsia="pl-PL"/>
                        </w:rPr>
                      </w:pPr>
                      <w:r w:rsidRPr="00111213">
                        <w:rPr>
                          <w:rFonts w:eastAsia="Times New Roman" w:cstheme="minorHAnsi"/>
                          <w:szCs w:val="24"/>
                          <w:lang w:val="pl-PL" w:eastAsia="pl-PL"/>
                        </w:rPr>
                        <w:t xml:space="preserve"> Atrakcyjność turystyczną: przyrodniczą i kulturową, zabytki </w:t>
                      </w:r>
                      <w:r w:rsidRPr="00111213">
                        <w:rPr>
                          <w:rFonts w:eastAsia="Times New Roman" w:cstheme="minorHAnsi"/>
                          <w:b/>
                          <w:bCs/>
                          <w:szCs w:val="24"/>
                          <w:lang w:val="pl-PL" w:eastAsia="pl-PL"/>
                        </w:rPr>
                        <w:t>(52,54%)</w:t>
                      </w:r>
                    </w:p>
                    <w:p w14:paraId="1871D08A" w14:textId="77777777" w:rsidR="00B14787" w:rsidRPr="00111213" w:rsidRDefault="00B14787" w:rsidP="0004527E">
                      <w:pPr>
                        <w:pStyle w:val="Akapitzlist"/>
                        <w:ind w:left="0"/>
                        <w:jc w:val="both"/>
                        <w:rPr>
                          <w:rFonts w:eastAsia="Times New Roman" w:cstheme="minorHAnsi"/>
                          <w:szCs w:val="24"/>
                          <w:lang w:eastAsia="pl-PL"/>
                        </w:rPr>
                      </w:pPr>
                      <w:r w:rsidRPr="00111213">
                        <w:rPr>
                          <w:rFonts w:eastAsia="Times New Roman" w:cstheme="minorHAnsi"/>
                          <w:szCs w:val="24"/>
                          <w:lang w:eastAsia="pl-PL"/>
                        </w:rPr>
                        <w:t>oraz społeczne:</w:t>
                      </w:r>
                    </w:p>
                    <w:p w14:paraId="615A0FF4" w14:textId="77777777" w:rsidR="00B14787" w:rsidRPr="00111213" w:rsidRDefault="00B14787" w:rsidP="00B063F0">
                      <w:pPr>
                        <w:pStyle w:val="Akapitzlist"/>
                        <w:numPr>
                          <w:ilvl w:val="0"/>
                          <w:numId w:val="20"/>
                        </w:numPr>
                        <w:spacing w:before="0" w:after="160" w:line="259" w:lineRule="auto"/>
                        <w:ind w:left="426" w:hanging="284"/>
                        <w:jc w:val="both"/>
                        <w:rPr>
                          <w:rFonts w:eastAsia="Times New Roman" w:cstheme="minorHAnsi"/>
                          <w:szCs w:val="24"/>
                          <w:lang w:eastAsia="pl-PL"/>
                        </w:rPr>
                      </w:pPr>
                      <w:r w:rsidRPr="00111213">
                        <w:rPr>
                          <w:rFonts w:eastAsia="Times New Roman" w:cstheme="minorHAnsi"/>
                          <w:szCs w:val="24"/>
                          <w:lang w:eastAsia="pl-PL"/>
                        </w:rPr>
                        <w:t xml:space="preserve">Więzi i tradycje rodzinne </w:t>
                      </w:r>
                      <w:r w:rsidRPr="00111213">
                        <w:rPr>
                          <w:rFonts w:eastAsia="Times New Roman" w:cstheme="minorHAnsi"/>
                          <w:b/>
                          <w:bCs/>
                          <w:szCs w:val="24"/>
                          <w:lang w:eastAsia="pl-PL"/>
                        </w:rPr>
                        <w:t>(61,54%)</w:t>
                      </w:r>
                    </w:p>
                    <w:p w14:paraId="5722EAF7" w14:textId="77777777" w:rsidR="00B14787" w:rsidRPr="00111213" w:rsidRDefault="00B14787" w:rsidP="00B063F0">
                      <w:pPr>
                        <w:pStyle w:val="Akapitzlist"/>
                        <w:numPr>
                          <w:ilvl w:val="0"/>
                          <w:numId w:val="20"/>
                        </w:numPr>
                        <w:spacing w:before="0" w:after="160" w:line="259" w:lineRule="auto"/>
                        <w:ind w:left="426" w:hanging="284"/>
                        <w:jc w:val="both"/>
                        <w:rPr>
                          <w:rFonts w:eastAsia="Times New Roman" w:cstheme="minorHAnsi"/>
                          <w:szCs w:val="24"/>
                          <w:lang w:eastAsia="pl-PL"/>
                        </w:rPr>
                      </w:pPr>
                      <w:r w:rsidRPr="00111213">
                        <w:rPr>
                          <w:rFonts w:eastAsia="Times New Roman" w:cstheme="minorHAnsi"/>
                          <w:szCs w:val="24"/>
                          <w:lang w:eastAsia="pl-PL"/>
                        </w:rPr>
                        <w:t xml:space="preserve">Relacje z przyjaciółmi, znajomymi </w:t>
                      </w:r>
                      <w:r w:rsidRPr="00111213">
                        <w:rPr>
                          <w:rFonts w:eastAsia="Times New Roman" w:cstheme="minorHAnsi"/>
                          <w:b/>
                          <w:bCs/>
                          <w:szCs w:val="24"/>
                          <w:lang w:eastAsia="pl-PL"/>
                        </w:rPr>
                        <w:t>(58,02%)</w:t>
                      </w:r>
                    </w:p>
                    <w:p w14:paraId="719CF213" w14:textId="77777777" w:rsidR="00B14787" w:rsidRPr="00111213" w:rsidRDefault="00B14787" w:rsidP="00B063F0">
                      <w:pPr>
                        <w:pStyle w:val="Akapitzlist"/>
                        <w:numPr>
                          <w:ilvl w:val="0"/>
                          <w:numId w:val="20"/>
                        </w:numPr>
                        <w:spacing w:before="0" w:after="160" w:line="259" w:lineRule="auto"/>
                        <w:ind w:left="426" w:hanging="284"/>
                        <w:jc w:val="both"/>
                        <w:rPr>
                          <w:rFonts w:eastAsia="Times New Roman" w:cstheme="minorHAnsi"/>
                          <w:b/>
                          <w:bCs/>
                          <w:szCs w:val="24"/>
                          <w:lang w:eastAsia="pl-PL"/>
                        </w:rPr>
                      </w:pPr>
                      <w:r w:rsidRPr="00111213">
                        <w:rPr>
                          <w:rFonts w:eastAsia="Times New Roman" w:cstheme="minorHAnsi"/>
                          <w:szCs w:val="24"/>
                          <w:lang w:eastAsia="pl-PL"/>
                        </w:rPr>
                        <w:t xml:space="preserve">Bezpieczeństwo </w:t>
                      </w:r>
                      <w:r w:rsidRPr="00111213">
                        <w:rPr>
                          <w:rFonts w:eastAsia="Times New Roman" w:cstheme="minorHAnsi"/>
                          <w:b/>
                          <w:bCs/>
                          <w:szCs w:val="24"/>
                          <w:lang w:eastAsia="pl-PL"/>
                        </w:rPr>
                        <w:t xml:space="preserve">(51,63%) </w:t>
                      </w:r>
                    </w:p>
                    <w:p w14:paraId="2CFFB5C5" w14:textId="77777777" w:rsidR="00B14787" w:rsidRPr="00111213" w:rsidRDefault="00B14787" w:rsidP="0004527E">
                      <w:pPr>
                        <w:pStyle w:val="Akapitzlist"/>
                        <w:ind w:left="0"/>
                        <w:jc w:val="both"/>
                        <w:rPr>
                          <w:rFonts w:eastAsia="Times New Roman" w:cstheme="minorHAnsi"/>
                          <w:szCs w:val="24"/>
                          <w:lang w:val="pl-PL" w:eastAsia="pl-PL"/>
                        </w:rPr>
                      </w:pPr>
                      <w:r w:rsidRPr="00111213">
                        <w:rPr>
                          <w:rFonts w:eastAsia="Times New Roman" w:cstheme="minorHAnsi"/>
                          <w:szCs w:val="24"/>
                          <w:lang w:val="pl-PL" w:eastAsia="pl-PL"/>
                        </w:rPr>
                        <w:t>Podobne zdanie miała młodzież z ostatnich klas szkół ponadpodstawowych, uznając za potencjały Południowych Mazur:</w:t>
                      </w:r>
                    </w:p>
                    <w:p w14:paraId="68ED0B93" w14:textId="77777777" w:rsidR="00B14787" w:rsidRPr="00111213" w:rsidRDefault="00B14787" w:rsidP="00B063F0">
                      <w:pPr>
                        <w:pStyle w:val="Akapitzlist"/>
                        <w:numPr>
                          <w:ilvl w:val="0"/>
                          <w:numId w:val="20"/>
                        </w:numPr>
                        <w:spacing w:before="0" w:after="160" w:line="259" w:lineRule="auto"/>
                        <w:ind w:left="426" w:hanging="284"/>
                        <w:jc w:val="both"/>
                        <w:rPr>
                          <w:rFonts w:eastAsia="Times New Roman" w:cstheme="minorHAnsi"/>
                          <w:szCs w:val="24"/>
                          <w:lang w:val="pl-PL" w:eastAsia="pl-PL"/>
                        </w:rPr>
                      </w:pPr>
                      <w:r w:rsidRPr="00111213">
                        <w:rPr>
                          <w:rFonts w:eastAsia="Times New Roman" w:cstheme="minorHAnsi"/>
                          <w:szCs w:val="24"/>
                          <w:lang w:val="pl-PL" w:eastAsia="pl-PL"/>
                        </w:rPr>
                        <w:t xml:space="preserve">Jakość i czystość środowiska naturalnego (powietrza, wody, zieleni) – </w:t>
                      </w:r>
                      <w:r w:rsidRPr="00111213">
                        <w:rPr>
                          <w:rFonts w:eastAsia="Times New Roman" w:cstheme="minorHAnsi"/>
                          <w:b/>
                          <w:bCs/>
                          <w:szCs w:val="24"/>
                          <w:lang w:val="pl-PL" w:eastAsia="pl-PL"/>
                        </w:rPr>
                        <w:t>(72,30%)</w:t>
                      </w:r>
                    </w:p>
                    <w:p w14:paraId="68E1EB67" w14:textId="77777777" w:rsidR="00B14787" w:rsidRPr="00111213" w:rsidRDefault="00B14787" w:rsidP="00B063F0">
                      <w:pPr>
                        <w:pStyle w:val="Akapitzlist"/>
                        <w:numPr>
                          <w:ilvl w:val="0"/>
                          <w:numId w:val="20"/>
                        </w:numPr>
                        <w:spacing w:before="0" w:after="160" w:line="259" w:lineRule="auto"/>
                        <w:ind w:left="426" w:hanging="284"/>
                        <w:jc w:val="both"/>
                        <w:rPr>
                          <w:rFonts w:eastAsia="Times New Roman" w:cstheme="minorHAnsi"/>
                          <w:szCs w:val="24"/>
                          <w:lang w:val="pl-PL" w:eastAsia="pl-PL"/>
                        </w:rPr>
                      </w:pPr>
                      <w:r w:rsidRPr="00111213">
                        <w:rPr>
                          <w:rFonts w:eastAsia="Times New Roman" w:cstheme="minorHAnsi"/>
                          <w:szCs w:val="24"/>
                          <w:lang w:val="pl-PL" w:eastAsia="pl-PL"/>
                        </w:rPr>
                        <w:t xml:space="preserve">Atrakcyjność turystyczną: przyrodniczą i kulturową, zabytki </w:t>
                      </w:r>
                      <w:r w:rsidRPr="00111213">
                        <w:rPr>
                          <w:rFonts w:eastAsia="Times New Roman" w:cstheme="minorHAnsi"/>
                          <w:b/>
                          <w:bCs/>
                          <w:szCs w:val="24"/>
                          <w:lang w:val="pl-PL" w:eastAsia="pl-PL"/>
                        </w:rPr>
                        <w:t>(57,85%)</w:t>
                      </w:r>
                    </w:p>
                    <w:p w14:paraId="3E10C8ED" w14:textId="77777777" w:rsidR="00B14787" w:rsidRPr="00111213" w:rsidRDefault="00B14787" w:rsidP="00B063F0">
                      <w:pPr>
                        <w:pStyle w:val="Akapitzlist"/>
                        <w:numPr>
                          <w:ilvl w:val="0"/>
                          <w:numId w:val="20"/>
                        </w:numPr>
                        <w:spacing w:before="0" w:after="160" w:line="259" w:lineRule="auto"/>
                        <w:ind w:left="426" w:hanging="284"/>
                        <w:jc w:val="both"/>
                        <w:rPr>
                          <w:rFonts w:eastAsia="Times New Roman" w:cstheme="minorHAnsi"/>
                          <w:szCs w:val="24"/>
                          <w:lang w:eastAsia="pl-PL"/>
                        </w:rPr>
                      </w:pPr>
                      <w:r w:rsidRPr="00111213">
                        <w:rPr>
                          <w:rFonts w:eastAsia="Times New Roman" w:cs="Times New Roman"/>
                          <w:color w:val="000000"/>
                          <w:szCs w:val="24"/>
                          <w:lang w:eastAsia="pl-PL"/>
                        </w:rPr>
                        <w:t xml:space="preserve">Więzi rodzinne </w:t>
                      </w:r>
                      <w:r w:rsidRPr="00111213">
                        <w:rPr>
                          <w:rFonts w:eastAsia="Times New Roman" w:cs="Times New Roman"/>
                          <w:b/>
                          <w:bCs/>
                          <w:color w:val="000000"/>
                          <w:szCs w:val="24"/>
                          <w:lang w:eastAsia="pl-PL"/>
                        </w:rPr>
                        <w:t>(78,37%)</w:t>
                      </w:r>
                    </w:p>
                    <w:p w14:paraId="24F90544" w14:textId="77777777" w:rsidR="00B14787" w:rsidRPr="00111213" w:rsidRDefault="00B14787" w:rsidP="00B063F0">
                      <w:pPr>
                        <w:pStyle w:val="Akapitzlist"/>
                        <w:numPr>
                          <w:ilvl w:val="0"/>
                          <w:numId w:val="20"/>
                        </w:numPr>
                        <w:spacing w:before="0" w:after="160" w:line="259" w:lineRule="auto"/>
                        <w:ind w:left="426" w:hanging="284"/>
                        <w:jc w:val="both"/>
                        <w:rPr>
                          <w:rFonts w:eastAsia="Times New Roman" w:cstheme="minorHAnsi"/>
                          <w:szCs w:val="24"/>
                          <w:lang w:eastAsia="pl-PL"/>
                        </w:rPr>
                      </w:pPr>
                      <w:r w:rsidRPr="00111213">
                        <w:rPr>
                          <w:rFonts w:eastAsia="Times New Roman" w:cs="Times New Roman"/>
                          <w:color w:val="000000"/>
                          <w:szCs w:val="24"/>
                          <w:lang w:eastAsia="pl-PL"/>
                        </w:rPr>
                        <w:t xml:space="preserve">Relacje z przyjaciółmi, znajomymi </w:t>
                      </w:r>
                      <w:r w:rsidRPr="00111213">
                        <w:rPr>
                          <w:rFonts w:eastAsia="Times New Roman" w:cs="Times New Roman"/>
                          <w:b/>
                          <w:bCs/>
                          <w:color w:val="000000"/>
                          <w:szCs w:val="24"/>
                          <w:lang w:eastAsia="pl-PL"/>
                        </w:rPr>
                        <w:t>(74,43%)</w:t>
                      </w:r>
                    </w:p>
                    <w:p w14:paraId="004BBB07" w14:textId="77777777" w:rsidR="00B14787" w:rsidRPr="00111213" w:rsidRDefault="00B14787" w:rsidP="00B063F0">
                      <w:pPr>
                        <w:pStyle w:val="Akapitzlist"/>
                        <w:numPr>
                          <w:ilvl w:val="0"/>
                          <w:numId w:val="20"/>
                        </w:numPr>
                        <w:spacing w:before="0" w:after="160" w:line="259" w:lineRule="auto"/>
                        <w:ind w:left="426" w:hanging="284"/>
                        <w:jc w:val="both"/>
                        <w:rPr>
                          <w:rFonts w:eastAsia="Times New Roman" w:cstheme="minorHAnsi"/>
                          <w:szCs w:val="24"/>
                          <w:lang w:eastAsia="pl-PL"/>
                        </w:rPr>
                      </w:pPr>
                      <w:r w:rsidRPr="00111213">
                        <w:rPr>
                          <w:rFonts w:eastAsia="Times New Roman" w:cs="Times New Roman"/>
                          <w:color w:val="000000"/>
                          <w:szCs w:val="24"/>
                          <w:lang w:eastAsia="pl-PL"/>
                        </w:rPr>
                        <w:t xml:space="preserve">Więzi rodzinne </w:t>
                      </w:r>
                      <w:r w:rsidRPr="00111213">
                        <w:rPr>
                          <w:rFonts w:eastAsia="Times New Roman" w:cs="Times New Roman"/>
                          <w:b/>
                          <w:bCs/>
                          <w:color w:val="000000"/>
                          <w:szCs w:val="24"/>
                          <w:lang w:eastAsia="pl-PL"/>
                        </w:rPr>
                        <w:t>(78,37%)</w:t>
                      </w:r>
                    </w:p>
                    <w:p w14:paraId="7452AD4B" w14:textId="77777777" w:rsidR="00B14787" w:rsidRPr="00111213" w:rsidRDefault="00B14787" w:rsidP="00B063F0">
                      <w:pPr>
                        <w:pStyle w:val="Akapitzlist"/>
                        <w:numPr>
                          <w:ilvl w:val="0"/>
                          <w:numId w:val="20"/>
                        </w:numPr>
                        <w:spacing w:before="0" w:after="160" w:line="259" w:lineRule="auto"/>
                        <w:ind w:left="426" w:hanging="284"/>
                        <w:jc w:val="both"/>
                        <w:rPr>
                          <w:rFonts w:eastAsia="Times New Roman" w:cstheme="minorHAnsi"/>
                          <w:szCs w:val="24"/>
                          <w:lang w:eastAsia="pl-PL"/>
                        </w:rPr>
                      </w:pPr>
                      <w:r w:rsidRPr="00111213">
                        <w:rPr>
                          <w:rFonts w:eastAsia="Times New Roman" w:cstheme="minorHAnsi"/>
                          <w:szCs w:val="24"/>
                          <w:lang w:eastAsia="pl-PL"/>
                        </w:rPr>
                        <w:t xml:space="preserve">Bezpieczeństwo </w:t>
                      </w:r>
                      <w:r w:rsidRPr="00111213">
                        <w:rPr>
                          <w:rFonts w:eastAsia="Times New Roman" w:cstheme="minorHAnsi"/>
                          <w:b/>
                          <w:bCs/>
                          <w:szCs w:val="24"/>
                          <w:lang w:eastAsia="pl-PL"/>
                        </w:rPr>
                        <w:t>(64,88%)</w:t>
                      </w:r>
                      <w:r w:rsidRPr="00111213">
                        <w:rPr>
                          <w:rFonts w:eastAsia="Times New Roman" w:cstheme="minorHAnsi"/>
                          <w:szCs w:val="24"/>
                          <w:lang w:eastAsia="pl-PL"/>
                        </w:rPr>
                        <w:t xml:space="preserve"> </w:t>
                      </w:r>
                    </w:p>
                    <w:p w14:paraId="22CF0777" w14:textId="77777777" w:rsidR="00B14787" w:rsidRPr="00111213" w:rsidRDefault="00B14787" w:rsidP="0004527E">
                      <w:pPr>
                        <w:pStyle w:val="Akapitzlist"/>
                        <w:ind w:left="284" w:hanging="284"/>
                        <w:jc w:val="both"/>
                        <w:rPr>
                          <w:rFonts w:eastAsia="Times New Roman" w:cstheme="minorHAnsi"/>
                          <w:szCs w:val="24"/>
                          <w:lang w:val="pl-PL" w:eastAsia="pl-PL"/>
                        </w:rPr>
                      </w:pPr>
                      <w:r w:rsidRPr="00111213">
                        <w:rPr>
                          <w:rFonts w:eastAsia="Times New Roman" w:cstheme="minorHAnsi"/>
                          <w:szCs w:val="24"/>
                          <w:lang w:val="pl-PL" w:eastAsia="pl-PL"/>
                        </w:rPr>
                        <w:t xml:space="preserve">i dodatkowo: </w:t>
                      </w:r>
                      <w:r w:rsidRPr="00111213">
                        <w:rPr>
                          <w:rFonts w:eastAsia="Times New Roman" w:cs="Times New Roman"/>
                          <w:color w:val="000000"/>
                          <w:szCs w:val="24"/>
                          <w:lang w:val="pl-PL" w:eastAsia="pl-PL"/>
                        </w:rPr>
                        <w:t xml:space="preserve">lokalny patriotyzm, historię </w:t>
                      </w:r>
                      <w:r w:rsidRPr="00111213">
                        <w:rPr>
                          <w:rFonts w:eastAsia="Times New Roman" w:cs="Times New Roman"/>
                          <w:b/>
                          <w:bCs/>
                          <w:color w:val="000000"/>
                          <w:szCs w:val="24"/>
                          <w:lang w:val="pl-PL" w:eastAsia="pl-PL"/>
                        </w:rPr>
                        <w:t>(53,91%).</w:t>
                      </w:r>
                    </w:p>
                    <w:p w14:paraId="7B5E33C6" w14:textId="77777777" w:rsidR="00B14787" w:rsidRPr="00111213" w:rsidRDefault="00B14787" w:rsidP="00F52999">
                      <w:pPr>
                        <w:ind w:left="0"/>
                        <w:jc w:val="both"/>
                        <w:rPr>
                          <w:rFonts w:eastAsia="Times New Roman" w:cstheme="minorHAnsi"/>
                          <w:szCs w:val="24"/>
                          <w:lang w:val="pl-PL" w:eastAsia="pl-PL"/>
                        </w:rPr>
                      </w:pPr>
                    </w:p>
                    <w:p w14:paraId="67F52112" w14:textId="77777777" w:rsidR="00B14787" w:rsidRPr="00733091" w:rsidRDefault="00B14787" w:rsidP="0004527E">
                      <w:pPr>
                        <w:ind w:left="142"/>
                        <w:jc w:val="both"/>
                        <w:rPr>
                          <w:rFonts w:eastAsia="Times New Roman" w:cstheme="minorHAnsi"/>
                          <w:sz w:val="20"/>
                          <w:szCs w:val="20"/>
                          <w:lang w:val="pl-PL" w:eastAsia="pl-PL"/>
                        </w:rPr>
                      </w:pPr>
                    </w:p>
                  </w:txbxContent>
                </v:textbox>
                <w10:wrap anchorx="margin"/>
              </v:shape>
            </w:pict>
          </mc:Fallback>
        </mc:AlternateContent>
      </w:r>
    </w:p>
    <w:p w14:paraId="13E3F5C4" w14:textId="77777777" w:rsidR="0004527E" w:rsidRPr="00733091" w:rsidRDefault="0004527E" w:rsidP="00733091">
      <w:pPr>
        <w:rPr>
          <w:color w:val="44546A" w:themeColor="text2"/>
          <w:sz w:val="18"/>
          <w:szCs w:val="18"/>
          <w:lang w:val="pl-PL"/>
        </w:rPr>
      </w:pPr>
    </w:p>
    <w:p w14:paraId="2B58164E" w14:textId="77777777" w:rsidR="0004527E" w:rsidRPr="00733091" w:rsidRDefault="0004527E" w:rsidP="00733091">
      <w:pPr>
        <w:rPr>
          <w:color w:val="44546A" w:themeColor="text2"/>
          <w:sz w:val="18"/>
          <w:szCs w:val="18"/>
          <w:lang w:val="pl-PL"/>
        </w:rPr>
      </w:pPr>
    </w:p>
    <w:p w14:paraId="6D5C675B" w14:textId="77777777" w:rsidR="0004527E" w:rsidRPr="00733091" w:rsidRDefault="0004527E" w:rsidP="00733091">
      <w:pPr>
        <w:rPr>
          <w:color w:val="44546A" w:themeColor="text2"/>
          <w:sz w:val="18"/>
          <w:szCs w:val="18"/>
          <w:lang w:val="pl-PL"/>
        </w:rPr>
      </w:pPr>
    </w:p>
    <w:p w14:paraId="0CF5F0AB" w14:textId="77777777" w:rsidR="0004527E" w:rsidRPr="00733091" w:rsidRDefault="0004527E" w:rsidP="00733091">
      <w:pPr>
        <w:rPr>
          <w:color w:val="44546A" w:themeColor="text2"/>
          <w:sz w:val="18"/>
          <w:szCs w:val="18"/>
          <w:lang w:val="pl-PL"/>
        </w:rPr>
      </w:pPr>
    </w:p>
    <w:p w14:paraId="521E8518" w14:textId="1F527C26" w:rsidR="0004527E" w:rsidRPr="00A33A7C" w:rsidRDefault="0004527E" w:rsidP="00733091">
      <w:pPr>
        <w:rPr>
          <w:color w:val="44546A" w:themeColor="text2"/>
          <w:sz w:val="18"/>
          <w:szCs w:val="18"/>
          <w:lang w:val="pl-PL"/>
        </w:rPr>
      </w:pPr>
    </w:p>
    <w:p w14:paraId="77E4D3AA" w14:textId="77777777" w:rsidR="0004527E" w:rsidRPr="00A33A7C" w:rsidRDefault="0004527E" w:rsidP="00733091">
      <w:pPr>
        <w:rPr>
          <w:lang w:val="pl-PL"/>
        </w:rPr>
      </w:pPr>
    </w:p>
    <w:p w14:paraId="20991AD1" w14:textId="77777777" w:rsidR="0004527E" w:rsidRPr="00A33A7C" w:rsidRDefault="0004527E" w:rsidP="00733091">
      <w:pPr>
        <w:rPr>
          <w:lang w:val="pl-PL"/>
        </w:rPr>
      </w:pPr>
    </w:p>
    <w:p w14:paraId="2D81C9AC" w14:textId="4777F6D3" w:rsidR="0004527E" w:rsidRPr="00A33A7C" w:rsidRDefault="0004527E" w:rsidP="00733091">
      <w:pPr>
        <w:ind w:left="0"/>
        <w:contextualSpacing/>
        <w:rPr>
          <w:lang w:val="pl-PL"/>
        </w:rPr>
      </w:pPr>
    </w:p>
    <w:p w14:paraId="6044E82C" w14:textId="3B4BCBEA" w:rsidR="00F52999" w:rsidRPr="00A33A7C" w:rsidRDefault="00F52999" w:rsidP="00733091">
      <w:pPr>
        <w:ind w:left="0"/>
        <w:contextualSpacing/>
        <w:rPr>
          <w:lang w:val="pl-PL"/>
        </w:rPr>
      </w:pPr>
    </w:p>
    <w:p w14:paraId="65DAA8A5" w14:textId="1084BD94" w:rsidR="00F52999" w:rsidRPr="00A33A7C" w:rsidRDefault="00F52999" w:rsidP="00733091">
      <w:pPr>
        <w:ind w:left="0"/>
        <w:contextualSpacing/>
        <w:rPr>
          <w:lang w:val="pl-PL"/>
        </w:rPr>
      </w:pPr>
    </w:p>
    <w:p w14:paraId="4F697F00" w14:textId="7E526CAE" w:rsidR="00F52999" w:rsidRPr="00A33A7C" w:rsidRDefault="00F52999" w:rsidP="00733091">
      <w:pPr>
        <w:ind w:left="0"/>
        <w:contextualSpacing/>
        <w:rPr>
          <w:lang w:val="pl-PL"/>
        </w:rPr>
      </w:pPr>
    </w:p>
    <w:p w14:paraId="573560CB" w14:textId="77777777" w:rsidR="00111213" w:rsidRPr="00A33A7C" w:rsidRDefault="00111213" w:rsidP="00733091">
      <w:pPr>
        <w:ind w:left="0"/>
        <w:contextualSpacing/>
        <w:rPr>
          <w:lang w:val="pl-PL"/>
        </w:rPr>
      </w:pPr>
    </w:p>
    <w:p w14:paraId="6617CFDE" w14:textId="77777777" w:rsidR="004859BA" w:rsidRDefault="004859BA" w:rsidP="00733091">
      <w:pPr>
        <w:rPr>
          <w:lang w:val="pl-PL"/>
        </w:rPr>
      </w:pPr>
    </w:p>
    <w:p w14:paraId="6722857A" w14:textId="4071BACB" w:rsidR="0004527E" w:rsidRPr="00733091" w:rsidRDefault="0004527E" w:rsidP="004859BA">
      <w:pPr>
        <w:rPr>
          <w:lang w:val="pl-PL"/>
        </w:rPr>
      </w:pPr>
      <w:r w:rsidRPr="00733091">
        <w:rPr>
          <w:lang w:val="pl-PL"/>
        </w:rPr>
        <w:t>Zasoby i czynniki zewnętrzne (czynniki otoczenia: polityczne, ekonomiczne, społeczno-kulturowe i technologiczne) oddziałujące pozytywnie na kierunki rozwojowe Partnerstwa zidentyfikowano przy wykorzystaniu analizy PEST. Opis czynników zewnętrznych oddziałujących pozytywnie na kierunki rozwojowe (tj. szans) Partnerstwa Południowe Mazury prezentuje tabela poniżej.</w:t>
      </w:r>
    </w:p>
    <w:p w14:paraId="326789CA" w14:textId="3CB19483" w:rsidR="0004527E" w:rsidRDefault="0004527E" w:rsidP="002E24A9">
      <w:pPr>
        <w:pStyle w:val="Legenda"/>
        <w:rPr>
          <w:lang w:val="pl-PL"/>
        </w:rPr>
      </w:pPr>
      <w:bookmarkStart w:id="170" w:name="_Toc69723280"/>
      <w:r w:rsidRPr="00733091">
        <w:rPr>
          <w:lang w:val="pl-PL"/>
        </w:rPr>
        <w:t xml:space="preserve">Tabela </w:t>
      </w:r>
      <w:r w:rsidR="00733091">
        <w:fldChar w:fldCharType="begin"/>
      </w:r>
      <w:r w:rsidR="00733091" w:rsidRPr="00733091">
        <w:rPr>
          <w:lang w:val="pl-PL"/>
        </w:rPr>
        <w:instrText xml:space="preserve"> SEQ Tabela \* ARABIC </w:instrText>
      </w:r>
      <w:r w:rsidR="00733091">
        <w:fldChar w:fldCharType="separate"/>
      </w:r>
      <w:r w:rsidR="00B14787">
        <w:rPr>
          <w:noProof/>
          <w:lang w:val="pl-PL"/>
        </w:rPr>
        <w:t>31</w:t>
      </w:r>
      <w:r w:rsidR="00733091">
        <w:rPr>
          <w:noProof/>
        </w:rPr>
        <w:fldChar w:fldCharType="end"/>
      </w:r>
      <w:r w:rsidRPr="00733091">
        <w:rPr>
          <w:lang w:val="pl-PL"/>
        </w:rPr>
        <w:t>: Zewnętrzne czynniki rozwojowe o oddziaływaniu pozytywnym</w:t>
      </w:r>
      <w:bookmarkEnd w:id="170"/>
    </w:p>
    <w:tbl>
      <w:tblPr>
        <w:tblStyle w:val="CWD"/>
        <w:tblW w:w="0" w:type="auto"/>
        <w:tblLook w:val="04A0" w:firstRow="1" w:lastRow="0" w:firstColumn="1" w:lastColumn="0" w:noHBand="0" w:noVBand="1"/>
      </w:tblPr>
      <w:tblGrid>
        <w:gridCol w:w="2263"/>
        <w:gridCol w:w="6237"/>
      </w:tblGrid>
      <w:tr w:rsidR="00C63C8A" w14:paraId="18A80D97" w14:textId="77777777" w:rsidTr="00C63C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263" w:type="dxa"/>
          </w:tcPr>
          <w:p w14:paraId="725E7B56" w14:textId="4C888BD7" w:rsidR="00C63C8A" w:rsidRDefault="00C63C8A" w:rsidP="00C63C8A">
            <w:pPr>
              <w:ind w:left="0"/>
              <w:rPr>
                <w:lang w:val="pl-PL"/>
              </w:rPr>
            </w:pPr>
            <w:r w:rsidRPr="00C01FFB">
              <w:t>Czynniki zewnętrzne</w:t>
            </w:r>
          </w:p>
        </w:tc>
        <w:tc>
          <w:tcPr>
            <w:tcW w:w="6237" w:type="dxa"/>
          </w:tcPr>
          <w:p w14:paraId="2DAE7415" w14:textId="2D698A94" w:rsidR="00C63C8A" w:rsidRDefault="00C63C8A" w:rsidP="00C63C8A">
            <w:pPr>
              <w:ind w:left="0"/>
              <w:cnfStyle w:val="100000000000" w:firstRow="1" w:lastRow="0" w:firstColumn="0" w:lastColumn="0" w:oddVBand="0" w:evenVBand="0" w:oddHBand="0" w:evenHBand="0" w:firstRowFirstColumn="0" w:firstRowLastColumn="0" w:lastRowFirstColumn="0" w:lastRowLastColumn="0"/>
              <w:rPr>
                <w:lang w:val="pl-PL"/>
              </w:rPr>
            </w:pPr>
            <w:r w:rsidRPr="00C01FFB">
              <w:t>Zidentyfikowane szanse</w:t>
            </w:r>
          </w:p>
        </w:tc>
      </w:tr>
      <w:tr w:rsidR="00C63C8A" w:rsidRPr="00176303" w14:paraId="460831BD" w14:textId="77777777" w:rsidTr="00C63C8A">
        <w:tc>
          <w:tcPr>
            <w:cnfStyle w:val="001000000000" w:firstRow="0" w:lastRow="0" w:firstColumn="1" w:lastColumn="0" w:oddVBand="0" w:evenVBand="0" w:oddHBand="0" w:evenHBand="0" w:firstRowFirstColumn="0" w:firstRowLastColumn="0" w:lastRowFirstColumn="0" w:lastRowLastColumn="0"/>
            <w:tcW w:w="2263" w:type="dxa"/>
          </w:tcPr>
          <w:p w14:paraId="021E2A08" w14:textId="4899B406" w:rsidR="00C63C8A" w:rsidRDefault="00C63C8A" w:rsidP="00C63C8A">
            <w:pPr>
              <w:ind w:left="0"/>
              <w:rPr>
                <w:lang w:val="pl-PL"/>
              </w:rPr>
            </w:pPr>
            <w:r w:rsidRPr="00C01FFB">
              <w:t>Polityczne</w:t>
            </w:r>
          </w:p>
        </w:tc>
        <w:tc>
          <w:tcPr>
            <w:tcW w:w="6237" w:type="dxa"/>
          </w:tcPr>
          <w:p w14:paraId="4B9C2392" w14:textId="77777777" w:rsidR="00C63C8A" w:rsidRPr="00C01FFB" w:rsidRDefault="00C63C8A" w:rsidP="00B063F0">
            <w:pPr>
              <w:pStyle w:val="elementgraficznytabela"/>
              <w:numPr>
                <w:ilvl w:val="0"/>
                <w:numId w:val="42"/>
              </w:numPr>
              <w:spacing w:before="0" w:after="0"/>
              <w:contextualSpacing/>
              <w:cnfStyle w:val="000000000000" w:firstRow="0" w:lastRow="0" w:firstColumn="0" w:lastColumn="0" w:oddVBand="0" w:evenVBand="0" w:oddHBand="0" w:evenHBand="0" w:firstRowFirstColumn="0" w:firstRowLastColumn="0" w:lastRowFirstColumn="0" w:lastRowLastColumn="0"/>
            </w:pPr>
            <w:r w:rsidRPr="00C01FFB">
              <w:t>Polityka socjalna państwa (nowe rozwiązania umożliwiające zwiększenie lokalnej skuteczności instytucjonalnej oraz wsparcie rozwoju aktywności społecznej mieszkańców)</w:t>
            </w:r>
          </w:p>
          <w:p w14:paraId="15C18B7E" w14:textId="77777777" w:rsidR="00C63C8A" w:rsidRDefault="00C63C8A" w:rsidP="00B063F0">
            <w:pPr>
              <w:pStyle w:val="elementgraficznytabela"/>
              <w:numPr>
                <w:ilvl w:val="0"/>
                <w:numId w:val="42"/>
              </w:numPr>
              <w:spacing w:before="0" w:after="0"/>
              <w:contextualSpacing/>
              <w:cnfStyle w:val="000000000000" w:firstRow="0" w:lastRow="0" w:firstColumn="0" w:lastColumn="0" w:oddVBand="0" w:evenVBand="0" w:oddHBand="0" w:evenHBand="0" w:firstRowFirstColumn="0" w:firstRowLastColumn="0" w:lastRowFirstColumn="0" w:lastRowLastColumn="0"/>
            </w:pPr>
            <w:r w:rsidRPr="00C01FFB">
              <w:t>Dostępność środków zewnętrznych (m.in. Krajowy Plan Odbudowy, Regionalne Programy Operacyjne) na finansowanie określonych zamierzeń</w:t>
            </w:r>
          </w:p>
          <w:p w14:paraId="5A3F3605" w14:textId="7B7D6CBD" w:rsidR="00C63C8A" w:rsidRPr="00C63C8A" w:rsidRDefault="00C63C8A" w:rsidP="00B063F0">
            <w:pPr>
              <w:pStyle w:val="elementgraficznytabela"/>
              <w:numPr>
                <w:ilvl w:val="0"/>
                <w:numId w:val="42"/>
              </w:numPr>
              <w:spacing w:before="0" w:after="0"/>
              <w:contextualSpacing/>
              <w:cnfStyle w:val="000000000000" w:firstRow="0" w:lastRow="0" w:firstColumn="0" w:lastColumn="0" w:oddVBand="0" w:evenVBand="0" w:oddHBand="0" w:evenHBand="0" w:firstRowFirstColumn="0" w:firstRowLastColumn="0" w:lastRowFirstColumn="0" w:lastRowLastColumn="0"/>
            </w:pPr>
            <w:r w:rsidRPr="00C63C8A">
              <w:t>Polityka UE w zakresie ochrony środowiska naturalnego</w:t>
            </w:r>
          </w:p>
        </w:tc>
      </w:tr>
      <w:tr w:rsidR="00C63C8A" w:rsidRPr="00176303" w14:paraId="192DCE4D" w14:textId="77777777" w:rsidTr="00C63C8A">
        <w:tc>
          <w:tcPr>
            <w:cnfStyle w:val="001000000000" w:firstRow="0" w:lastRow="0" w:firstColumn="1" w:lastColumn="0" w:oddVBand="0" w:evenVBand="0" w:oddHBand="0" w:evenHBand="0" w:firstRowFirstColumn="0" w:firstRowLastColumn="0" w:lastRowFirstColumn="0" w:lastRowLastColumn="0"/>
            <w:tcW w:w="2263" w:type="dxa"/>
          </w:tcPr>
          <w:p w14:paraId="4368FAEC" w14:textId="24B2F67C" w:rsidR="00C63C8A" w:rsidRDefault="00C63C8A" w:rsidP="00C63C8A">
            <w:pPr>
              <w:ind w:left="0"/>
              <w:rPr>
                <w:lang w:val="pl-PL"/>
              </w:rPr>
            </w:pPr>
            <w:r w:rsidRPr="00C01FFB">
              <w:lastRenderedPageBreak/>
              <w:t>Ekonomiczne</w:t>
            </w:r>
          </w:p>
        </w:tc>
        <w:tc>
          <w:tcPr>
            <w:tcW w:w="6237" w:type="dxa"/>
          </w:tcPr>
          <w:p w14:paraId="00A6AD92" w14:textId="77777777" w:rsidR="00C63C8A" w:rsidRPr="00C01FFB" w:rsidRDefault="00C63C8A" w:rsidP="00B063F0">
            <w:pPr>
              <w:pStyle w:val="elementgraficznytabela"/>
              <w:numPr>
                <w:ilvl w:val="0"/>
                <w:numId w:val="43"/>
              </w:numPr>
              <w:spacing w:before="0" w:after="0"/>
              <w:ind w:left="714" w:hanging="357"/>
              <w:contextualSpacing/>
              <w:cnfStyle w:val="000000000000" w:firstRow="0" w:lastRow="0" w:firstColumn="0" w:lastColumn="0" w:oddVBand="0" w:evenVBand="0" w:oddHBand="0" w:evenHBand="0" w:firstRowFirstColumn="0" w:firstRowLastColumn="0" w:lastRowFirstColumn="0" w:lastRowLastColumn="0"/>
            </w:pPr>
            <w:r w:rsidRPr="00C01FFB">
              <w:t>Dostępność źródeł finansowania (pożyczki, kredyty, poręczenia)</w:t>
            </w:r>
          </w:p>
          <w:p w14:paraId="155D6833" w14:textId="77777777" w:rsidR="00C63C8A" w:rsidRPr="00C01FFB" w:rsidRDefault="00C63C8A" w:rsidP="00B063F0">
            <w:pPr>
              <w:pStyle w:val="elementgraficznytabela"/>
              <w:numPr>
                <w:ilvl w:val="0"/>
                <w:numId w:val="43"/>
              </w:numPr>
              <w:spacing w:before="0" w:after="0"/>
              <w:ind w:left="714" w:hanging="357"/>
              <w:contextualSpacing/>
              <w:cnfStyle w:val="000000000000" w:firstRow="0" w:lastRow="0" w:firstColumn="0" w:lastColumn="0" w:oddVBand="0" w:evenVBand="0" w:oddHBand="0" w:evenHBand="0" w:firstRowFirstColumn="0" w:firstRowLastColumn="0" w:lastRowFirstColumn="0" w:lastRowLastColumn="0"/>
            </w:pPr>
            <w:r w:rsidRPr="00C01FFB">
              <w:t>Aktywność zawodowa osób w wieku poprodukcyjnym</w:t>
            </w:r>
          </w:p>
          <w:p w14:paraId="3B731BCF" w14:textId="77777777" w:rsidR="00C63C8A" w:rsidRPr="00C01FFB" w:rsidRDefault="00C63C8A" w:rsidP="00B063F0">
            <w:pPr>
              <w:pStyle w:val="elementgraficznytabela"/>
              <w:numPr>
                <w:ilvl w:val="0"/>
                <w:numId w:val="43"/>
              </w:numPr>
              <w:spacing w:before="0" w:after="0"/>
              <w:ind w:left="714" w:hanging="357"/>
              <w:contextualSpacing/>
              <w:cnfStyle w:val="000000000000" w:firstRow="0" w:lastRow="0" w:firstColumn="0" w:lastColumn="0" w:oddVBand="0" w:evenVBand="0" w:oddHBand="0" w:evenHBand="0" w:firstRowFirstColumn="0" w:firstRowLastColumn="0" w:lastRowFirstColumn="0" w:lastRowLastColumn="0"/>
            </w:pPr>
            <w:r w:rsidRPr="00C01FFB">
              <w:t>Trendy globalne: zjawisko „green office”, łączące mieszkanie poza centrami dużych ośrodków miejskich/aglomeracji z niezakłóconą pracą zdalną w spokojnym, zielonym otoczeniu</w:t>
            </w:r>
          </w:p>
          <w:p w14:paraId="2D6F12B7" w14:textId="49FEAAC7" w:rsidR="00C63C8A" w:rsidRDefault="00C63C8A" w:rsidP="00C63C8A">
            <w:pPr>
              <w:ind w:left="0"/>
              <w:cnfStyle w:val="000000000000" w:firstRow="0" w:lastRow="0" w:firstColumn="0" w:lastColumn="0" w:oddVBand="0" w:evenVBand="0" w:oddHBand="0" w:evenHBand="0" w:firstRowFirstColumn="0" w:firstRowLastColumn="0" w:lastRowFirstColumn="0" w:lastRowLastColumn="0"/>
              <w:rPr>
                <w:lang w:val="pl-PL"/>
              </w:rPr>
            </w:pPr>
            <w:r w:rsidRPr="00C63C8A">
              <w:rPr>
                <w:lang w:val="pl-PL"/>
              </w:rPr>
              <w:t>Rosnące zainteresowanie turystyką medyczną, zdrowotną, kulturową, ekoturystyką</w:t>
            </w:r>
          </w:p>
        </w:tc>
      </w:tr>
      <w:tr w:rsidR="00C63C8A" w14:paraId="515BE7BA" w14:textId="77777777" w:rsidTr="00C63C8A">
        <w:tc>
          <w:tcPr>
            <w:cnfStyle w:val="001000000000" w:firstRow="0" w:lastRow="0" w:firstColumn="1" w:lastColumn="0" w:oddVBand="0" w:evenVBand="0" w:oddHBand="0" w:evenHBand="0" w:firstRowFirstColumn="0" w:firstRowLastColumn="0" w:lastRowFirstColumn="0" w:lastRowLastColumn="0"/>
            <w:tcW w:w="2263" w:type="dxa"/>
          </w:tcPr>
          <w:p w14:paraId="0D500EF5" w14:textId="49EA7CE5" w:rsidR="00C63C8A" w:rsidRDefault="00C63C8A" w:rsidP="00C63C8A">
            <w:pPr>
              <w:ind w:left="0"/>
              <w:rPr>
                <w:lang w:val="pl-PL"/>
              </w:rPr>
            </w:pPr>
            <w:r w:rsidRPr="00C01FFB">
              <w:t>Społeczno-kulturowe</w:t>
            </w:r>
          </w:p>
        </w:tc>
        <w:tc>
          <w:tcPr>
            <w:tcW w:w="6237" w:type="dxa"/>
          </w:tcPr>
          <w:p w14:paraId="43C6268C" w14:textId="77777777" w:rsidR="00C63C8A" w:rsidRPr="00C01FFB" w:rsidRDefault="00C63C8A" w:rsidP="00B063F0">
            <w:pPr>
              <w:pStyle w:val="elementgraficznytabela"/>
              <w:numPr>
                <w:ilvl w:val="0"/>
                <w:numId w:val="44"/>
              </w:numPr>
              <w:spacing w:before="0" w:after="0"/>
              <w:ind w:left="714" w:hanging="357"/>
              <w:contextualSpacing/>
              <w:cnfStyle w:val="000000000000" w:firstRow="0" w:lastRow="0" w:firstColumn="0" w:lastColumn="0" w:oddVBand="0" w:evenVBand="0" w:oddHBand="0" w:evenHBand="0" w:firstRowFirstColumn="0" w:firstRowLastColumn="0" w:lastRowFirstColumn="0" w:lastRowLastColumn="0"/>
            </w:pPr>
            <w:r w:rsidRPr="00C01FFB">
              <w:t>Moda na zdrowy tryb życia i aktywność fizyczną i balans między pracą a życiem prywatnym</w:t>
            </w:r>
          </w:p>
          <w:p w14:paraId="535A7C35" w14:textId="23C19C08" w:rsidR="00C63C8A" w:rsidRDefault="00C63C8A" w:rsidP="00C63C8A">
            <w:pPr>
              <w:ind w:left="0"/>
              <w:cnfStyle w:val="000000000000" w:firstRow="0" w:lastRow="0" w:firstColumn="0" w:lastColumn="0" w:oddVBand="0" w:evenVBand="0" w:oddHBand="0" w:evenHBand="0" w:firstRowFirstColumn="0" w:firstRowLastColumn="0" w:lastRowFirstColumn="0" w:lastRowLastColumn="0"/>
              <w:rPr>
                <w:lang w:val="pl-PL"/>
              </w:rPr>
            </w:pPr>
            <w:r w:rsidRPr="00C01FFB">
              <w:t>Wzrastająca średnia długość życi</w:t>
            </w:r>
            <w:r>
              <w:t>a</w:t>
            </w:r>
          </w:p>
        </w:tc>
      </w:tr>
      <w:tr w:rsidR="00C63C8A" w:rsidRPr="00176303" w14:paraId="71F8BC15" w14:textId="77777777" w:rsidTr="00C63C8A">
        <w:tc>
          <w:tcPr>
            <w:cnfStyle w:val="001000000000" w:firstRow="0" w:lastRow="0" w:firstColumn="1" w:lastColumn="0" w:oddVBand="0" w:evenVBand="0" w:oddHBand="0" w:evenHBand="0" w:firstRowFirstColumn="0" w:firstRowLastColumn="0" w:lastRowFirstColumn="0" w:lastRowLastColumn="0"/>
            <w:tcW w:w="2263" w:type="dxa"/>
          </w:tcPr>
          <w:p w14:paraId="4DD5A8AE" w14:textId="558BAA35" w:rsidR="00C63C8A" w:rsidRDefault="00C63C8A" w:rsidP="00C63C8A">
            <w:pPr>
              <w:ind w:left="0"/>
              <w:rPr>
                <w:lang w:val="pl-PL"/>
              </w:rPr>
            </w:pPr>
            <w:r w:rsidRPr="00C01FFB">
              <w:t>Technologiczne</w:t>
            </w:r>
          </w:p>
        </w:tc>
        <w:tc>
          <w:tcPr>
            <w:tcW w:w="6237" w:type="dxa"/>
          </w:tcPr>
          <w:p w14:paraId="18B4FA73" w14:textId="6A0DA225" w:rsidR="00C63C8A" w:rsidRDefault="00C63C8A" w:rsidP="00C63C8A">
            <w:pPr>
              <w:ind w:left="0"/>
              <w:cnfStyle w:val="000000000000" w:firstRow="0" w:lastRow="0" w:firstColumn="0" w:lastColumn="0" w:oddVBand="0" w:evenVBand="0" w:oddHBand="0" w:evenHBand="0" w:firstRowFirstColumn="0" w:firstRowLastColumn="0" w:lastRowFirstColumn="0" w:lastRowLastColumn="0"/>
              <w:rPr>
                <w:lang w:val="pl-PL"/>
              </w:rPr>
            </w:pPr>
            <w:r w:rsidRPr="00C63C8A">
              <w:rPr>
                <w:lang w:val="pl-PL"/>
              </w:rPr>
              <w:t>Rozwój masowych środków komunikacji (internet)</w:t>
            </w:r>
            <w:r w:rsidRPr="00C63C8A">
              <w:rPr>
                <w:lang w:val="pl-PL"/>
              </w:rPr>
              <w:br/>
            </w:r>
          </w:p>
        </w:tc>
      </w:tr>
    </w:tbl>
    <w:p w14:paraId="38B01D3B" w14:textId="052D931F" w:rsidR="00797E0C" w:rsidRPr="00797E0C" w:rsidRDefault="0004527E" w:rsidP="004859BA">
      <w:pPr>
        <w:pStyle w:val="podpiselementu"/>
        <w:spacing w:after="240"/>
      </w:pPr>
      <w:r w:rsidRPr="004855CA">
        <w:t>Źródło: opracowanie własne</w:t>
      </w:r>
    </w:p>
    <w:p w14:paraId="15D36A71" w14:textId="29655B57" w:rsidR="00E035C6" w:rsidRPr="00690E7F" w:rsidRDefault="004A5C71" w:rsidP="00733091">
      <w:pPr>
        <w:pStyle w:val="Nagwek2"/>
        <w:spacing w:before="120"/>
        <w:rPr>
          <w:lang w:val="en-US"/>
        </w:rPr>
      </w:pPr>
      <w:bookmarkStart w:id="171" w:name="_Toc69725455"/>
      <w:r w:rsidRPr="004A5C71">
        <w:rPr>
          <w:lang w:val="en-US"/>
        </w:rPr>
        <w:t>Bariery rozwojowe obszaru Partnerstwa</w:t>
      </w:r>
      <w:r w:rsidR="00E035C6" w:rsidRPr="00690E7F">
        <w:rPr>
          <w:lang w:val="en-US"/>
        </w:rPr>
        <w:t>.</w:t>
      </w:r>
      <w:bookmarkEnd w:id="171"/>
    </w:p>
    <w:p w14:paraId="755EC8B8" w14:textId="77777777" w:rsidR="0004527E" w:rsidRPr="00733091" w:rsidRDefault="0004527E" w:rsidP="00733091">
      <w:pPr>
        <w:rPr>
          <w:shd w:val="clear" w:color="auto" w:fill="FFFFFF"/>
          <w:lang w:val="pl-PL"/>
        </w:rPr>
      </w:pPr>
      <w:r w:rsidRPr="00733091">
        <w:rPr>
          <w:shd w:val="clear" w:color="auto" w:fill="FFFFFF"/>
          <w:lang w:val="pl-PL"/>
        </w:rPr>
        <w:t>Bariery rozwojowe to zjawiska lub czynniki (wewnętrzne i zewnętrzne), które uniemożliwiają lub utrudniają realizację kierunków lub celów rozwojowych.</w:t>
      </w:r>
    </w:p>
    <w:p w14:paraId="081B6F5E" w14:textId="0DB56119" w:rsidR="00111213" w:rsidRPr="004859BA" w:rsidRDefault="0004527E" w:rsidP="004859BA">
      <w:pPr>
        <w:rPr>
          <w:shd w:val="clear" w:color="auto" w:fill="FFFFFF"/>
          <w:lang w:val="pl-PL"/>
        </w:rPr>
      </w:pPr>
      <w:r w:rsidRPr="00733091">
        <w:rPr>
          <w:shd w:val="clear" w:color="auto" w:fill="FFFFFF"/>
          <w:lang w:val="pl-PL"/>
        </w:rPr>
        <w:t xml:space="preserve">Czynniki wewnętrzne </w:t>
      </w:r>
      <w:r w:rsidRPr="00733091">
        <w:rPr>
          <w:lang w:val="pl-PL"/>
        </w:rPr>
        <w:t xml:space="preserve">mające istotny, negatywny wpływ na realizację kierunków rozwojowych to wewnętrzne bariery rozwojowe (słabe strony). </w:t>
      </w:r>
      <w:r w:rsidRPr="00733091">
        <w:rPr>
          <w:color w:val="001133"/>
          <w:shd w:val="clear" w:color="auto" w:fill="FFFFFF"/>
          <w:lang w:val="pl-PL"/>
        </w:rPr>
        <w:t xml:space="preserve">Podzielono je na pięć grup, tożsamych rodzajowo z potencjałami, tj. społeczno-kulturowe, przestrzenne i techniczne, środowiskowe, gospodarcze </w:t>
      </w:r>
      <w:r w:rsidRPr="00733091">
        <w:rPr>
          <w:color w:val="001133"/>
          <w:shd w:val="clear" w:color="auto" w:fill="FFFFFF"/>
          <w:lang w:val="pl-PL"/>
        </w:rPr>
        <w:br/>
        <w:t xml:space="preserve">i instytucjonalne. </w:t>
      </w:r>
      <w:r w:rsidRPr="00733091">
        <w:rPr>
          <w:shd w:val="clear" w:color="auto" w:fill="FFFFFF"/>
          <w:lang w:val="pl-PL"/>
        </w:rPr>
        <w:t>Opis czynników wewnętrznych negatywnie oddziałujących na kierunki rozwojowe oraz wykaz zidentyfikowanych barier obszaru Partnerstwa prezentuje poniższa tabela.</w:t>
      </w:r>
    </w:p>
    <w:p w14:paraId="728BDF8D" w14:textId="09E2382A" w:rsidR="00C01FFB" w:rsidRDefault="0004527E" w:rsidP="002E24A9">
      <w:pPr>
        <w:pStyle w:val="Legenda"/>
        <w:rPr>
          <w:lang w:val="pl-PL"/>
        </w:rPr>
      </w:pPr>
      <w:bookmarkStart w:id="172" w:name="_Toc69723281"/>
      <w:r w:rsidRPr="00733091">
        <w:rPr>
          <w:lang w:val="pl-PL"/>
        </w:rPr>
        <w:lastRenderedPageBreak/>
        <w:t xml:space="preserve">Tabela </w:t>
      </w:r>
      <w:r w:rsidR="00733091">
        <w:fldChar w:fldCharType="begin"/>
      </w:r>
      <w:r w:rsidR="00733091" w:rsidRPr="00733091">
        <w:rPr>
          <w:lang w:val="pl-PL"/>
        </w:rPr>
        <w:instrText xml:space="preserve"> SEQ Tabela \* ARABIC </w:instrText>
      </w:r>
      <w:r w:rsidR="00733091">
        <w:fldChar w:fldCharType="separate"/>
      </w:r>
      <w:r w:rsidR="00B14787">
        <w:rPr>
          <w:noProof/>
          <w:lang w:val="pl-PL"/>
        </w:rPr>
        <w:t>32</w:t>
      </w:r>
      <w:r w:rsidR="00733091">
        <w:rPr>
          <w:noProof/>
        </w:rPr>
        <w:fldChar w:fldCharType="end"/>
      </w:r>
      <w:r w:rsidRPr="00733091">
        <w:rPr>
          <w:lang w:val="pl-PL"/>
        </w:rPr>
        <w:t>: Wewnętrzne czynniki rozwojowe o oddziaływaniu negatywnym</w:t>
      </w:r>
      <w:bookmarkEnd w:id="172"/>
    </w:p>
    <w:tbl>
      <w:tblPr>
        <w:tblStyle w:val="CWD"/>
        <w:tblW w:w="0" w:type="auto"/>
        <w:tblLook w:val="04A0" w:firstRow="1" w:lastRow="0" w:firstColumn="1" w:lastColumn="0" w:noHBand="0" w:noVBand="1"/>
      </w:tblPr>
      <w:tblGrid>
        <w:gridCol w:w="1838"/>
        <w:gridCol w:w="3260"/>
        <w:gridCol w:w="3784"/>
      </w:tblGrid>
      <w:tr w:rsidR="00C63C8A" w14:paraId="7B0E850E" w14:textId="77777777" w:rsidTr="00745CDB">
        <w:trPr>
          <w:cnfStyle w:val="100000000000" w:firstRow="1" w:lastRow="0" w:firstColumn="0" w:lastColumn="0" w:oddVBand="0" w:evenVBand="0" w:oddHBand="0" w:evenHBand="0" w:firstRowFirstColumn="0" w:firstRowLastColumn="0" w:lastRowFirstColumn="0" w:lastRowLastColumn="0"/>
          <w:trHeight w:val="319"/>
          <w:tblHeader/>
        </w:trPr>
        <w:tc>
          <w:tcPr>
            <w:cnfStyle w:val="001000000000" w:firstRow="0" w:lastRow="0" w:firstColumn="1" w:lastColumn="0" w:oddVBand="0" w:evenVBand="0" w:oddHBand="0" w:evenHBand="0" w:firstRowFirstColumn="0" w:firstRowLastColumn="0" w:lastRowFirstColumn="0" w:lastRowLastColumn="0"/>
            <w:tcW w:w="1838" w:type="dxa"/>
          </w:tcPr>
          <w:p w14:paraId="3FA1E327" w14:textId="65DB213D" w:rsidR="00C63C8A" w:rsidRDefault="00C63C8A" w:rsidP="00C63C8A">
            <w:pPr>
              <w:ind w:left="0"/>
              <w:rPr>
                <w:lang w:val="pl-PL"/>
              </w:rPr>
            </w:pPr>
            <w:r w:rsidRPr="00C01FFB">
              <w:t>Czynniki wewnętrzne</w:t>
            </w:r>
          </w:p>
        </w:tc>
        <w:tc>
          <w:tcPr>
            <w:tcW w:w="3260" w:type="dxa"/>
          </w:tcPr>
          <w:p w14:paraId="40943020" w14:textId="229711C8" w:rsidR="00C63C8A" w:rsidRDefault="00C63C8A" w:rsidP="00C63C8A">
            <w:pPr>
              <w:ind w:left="0"/>
              <w:cnfStyle w:val="100000000000" w:firstRow="1" w:lastRow="0" w:firstColumn="0" w:lastColumn="0" w:oddVBand="0" w:evenVBand="0" w:oddHBand="0" w:evenHBand="0" w:firstRowFirstColumn="0" w:firstRowLastColumn="0" w:lastRowFirstColumn="0" w:lastRowLastColumn="0"/>
              <w:rPr>
                <w:lang w:val="pl-PL"/>
              </w:rPr>
            </w:pPr>
            <w:r w:rsidRPr="00C01FFB">
              <w:t>Opis czynnika</w:t>
            </w:r>
          </w:p>
        </w:tc>
        <w:tc>
          <w:tcPr>
            <w:tcW w:w="3784" w:type="dxa"/>
          </w:tcPr>
          <w:p w14:paraId="1007171E" w14:textId="1891D95C" w:rsidR="00C63C8A" w:rsidRDefault="00C63C8A" w:rsidP="00C63C8A">
            <w:pPr>
              <w:ind w:left="0"/>
              <w:cnfStyle w:val="100000000000" w:firstRow="1" w:lastRow="0" w:firstColumn="0" w:lastColumn="0" w:oddVBand="0" w:evenVBand="0" w:oddHBand="0" w:evenHBand="0" w:firstRowFirstColumn="0" w:firstRowLastColumn="0" w:lastRowFirstColumn="0" w:lastRowLastColumn="0"/>
              <w:rPr>
                <w:lang w:val="pl-PL"/>
              </w:rPr>
            </w:pPr>
            <w:r w:rsidRPr="00C01FFB">
              <w:t>Zidentyfikowane bariery</w:t>
            </w:r>
          </w:p>
        </w:tc>
      </w:tr>
      <w:tr w:rsidR="00C63C8A" w:rsidRPr="00176303" w14:paraId="22E1F297" w14:textId="77777777" w:rsidTr="00745CDB">
        <w:tc>
          <w:tcPr>
            <w:cnfStyle w:val="001000000000" w:firstRow="0" w:lastRow="0" w:firstColumn="1" w:lastColumn="0" w:oddVBand="0" w:evenVBand="0" w:oddHBand="0" w:evenHBand="0" w:firstRowFirstColumn="0" w:firstRowLastColumn="0" w:lastRowFirstColumn="0" w:lastRowLastColumn="0"/>
            <w:tcW w:w="1838" w:type="dxa"/>
          </w:tcPr>
          <w:p w14:paraId="77135BE6" w14:textId="77777777" w:rsidR="00C63C8A" w:rsidRPr="004859BA" w:rsidRDefault="00C63C8A" w:rsidP="00C63C8A">
            <w:pPr>
              <w:pStyle w:val="elementgraficznytabela"/>
              <w:spacing w:before="100" w:beforeAutospacing="1" w:after="100" w:afterAutospacing="1"/>
              <w:contextualSpacing/>
              <w:rPr>
                <w:rFonts w:cstheme="minorHAnsi"/>
                <w:szCs w:val="24"/>
              </w:rPr>
            </w:pPr>
            <w:r w:rsidRPr="004859BA">
              <w:rPr>
                <w:rFonts w:cstheme="minorHAnsi"/>
                <w:szCs w:val="24"/>
              </w:rPr>
              <w:t>Społeczno-kulturowe</w:t>
            </w:r>
          </w:p>
          <w:p w14:paraId="3CB98376" w14:textId="77777777" w:rsidR="00C63C8A" w:rsidRPr="004859BA" w:rsidRDefault="00C63C8A" w:rsidP="00C63C8A">
            <w:pPr>
              <w:pStyle w:val="elementgraficznytabela"/>
              <w:spacing w:before="100" w:beforeAutospacing="1" w:after="100" w:afterAutospacing="1"/>
              <w:contextualSpacing/>
              <w:rPr>
                <w:rFonts w:cstheme="minorHAnsi"/>
                <w:szCs w:val="24"/>
              </w:rPr>
            </w:pPr>
            <w:r w:rsidRPr="004859BA">
              <w:rPr>
                <w:rFonts w:cstheme="minorHAnsi"/>
                <w:szCs w:val="24"/>
              </w:rPr>
              <mc:AlternateContent>
                <mc:Choice Requires="wps">
                  <w:drawing>
                    <wp:anchor distT="0" distB="0" distL="114300" distR="114300" simplePos="0" relativeHeight="251658274" behindDoc="0" locked="0" layoutInCell="1" allowOverlap="1" wp14:anchorId="717BFD04" wp14:editId="3CA66895">
                      <wp:simplePos x="0" y="0"/>
                      <wp:positionH relativeFrom="column">
                        <wp:posOffset>-7620</wp:posOffset>
                      </wp:positionH>
                      <wp:positionV relativeFrom="paragraph">
                        <wp:posOffset>81915</wp:posOffset>
                      </wp:positionV>
                      <wp:extent cx="453390" cy="430530"/>
                      <wp:effectExtent l="0" t="0" r="22860" b="26670"/>
                      <wp:wrapNone/>
                      <wp:docPr id="129" name="Owal 129" descr="Grupa"/>
                      <wp:cNvGraphicFramePr/>
                      <a:graphic xmlns:a="http://schemas.openxmlformats.org/drawingml/2006/main">
                        <a:graphicData uri="http://schemas.microsoft.com/office/word/2010/wordprocessingShape">
                          <wps:wsp>
                            <wps:cNvSpPr/>
                            <wps:spPr>
                              <a:xfrm>
                                <a:off x="0" y="0"/>
                                <a:ext cx="453390" cy="430530"/>
                              </a:xfrm>
                              <a:prstGeom prst="ellipse">
                                <a:avLst/>
                              </a:prstGeom>
                              <a:blipFill>
                                <a:blip r:embed="rId166">
                                  <a:extLst>
                                    <a:ext uri="{96DAC541-7B7A-43D3-8B79-37D633B846F1}">
                                      <asvg:svgBlip xmlns:asvg="http://schemas.microsoft.com/office/drawing/2016/SVG/main" r:embed="rId167"/>
                                    </a:ext>
                                  </a:extLst>
                                </a:blip>
                                <a:srcRect/>
                                <a:stretch>
                                  <a:fillRect/>
                                </a:stretch>
                              </a:blipFill>
                              <a:ln w="9525"/>
                            </wps:spPr>
                            <wps:style>
                              <a:lnRef idx="3">
                                <a:scrgbClr r="0" g="0" b="0"/>
                              </a:lnRef>
                              <a:fillRef idx="1">
                                <a:scrgbClr r="0" g="0" b="0"/>
                              </a:fillRef>
                              <a:effectRef idx="1">
                                <a:schemeClr val="dk1">
                                  <a:tint val="40000"/>
                                  <a:hueOff val="0"/>
                                  <a:satOff val="0"/>
                                  <a:lumOff val="0"/>
                                  <a:alphaOff val="0"/>
                                </a:schemeClr>
                              </a:effectRef>
                              <a:fontRef idx="minor">
                                <a:schemeClr val="lt1">
                                  <a:hueOff val="0"/>
                                  <a:satOff val="0"/>
                                  <a:lumOff val="0"/>
                                  <a:alphaOff val="0"/>
                                </a:schemeClr>
                              </a:fontRef>
                            </wps:style>
                            <wps:bodyPr/>
                          </wps:wsp>
                        </a:graphicData>
                      </a:graphic>
                      <wp14:sizeRelH relativeFrom="margin">
                        <wp14:pctWidth>0</wp14:pctWidth>
                      </wp14:sizeRelH>
                      <wp14:sizeRelV relativeFrom="margin">
                        <wp14:pctHeight>0</wp14:pctHeight>
                      </wp14:sizeRelV>
                    </wp:anchor>
                  </w:drawing>
                </mc:Choice>
                <mc:Fallback>
                  <w:pict>
                    <v:oval w14:anchorId="059EB947" id="Owal 129" o:spid="_x0000_s1026" alt="Grupa" style="position:absolute;margin-left:-.6pt;margin-top:6.45pt;width:35.7pt;height:33.9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">
                      <v:fill r:id="rId168" o:title="Grupa" recolor="t" rotate="t" type="frame"/>
                      <v:stroke joinstyle="miter"/>
                    </v:oval>
                  </w:pict>
                </mc:Fallback>
              </mc:AlternateContent>
            </w:r>
          </w:p>
          <w:p w14:paraId="33F517EA" w14:textId="77777777" w:rsidR="00C63C8A" w:rsidRDefault="00C63C8A" w:rsidP="00C63C8A">
            <w:pPr>
              <w:ind w:left="0"/>
              <w:rPr>
                <w:lang w:val="pl-PL"/>
              </w:rPr>
            </w:pPr>
          </w:p>
        </w:tc>
        <w:tc>
          <w:tcPr>
            <w:tcW w:w="3260" w:type="dxa"/>
          </w:tcPr>
          <w:p w14:paraId="5CA341E0" w14:textId="46FBD740" w:rsidR="00C63C8A" w:rsidRPr="007A0678" w:rsidRDefault="00C63C8A" w:rsidP="00C63C8A">
            <w:pPr>
              <w:pStyle w:val="elementgraficznytabela"/>
              <w:spacing w:before="100" w:beforeAutospacing="1" w:after="100" w:afterAutospacing="1"/>
              <w:contextualSpacing/>
              <w:cnfStyle w:val="000000000000" w:firstRow="0" w:lastRow="0" w:firstColumn="0" w:lastColumn="0" w:oddVBand="0" w:evenVBand="0" w:oddHBand="0" w:evenHBand="0" w:firstRowFirstColumn="0" w:firstRowLastColumn="0" w:lastRowFirstColumn="0" w:lastRowLastColumn="0"/>
              <w:rPr>
                <w:rFonts w:cstheme="minorHAnsi"/>
                <w:color w:val="000000"/>
                <w:szCs w:val="24"/>
                <w:shd w:val="clear" w:color="auto" w:fill="FFFFFF"/>
              </w:rPr>
            </w:pPr>
            <w:r w:rsidRPr="00C01FFB">
              <w:t>Związane z niewystarczającym poziomem</w:t>
            </w:r>
            <w:r w:rsidRPr="00C01FFB">
              <w:rPr>
                <w:rStyle w:val="def"/>
              </w:rPr>
              <w:t xml:space="preserve"> wiedzy i umiejętności mieszkańców, </w:t>
            </w:r>
            <w:r w:rsidRPr="00C01FFB">
              <w:t>brakami w aktywności społecznej, niskim poziomem integracji i kultury społeczności lub niekorzystnymi cechami lub zjawiskami demograficznymi populacji (wysoka śmiertelność, niekorzystna struktura wiekowa mieszkańców, starzenie się społeczeństwa)</w:t>
            </w:r>
          </w:p>
        </w:tc>
        <w:tc>
          <w:tcPr>
            <w:tcW w:w="3784" w:type="dxa"/>
          </w:tcPr>
          <w:p w14:paraId="59EFD178" w14:textId="77777777" w:rsidR="00C63C8A" w:rsidRPr="00C01FFB" w:rsidRDefault="00C63C8A" w:rsidP="00B063F0">
            <w:pPr>
              <w:pStyle w:val="elementgraficznytabela"/>
              <w:numPr>
                <w:ilvl w:val="0"/>
                <w:numId w:val="45"/>
              </w:numPr>
              <w:spacing w:after="240"/>
              <w:contextualSpacing/>
              <w:cnfStyle w:val="000000000000" w:firstRow="0" w:lastRow="0" w:firstColumn="0" w:lastColumn="0" w:oddVBand="0" w:evenVBand="0" w:oddHBand="0" w:evenHBand="0" w:firstRowFirstColumn="0" w:firstRowLastColumn="0" w:lastRowFirstColumn="0" w:lastRowLastColumn="0"/>
            </w:pPr>
            <w:r w:rsidRPr="00C01FFB">
              <w:t>Niska aktywność społeczna mieszkańców</w:t>
            </w:r>
          </w:p>
          <w:p w14:paraId="6043C787" w14:textId="77777777" w:rsidR="00C63C8A" w:rsidRPr="00C01FFB" w:rsidRDefault="00C63C8A" w:rsidP="00B063F0">
            <w:pPr>
              <w:pStyle w:val="elementgraficznytabela"/>
              <w:numPr>
                <w:ilvl w:val="0"/>
                <w:numId w:val="45"/>
              </w:numPr>
              <w:spacing w:after="240"/>
              <w:contextualSpacing/>
              <w:cnfStyle w:val="000000000000" w:firstRow="0" w:lastRow="0" w:firstColumn="0" w:lastColumn="0" w:oddVBand="0" w:evenVBand="0" w:oddHBand="0" w:evenHBand="0" w:firstRowFirstColumn="0" w:firstRowLastColumn="0" w:lastRowFirstColumn="0" w:lastRowLastColumn="0"/>
            </w:pPr>
            <w:r w:rsidRPr="00C01FFB">
              <w:t>Niski poziom integracji mieszkańców</w:t>
            </w:r>
          </w:p>
          <w:p w14:paraId="234A6534" w14:textId="77777777" w:rsidR="00C63C8A" w:rsidRPr="00C01FFB" w:rsidRDefault="00C63C8A" w:rsidP="00B063F0">
            <w:pPr>
              <w:pStyle w:val="elementgraficznytabela"/>
              <w:numPr>
                <w:ilvl w:val="0"/>
                <w:numId w:val="45"/>
              </w:numPr>
              <w:spacing w:after="240"/>
              <w:contextualSpacing/>
              <w:cnfStyle w:val="000000000000" w:firstRow="0" w:lastRow="0" w:firstColumn="0" w:lastColumn="0" w:oddVBand="0" w:evenVBand="0" w:oddHBand="0" w:evenHBand="0" w:firstRowFirstColumn="0" w:firstRowLastColumn="0" w:lastRowFirstColumn="0" w:lastRowLastColumn="0"/>
            </w:pPr>
            <w:r w:rsidRPr="00C01FFB">
              <w:t>Niska jakość edukacji</w:t>
            </w:r>
          </w:p>
          <w:p w14:paraId="78194997" w14:textId="77777777" w:rsidR="00C63C8A" w:rsidRPr="00C01FFB" w:rsidRDefault="00C63C8A" w:rsidP="00B063F0">
            <w:pPr>
              <w:pStyle w:val="elementgraficznytabela"/>
              <w:numPr>
                <w:ilvl w:val="0"/>
                <w:numId w:val="45"/>
              </w:numPr>
              <w:spacing w:after="240"/>
              <w:contextualSpacing/>
              <w:cnfStyle w:val="000000000000" w:firstRow="0" w:lastRow="0" w:firstColumn="0" w:lastColumn="0" w:oddVBand="0" w:evenVBand="0" w:oddHBand="0" w:evenHBand="0" w:firstRowFirstColumn="0" w:firstRowLastColumn="0" w:lastRowFirstColumn="0" w:lastRowLastColumn="0"/>
            </w:pPr>
            <w:r w:rsidRPr="00C01FFB">
              <w:t>Niska dostępność usług w zakresie kultury wysokiej</w:t>
            </w:r>
          </w:p>
          <w:p w14:paraId="7D290D8E" w14:textId="3A11AAC4" w:rsidR="00C63C8A" w:rsidRPr="00C01FFB" w:rsidRDefault="00C63C8A" w:rsidP="00B063F0">
            <w:pPr>
              <w:pStyle w:val="elementgraficznytabela"/>
              <w:numPr>
                <w:ilvl w:val="0"/>
                <w:numId w:val="45"/>
              </w:numPr>
              <w:spacing w:after="240"/>
              <w:contextualSpacing/>
              <w:cnfStyle w:val="000000000000" w:firstRow="0" w:lastRow="0" w:firstColumn="0" w:lastColumn="0" w:oddVBand="0" w:evenVBand="0" w:oddHBand="0" w:evenHBand="0" w:firstRowFirstColumn="0" w:firstRowLastColumn="0" w:lastRowFirstColumn="0" w:lastRowLastColumn="0"/>
            </w:pPr>
            <w:r w:rsidRPr="00C01FFB">
              <w:t xml:space="preserve">Niska dostępność </w:t>
            </w:r>
            <w:r w:rsidR="005E6B0D">
              <w:t xml:space="preserve">do specjaliztycznych i </w:t>
            </w:r>
            <w:r w:rsidRPr="00C01FFB">
              <w:t>wysokospecjalistycznych usług zdrowotnych</w:t>
            </w:r>
          </w:p>
          <w:p w14:paraId="77DE369C" w14:textId="77109019" w:rsidR="00C63C8A" w:rsidRPr="005366A1" w:rsidRDefault="00C63C8A" w:rsidP="005366A1">
            <w:pPr>
              <w:pStyle w:val="elementgraficznytabela"/>
              <w:numPr>
                <w:ilvl w:val="0"/>
                <w:numId w:val="45"/>
              </w:numPr>
              <w:spacing w:after="240"/>
              <w:contextualSpacing/>
              <w:cnfStyle w:val="000000000000" w:firstRow="0" w:lastRow="0" w:firstColumn="0" w:lastColumn="0" w:oddVBand="0" w:evenVBand="0" w:oddHBand="0" w:evenHBand="0" w:firstRowFirstColumn="0" w:firstRowLastColumn="0" w:lastRowFirstColumn="0" w:lastRowLastColumn="0"/>
            </w:pPr>
            <w:r w:rsidRPr="00C01FFB">
              <w:t>Niekorzystne zmiany struktury wiekowej mieszkańców (migracje ludzi młodych</w:t>
            </w:r>
            <w:r w:rsidR="005E6B0D">
              <w:t>, starzenie się społeczeństwa</w:t>
            </w:r>
            <w:r w:rsidRPr="00C01FFB">
              <w:t>)</w:t>
            </w:r>
          </w:p>
        </w:tc>
      </w:tr>
      <w:tr w:rsidR="00C63C8A" w:rsidRPr="00176303" w14:paraId="0691D7A4" w14:textId="77777777" w:rsidTr="00745CDB">
        <w:tc>
          <w:tcPr>
            <w:cnfStyle w:val="001000000000" w:firstRow="0" w:lastRow="0" w:firstColumn="1" w:lastColumn="0" w:oddVBand="0" w:evenVBand="0" w:oddHBand="0" w:evenHBand="0" w:firstRowFirstColumn="0" w:firstRowLastColumn="0" w:lastRowFirstColumn="0" w:lastRowLastColumn="0"/>
            <w:tcW w:w="1838" w:type="dxa"/>
          </w:tcPr>
          <w:p w14:paraId="51243E55" w14:textId="77777777" w:rsidR="00C63C8A" w:rsidRDefault="00C63C8A" w:rsidP="00C63C8A">
            <w:pPr>
              <w:ind w:left="0"/>
              <w:rPr>
                <w:lang w:val="pl-PL"/>
              </w:rPr>
            </w:pPr>
            <w:r w:rsidRPr="004859BA">
              <w:rPr>
                <w:rFonts w:cstheme="minorHAnsi"/>
                <w:noProof/>
                <w:szCs w:val="24"/>
              </w:rPr>
              <mc:AlternateContent>
                <mc:Choice Requires="wps">
                  <w:drawing>
                    <wp:anchor distT="0" distB="0" distL="114300" distR="114300" simplePos="0" relativeHeight="251658276" behindDoc="0" locked="0" layoutInCell="1" allowOverlap="1" wp14:anchorId="5706E5C8" wp14:editId="5387F2AC">
                      <wp:simplePos x="0" y="0"/>
                      <wp:positionH relativeFrom="column">
                        <wp:posOffset>36195</wp:posOffset>
                      </wp:positionH>
                      <wp:positionV relativeFrom="paragraph">
                        <wp:posOffset>643255</wp:posOffset>
                      </wp:positionV>
                      <wp:extent cx="502920" cy="487680"/>
                      <wp:effectExtent l="0" t="0" r="11430" b="26670"/>
                      <wp:wrapNone/>
                      <wp:docPr id="136" name="Owal 136" descr="Mapa z pinezką"/>
                      <wp:cNvGraphicFramePr/>
                      <a:graphic xmlns:a="http://schemas.openxmlformats.org/drawingml/2006/main">
                        <a:graphicData uri="http://schemas.microsoft.com/office/word/2010/wordprocessingShape">
                          <wps:wsp>
                            <wps:cNvSpPr/>
                            <wps:spPr>
                              <a:xfrm>
                                <a:off x="0" y="0"/>
                                <a:ext cx="502920" cy="487680"/>
                              </a:xfrm>
                              <a:prstGeom prst="ellipse">
                                <a:avLst/>
                              </a:prstGeom>
                              <a:blipFill>
                                <a:blip r:embed="rId169">
                                  <a:extLst>
                                    <a:ext uri="{96DAC541-7B7A-43D3-8B79-37D633B846F1}">
                                      <asvg:svgBlip xmlns:asvg="http://schemas.microsoft.com/office/drawing/2016/SVG/main" r:embed="rId170"/>
                                    </a:ext>
                                  </a:extLst>
                                </a:blip>
                                <a:srcRect/>
                                <a:stretch>
                                  <a:fillRect/>
                                </a:stretch>
                              </a:blipFill>
                              <a:ln w="9525"/>
                            </wps:spPr>
                            <wps:style>
                              <a:lnRef idx="3">
                                <a:scrgbClr r="0" g="0" b="0"/>
                              </a:lnRef>
                              <a:fillRef idx="1">
                                <a:scrgbClr r="0" g="0" b="0"/>
                              </a:fillRef>
                              <a:effectRef idx="1">
                                <a:schemeClr val="dk1">
                                  <a:tint val="40000"/>
                                  <a:hueOff val="0"/>
                                  <a:satOff val="0"/>
                                  <a:lumOff val="0"/>
                                  <a:alphaOff val="0"/>
                                </a:schemeClr>
                              </a:effectRef>
                              <a:fontRef idx="minor">
                                <a:schemeClr val="lt1">
                                  <a:hueOff val="0"/>
                                  <a:satOff val="0"/>
                                  <a:lumOff val="0"/>
                                  <a:alphaOff val="0"/>
                                </a:schemeClr>
                              </a:fontRef>
                            </wps:style>
                            <wps:bodyPr/>
                          </wps:wsp>
                        </a:graphicData>
                      </a:graphic>
                      <wp14:sizeRelH relativeFrom="margin">
                        <wp14:pctWidth>0</wp14:pctWidth>
                      </wp14:sizeRelH>
                      <wp14:sizeRelV relativeFrom="margin">
                        <wp14:pctHeight>0</wp14:pctHeight>
                      </wp14:sizeRelV>
                    </wp:anchor>
                  </w:drawing>
                </mc:Choice>
                <mc:Fallback>
                  <w:pict>
                    <v:oval w14:anchorId="09907457" id="Owal 136" o:spid="_x0000_s1026" alt="Mapa z pinezką" style="position:absolute;margin-left:2.85pt;margin-top:50.65pt;width:39.6pt;height:38.4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">
                      <v:fill r:id="rId171" o:title="Mapa z pinezką" recolor="t" rotate="t" type="frame"/>
                      <v:stroke joinstyle="miter"/>
                    </v:oval>
                  </w:pict>
                </mc:Fallback>
              </mc:AlternateContent>
            </w:r>
            <w:r>
              <w:rPr>
                <w:lang w:val="pl-PL"/>
              </w:rPr>
              <w:t xml:space="preserve">Przestrzenne i techniczne </w:t>
            </w:r>
            <w:r>
              <w:rPr>
                <w:lang w:val="pl-PL"/>
              </w:rPr>
              <w:br/>
            </w:r>
          </w:p>
        </w:tc>
        <w:tc>
          <w:tcPr>
            <w:tcW w:w="3260" w:type="dxa"/>
          </w:tcPr>
          <w:p w14:paraId="056FBA2D" w14:textId="77777777" w:rsidR="00C63C8A" w:rsidRPr="00C01FFB" w:rsidRDefault="00C63C8A" w:rsidP="00C63C8A">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r w:rsidRPr="00C01FFB">
              <w:t>Wskazuje na ograniczenia wynikające z położenia obszaru, nieodpowiedniej sieci połączeń komunikacyjnych, przestrzennych ograniczeń inwestycyjnych (związanych m.in. z formami ochrony przyrody) oraz braki w infrastrukturze technicznej.</w:t>
            </w:r>
          </w:p>
          <w:p w14:paraId="2A460EB1" w14:textId="77777777" w:rsidR="00C63C8A" w:rsidRPr="00C01FFB" w:rsidRDefault="00C63C8A" w:rsidP="00C63C8A">
            <w:pPr>
              <w:pStyle w:val="elementgraficznytabela"/>
              <w:spacing w:after="240"/>
              <w:contextualSpacing/>
              <w:cnfStyle w:val="000000000000" w:firstRow="0" w:lastRow="0" w:firstColumn="0" w:lastColumn="0" w:oddVBand="0" w:evenVBand="0" w:oddHBand="0" w:evenHBand="0" w:firstRowFirstColumn="0" w:firstRowLastColumn="0" w:lastRowFirstColumn="0" w:lastRowLastColumn="0"/>
            </w:pPr>
          </w:p>
          <w:p w14:paraId="77B93E9C" w14:textId="77777777" w:rsidR="00C63C8A" w:rsidRDefault="00C63C8A" w:rsidP="00C63C8A">
            <w:pPr>
              <w:ind w:left="0"/>
              <w:cnfStyle w:val="000000000000" w:firstRow="0" w:lastRow="0" w:firstColumn="0" w:lastColumn="0" w:oddVBand="0" w:evenVBand="0" w:oddHBand="0" w:evenHBand="0" w:firstRowFirstColumn="0" w:firstRowLastColumn="0" w:lastRowFirstColumn="0" w:lastRowLastColumn="0"/>
              <w:rPr>
                <w:lang w:val="pl-PL"/>
              </w:rPr>
            </w:pPr>
          </w:p>
        </w:tc>
        <w:tc>
          <w:tcPr>
            <w:tcW w:w="3784" w:type="dxa"/>
          </w:tcPr>
          <w:p w14:paraId="26EF4EB1" w14:textId="77777777" w:rsidR="00C63C8A" w:rsidRPr="00C01FFB" w:rsidRDefault="00C63C8A" w:rsidP="00B063F0">
            <w:pPr>
              <w:pStyle w:val="elementgraficznytabela"/>
              <w:numPr>
                <w:ilvl w:val="0"/>
                <w:numId w:val="47"/>
              </w:numPr>
              <w:spacing w:after="240"/>
              <w:contextualSpacing/>
              <w:cnfStyle w:val="000000000000" w:firstRow="0" w:lastRow="0" w:firstColumn="0" w:lastColumn="0" w:oddVBand="0" w:evenVBand="0" w:oddHBand="0" w:evenHBand="0" w:firstRowFirstColumn="0" w:firstRowLastColumn="0" w:lastRowFirstColumn="0" w:lastRowLastColumn="0"/>
            </w:pPr>
            <w:r w:rsidRPr="00C01FFB">
              <w:t>Infrastruktura drogowa niskiej jakości</w:t>
            </w:r>
          </w:p>
          <w:p w14:paraId="45AA941F" w14:textId="77777777" w:rsidR="00C63C8A" w:rsidRPr="00C01FFB" w:rsidRDefault="00C63C8A" w:rsidP="00B063F0">
            <w:pPr>
              <w:pStyle w:val="elementgraficznytabela"/>
              <w:numPr>
                <w:ilvl w:val="0"/>
                <w:numId w:val="47"/>
              </w:numPr>
              <w:spacing w:after="240"/>
              <w:contextualSpacing/>
              <w:cnfStyle w:val="000000000000" w:firstRow="0" w:lastRow="0" w:firstColumn="0" w:lastColumn="0" w:oddVBand="0" w:evenVBand="0" w:oddHBand="0" w:evenHBand="0" w:firstRowFirstColumn="0" w:firstRowLastColumn="0" w:lastRowFirstColumn="0" w:lastRowLastColumn="0"/>
            </w:pPr>
            <w:r w:rsidRPr="00C01FFB">
              <w:t xml:space="preserve">Niedostosowana do potrzeb mieszkańców </w:t>
            </w:r>
            <w:r>
              <w:br/>
            </w:r>
            <w:r w:rsidRPr="00C01FFB">
              <w:t xml:space="preserve">i turystów infrastruktura sportowo-rekreacyjna </w:t>
            </w:r>
            <w:r>
              <w:br/>
            </w:r>
            <w:r w:rsidRPr="00C01FFB">
              <w:t>i wypoczynkowa</w:t>
            </w:r>
          </w:p>
          <w:p w14:paraId="3C014F77" w14:textId="77777777" w:rsidR="00C63C8A" w:rsidRPr="00C01FFB" w:rsidRDefault="00C63C8A" w:rsidP="00B063F0">
            <w:pPr>
              <w:pStyle w:val="elementgraficznytabela"/>
              <w:numPr>
                <w:ilvl w:val="0"/>
                <w:numId w:val="47"/>
              </w:numPr>
              <w:spacing w:after="240"/>
              <w:contextualSpacing/>
              <w:cnfStyle w:val="000000000000" w:firstRow="0" w:lastRow="0" w:firstColumn="0" w:lastColumn="0" w:oddVBand="0" w:evenVBand="0" w:oddHBand="0" w:evenHBand="0" w:firstRowFirstColumn="0" w:firstRowLastColumn="0" w:lastRowFirstColumn="0" w:lastRowLastColumn="0"/>
            </w:pPr>
            <w:r w:rsidRPr="00C01FFB">
              <w:t xml:space="preserve">Infrastruktura społeczna </w:t>
            </w:r>
            <w:r>
              <w:br/>
            </w:r>
            <w:r w:rsidRPr="00C01FFB">
              <w:t>(w tym zdrowotna) niskiej jakości</w:t>
            </w:r>
          </w:p>
          <w:p w14:paraId="195258C8" w14:textId="77777777" w:rsidR="00C63C8A" w:rsidRPr="00C01FFB" w:rsidRDefault="00C63C8A" w:rsidP="00B063F0">
            <w:pPr>
              <w:pStyle w:val="elementgraficznytabela"/>
              <w:numPr>
                <w:ilvl w:val="0"/>
                <w:numId w:val="47"/>
              </w:numPr>
              <w:spacing w:after="240"/>
              <w:contextualSpacing/>
              <w:cnfStyle w:val="000000000000" w:firstRow="0" w:lastRow="0" w:firstColumn="0" w:lastColumn="0" w:oddVBand="0" w:evenVBand="0" w:oddHBand="0" w:evenHBand="0" w:firstRowFirstColumn="0" w:firstRowLastColumn="0" w:lastRowFirstColumn="0" w:lastRowLastColumn="0"/>
            </w:pPr>
            <w:r w:rsidRPr="00C01FFB">
              <w:t>Niska dostępność komunikacyjna obszaru</w:t>
            </w:r>
          </w:p>
          <w:p w14:paraId="4A7BB314" w14:textId="71D0647D" w:rsidR="00C63C8A" w:rsidRPr="007A0678" w:rsidRDefault="00CA3C7E" w:rsidP="00B063F0">
            <w:pPr>
              <w:pStyle w:val="elementgraficznytabela"/>
              <w:numPr>
                <w:ilvl w:val="0"/>
                <w:numId w:val="30"/>
              </w:numPr>
              <w:spacing w:before="100" w:beforeAutospacing="1" w:after="100" w:afterAutospacing="1"/>
              <w:contextualSpacing/>
              <w:cnfStyle w:val="000000000000" w:firstRow="0" w:lastRow="0" w:firstColumn="0" w:lastColumn="0" w:oddVBand="0" w:evenVBand="0" w:oddHBand="0" w:evenHBand="0" w:firstRowFirstColumn="0" w:firstRowLastColumn="0" w:lastRowFirstColumn="0" w:lastRowLastColumn="0"/>
              <w:rPr>
                <w:rFonts w:cstheme="minorHAnsi"/>
                <w:szCs w:val="24"/>
              </w:rPr>
            </w:pPr>
            <w:r>
              <w:t>Niewielki udział</w:t>
            </w:r>
            <w:r w:rsidR="00C63C8A" w:rsidRPr="00C01FFB">
              <w:t xml:space="preserve"> transportu zbiorowego</w:t>
            </w:r>
            <w:r>
              <w:t xml:space="preserve"> w transporcie mieszkańców</w:t>
            </w:r>
          </w:p>
        </w:tc>
      </w:tr>
      <w:tr w:rsidR="00C63C8A" w:rsidRPr="00176303" w14:paraId="0D0E2748" w14:textId="77777777" w:rsidTr="00745CDB">
        <w:tc>
          <w:tcPr>
            <w:cnfStyle w:val="001000000000" w:firstRow="0" w:lastRow="0" w:firstColumn="1" w:lastColumn="0" w:oddVBand="0" w:evenVBand="0" w:oddHBand="0" w:evenHBand="0" w:firstRowFirstColumn="0" w:firstRowLastColumn="0" w:lastRowFirstColumn="0" w:lastRowLastColumn="0"/>
            <w:tcW w:w="1838" w:type="dxa"/>
          </w:tcPr>
          <w:p w14:paraId="240A6C19" w14:textId="2ECAFA1F" w:rsidR="00C63C8A" w:rsidRPr="004859BA" w:rsidRDefault="00C63C8A" w:rsidP="00C63C8A">
            <w:pPr>
              <w:pStyle w:val="elementgraficznytabela"/>
              <w:spacing w:before="100" w:beforeAutospacing="1" w:after="100" w:afterAutospacing="1"/>
              <w:contextualSpacing/>
              <w:rPr>
                <w:rFonts w:cstheme="minorHAnsi"/>
                <w:szCs w:val="24"/>
              </w:rPr>
            </w:pPr>
            <w:r w:rsidRPr="004859BA">
              <w:rPr>
                <w:rFonts w:cstheme="minorHAnsi"/>
                <w:szCs w:val="24"/>
              </w:rPr>
              <w:lastRenderedPageBreak/>
              <w:t>Środowiskowe</w:t>
            </w:r>
          </w:p>
          <w:p w14:paraId="3EE1B36E" w14:textId="77777777" w:rsidR="00C63C8A" w:rsidRPr="004859BA" w:rsidRDefault="00C63C8A" w:rsidP="00C63C8A">
            <w:pPr>
              <w:pStyle w:val="elementgraficznytabela"/>
              <w:spacing w:before="100" w:beforeAutospacing="1" w:after="100" w:afterAutospacing="1"/>
              <w:contextualSpacing/>
              <w:rPr>
                <w:rFonts w:cstheme="minorHAnsi"/>
                <w:szCs w:val="24"/>
              </w:rPr>
            </w:pPr>
            <w:r w:rsidRPr="004859BA">
              <w:rPr>
                <w:rFonts w:cstheme="minorHAnsi"/>
                <w:szCs w:val="24"/>
              </w:rPr>
              <mc:AlternateContent>
                <mc:Choice Requires="wps">
                  <w:drawing>
                    <wp:anchor distT="0" distB="0" distL="114300" distR="114300" simplePos="0" relativeHeight="251658277" behindDoc="0" locked="0" layoutInCell="1" allowOverlap="1" wp14:anchorId="1E826C36" wp14:editId="0C7E1DA6">
                      <wp:simplePos x="0" y="0"/>
                      <wp:positionH relativeFrom="column">
                        <wp:posOffset>45085</wp:posOffset>
                      </wp:positionH>
                      <wp:positionV relativeFrom="paragraph">
                        <wp:posOffset>38735</wp:posOffset>
                      </wp:positionV>
                      <wp:extent cx="464820" cy="449580"/>
                      <wp:effectExtent l="0" t="0" r="11430" b="26670"/>
                      <wp:wrapNone/>
                      <wp:docPr id="140" name="Owal 140" descr="Sceneria leśna"/>
                      <wp:cNvGraphicFramePr/>
                      <a:graphic xmlns:a="http://schemas.openxmlformats.org/drawingml/2006/main">
                        <a:graphicData uri="http://schemas.microsoft.com/office/word/2010/wordprocessingShape">
                          <wps:wsp>
                            <wps:cNvSpPr/>
                            <wps:spPr>
                              <a:xfrm>
                                <a:off x="0" y="0"/>
                                <a:ext cx="464820" cy="449580"/>
                              </a:xfrm>
                              <a:prstGeom prst="ellipse">
                                <a:avLst/>
                              </a:prstGeom>
                              <a:blipFill>
                                <a:blip r:embed="rId172">
                                  <a:extLst>
                                    <a:ext uri="{96DAC541-7B7A-43D3-8B79-37D633B846F1}">
                                      <asvg:svgBlip xmlns:asvg="http://schemas.microsoft.com/office/drawing/2016/SVG/main" r:embed="rId173"/>
                                    </a:ext>
                                  </a:extLst>
                                </a:blip>
                                <a:srcRect/>
                                <a:stretch>
                                  <a:fillRect l="-3000" r="-3000"/>
                                </a:stretch>
                              </a:blipFill>
                              <a:ln w="9525"/>
                            </wps:spPr>
                            <wps:style>
                              <a:lnRef idx="3">
                                <a:scrgbClr r="0" g="0" b="0"/>
                              </a:lnRef>
                              <a:fillRef idx="1">
                                <a:scrgbClr r="0" g="0" b="0"/>
                              </a:fillRef>
                              <a:effectRef idx="1">
                                <a:schemeClr val="dk1">
                                  <a:tint val="40000"/>
                                  <a:hueOff val="0"/>
                                  <a:satOff val="0"/>
                                  <a:lumOff val="0"/>
                                  <a:alphaOff val="0"/>
                                </a:schemeClr>
                              </a:effectRef>
                              <a:fontRef idx="minor">
                                <a:schemeClr val="lt1">
                                  <a:hueOff val="0"/>
                                  <a:satOff val="0"/>
                                  <a:lumOff val="0"/>
                                  <a:alphaOff val="0"/>
                                </a:schemeClr>
                              </a:fontRef>
                            </wps:style>
                            <wps:bodyPr/>
                          </wps:wsp>
                        </a:graphicData>
                      </a:graphic>
                      <wp14:sizeRelH relativeFrom="margin">
                        <wp14:pctWidth>0</wp14:pctWidth>
                      </wp14:sizeRelH>
                      <wp14:sizeRelV relativeFrom="margin">
                        <wp14:pctHeight>0</wp14:pctHeight>
                      </wp14:sizeRelV>
                    </wp:anchor>
                  </w:drawing>
                </mc:Choice>
                <mc:Fallback>
                  <w:pict>
                    <v:oval w14:anchorId="2CC163FA" id="Owal 140" o:spid="_x0000_s1026" alt="Sceneria leśna" style="position:absolute;margin-left:3.55pt;margin-top:3.05pt;width:36.6pt;height:35.4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">
                      <v:fill r:id="rId174" o:title="Sceneria leśna" recolor="t" rotate="t" type="frame"/>
                      <v:stroke joinstyle="miter"/>
                    </v:oval>
                  </w:pict>
                </mc:Fallback>
              </mc:AlternateContent>
            </w:r>
          </w:p>
          <w:p w14:paraId="73AD4D36" w14:textId="77777777" w:rsidR="00C63C8A" w:rsidRPr="004859BA" w:rsidRDefault="00C63C8A" w:rsidP="00C63C8A">
            <w:pPr>
              <w:pStyle w:val="elementgraficznytabela"/>
              <w:spacing w:before="100" w:beforeAutospacing="1" w:after="100" w:afterAutospacing="1"/>
              <w:contextualSpacing/>
              <w:rPr>
                <w:rFonts w:cstheme="minorHAnsi"/>
                <w:szCs w:val="24"/>
              </w:rPr>
            </w:pPr>
          </w:p>
          <w:p w14:paraId="5A78110B" w14:textId="77777777" w:rsidR="00C63C8A" w:rsidRDefault="00C63C8A" w:rsidP="00C63C8A">
            <w:pPr>
              <w:ind w:left="0"/>
              <w:rPr>
                <w:lang w:val="pl-PL"/>
              </w:rPr>
            </w:pPr>
          </w:p>
        </w:tc>
        <w:tc>
          <w:tcPr>
            <w:tcW w:w="3260" w:type="dxa"/>
          </w:tcPr>
          <w:p w14:paraId="740BC92B" w14:textId="253D8C91" w:rsidR="00C63C8A" w:rsidRDefault="00C63C8A" w:rsidP="00C63C8A">
            <w:pPr>
              <w:ind w:left="0"/>
              <w:cnfStyle w:val="000000000000" w:firstRow="0" w:lastRow="0" w:firstColumn="0" w:lastColumn="0" w:oddVBand="0" w:evenVBand="0" w:oddHBand="0" w:evenHBand="0" w:firstRowFirstColumn="0" w:firstRowLastColumn="0" w:lastRowFirstColumn="0" w:lastRowLastColumn="0"/>
              <w:rPr>
                <w:lang w:val="pl-PL"/>
              </w:rPr>
            </w:pPr>
            <w:r w:rsidRPr="00C63C8A">
              <w:rPr>
                <w:lang w:val="pl-PL"/>
              </w:rPr>
              <w:t>Wskazuje na ograniczenia wynikające z braku lub niedostatecznej jakości zasobów naturalnych oraz nieodpowiedniej jakości zasobów dziedzictwa kulturowego (zabytków, infrastruktury)</w:t>
            </w:r>
          </w:p>
        </w:tc>
        <w:tc>
          <w:tcPr>
            <w:tcW w:w="3784" w:type="dxa"/>
          </w:tcPr>
          <w:p w14:paraId="37634BA3" w14:textId="07B3CD19" w:rsidR="00C63C8A" w:rsidRPr="00C01FFB" w:rsidRDefault="00CA3C7E" w:rsidP="00B063F0">
            <w:pPr>
              <w:pStyle w:val="elementgraficznytabela"/>
              <w:numPr>
                <w:ilvl w:val="0"/>
                <w:numId w:val="48"/>
              </w:numPr>
              <w:spacing w:after="240"/>
              <w:contextualSpacing/>
              <w:cnfStyle w:val="000000000000" w:firstRow="0" w:lastRow="0" w:firstColumn="0" w:lastColumn="0" w:oddVBand="0" w:evenVBand="0" w:oddHBand="0" w:evenHBand="0" w:firstRowFirstColumn="0" w:firstRowLastColumn="0" w:lastRowFirstColumn="0" w:lastRowLastColumn="0"/>
            </w:pPr>
            <w:r>
              <w:t xml:space="preserve">Niezagospodarowana sieć hydrologiczna </w:t>
            </w:r>
          </w:p>
          <w:p w14:paraId="3C11AC5C" w14:textId="77598F44" w:rsidR="00C63C8A" w:rsidRPr="007A0678" w:rsidRDefault="00C63C8A" w:rsidP="00B063F0">
            <w:pPr>
              <w:pStyle w:val="elementgraficznytabela"/>
              <w:numPr>
                <w:ilvl w:val="0"/>
                <w:numId w:val="30"/>
              </w:numPr>
              <w:spacing w:before="100" w:beforeAutospacing="1" w:after="100" w:afterAutospacing="1"/>
              <w:contextualSpacing/>
              <w:cnfStyle w:val="000000000000" w:firstRow="0" w:lastRow="0" w:firstColumn="0" w:lastColumn="0" w:oddVBand="0" w:evenVBand="0" w:oddHBand="0" w:evenHBand="0" w:firstRowFirstColumn="0" w:firstRowLastColumn="0" w:lastRowFirstColumn="0" w:lastRowLastColumn="0"/>
              <w:rPr>
                <w:rFonts w:cstheme="minorHAnsi"/>
                <w:szCs w:val="24"/>
              </w:rPr>
            </w:pPr>
            <w:r w:rsidRPr="00C01FFB">
              <w:t>Niska jakość powietrza (niska emisja), szczególnie na obszarach gęsto zaludnionych</w:t>
            </w:r>
          </w:p>
        </w:tc>
      </w:tr>
      <w:tr w:rsidR="00C63C8A" w:rsidRPr="006B091D" w14:paraId="2295B722" w14:textId="77777777" w:rsidTr="00745CDB">
        <w:tc>
          <w:tcPr>
            <w:cnfStyle w:val="001000000000" w:firstRow="0" w:lastRow="0" w:firstColumn="1" w:lastColumn="0" w:oddVBand="0" w:evenVBand="0" w:oddHBand="0" w:evenHBand="0" w:firstRowFirstColumn="0" w:firstRowLastColumn="0" w:lastRowFirstColumn="0" w:lastRowLastColumn="0"/>
            <w:tcW w:w="1838" w:type="dxa"/>
          </w:tcPr>
          <w:p w14:paraId="7305B12C" w14:textId="77777777" w:rsidR="00C63C8A" w:rsidRPr="004859BA" w:rsidRDefault="00C63C8A" w:rsidP="00C63C8A">
            <w:pPr>
              <w:pStyle w:val="elementgraficznytabela"/>
              <w:spacing w:before="100" w:beforeAutospacing="1" w:after="100" w:afterAutospacing="1"/>
              <w:contextualSpacing/>
              <w:rPr>
                <w:rFonts w:cstheme="minorHAnsi"/>
                <w:szCs w:val="24"/>
              </w:rPr>
            </w:pPr>
            <w:r w:rsidRPr="004859BA">
              <w:rPr>
                <w:rFonts w:cstheme="minorHAnsi"/>
                <w:szCs w:val="24"/>
              </w:rPr>
              <w:t>Gospodarcze</w:t>
            </w:r>
          </w:p>
          <w:p w14:paraId="3C6AD1C8" w14:textId="77777777" w:rsidR="00C63C8A" w:rsidRPr="004859BA" w:rsidRDefault="00C63C8A" w:rsidP="00C63C8A">
            <w:pPr>
              <w:pStyle w:val="elementgraficznytabela"/>
              <w:spacing w:before="100" w:beforeAutospacing="1" w:after="100" w:afterAutospacing="1"/>
              <w:contextualSpacing/>
              <w:rPr>
                <w:rFonts w:cstheme="minorHAnsi"/>
                <w:szCs w:val="24"/>
              </w:rPr>
            </w:pPr>
            <w:r w:rsidRPr="004859BA">
              <w:rPr>
                <w:rFonts w:cstheme="minorHAnsi"/>
                <w:szCs w:val="24"/>
              </w:rPr>
              <mc:AlternateContent>
                <mc:Choice Requires="wps">
                  <w:drawing>
                    <wp:anchor distT="0" distB="0" distL="114300" distR="114300" simplePos="0" relativeHeight="251658278" behindDoc="0" locked="0" layoutInCell="1" allowOverlap="1" wp14:anchorId="5D442E76" wp14:editId="1BB757CF">
                      <wp:simplePos x="0" y="0"/>
                      <wp:positionH relativeFrom="column">
                        <wp:posOffset>29845</wp:posOffset>
                      </wp:positionH>
                      <wp:positionV relativeFrom="paragraph">
                        <wp:posOffset>41910</wp:posOffset>
                      </wp:positionV>
                      <wp:extent cx="483870" cy="438150"/>
                      <wp:effectExtent l="0" t="0" r="11430" b="19050"/>
                      <wp:wrapNone/>
                      <wp:docPr id="141" name="Owal 141" descr="Pieniądze"/>
                      <wp:cNvGraphicFramePr/>
                      <a:graphic xmlns:a="http://schemas.openxmlformats.org/drawingml/2006/main">
                        <a:graphicData uri="http://schemas.microsoft.com/office/word/2010/wordprocessingShape">
                          <wps:wsp>
                            <wps:cNvSpPr/>
                            <wps:spPr>
                              <a:xfrm>
                                <a:off x="0" y="0"/>
                                <a:ext cx="483870" cy="438150"/>
                              </a:xfrm>
                              <a:prstGeom prst="ellipse">
                                <a:avLst/>
                              </a:prstGeom>
                              <a:blipFill>
                                <a:blip r:embed="rId175">
                                  <a:extLst>
                                    <a:ext uri="{28A0092B-C50C-407E-A947-70E740481C1C}">
                                      <a14:useLocalDpi xmlns:a14="http://schemas.microsoft.com/office/drawing/2010/main" val="0"/>
                                    </a:ext>
                                    <a:ext uri="{96DAC541-7B7A-43D3-8B79-37D633B846F1}">
                                      <asvg:svgBlip xmlns:asvg="http://schemas.microsoft.com/office/drawing/2016/SVG/main" r:embed="rId176"/>
                                    </a:ext>
                                  </a:extLst>
                                </a:blip>
                                <a:srcRect/>
                                <a:stretch>
                                  <a:fillRect/>
                                </a:stretch>
                              </a:blipFill>
                              <a:ln w="9525"/>
                            </wps:spPr>
                            <wps:style>
                              <a:lnRef idx="3">
                                <a:scrgbClr r="0" g="0" b="0"/>
                              </a:lnRef>
                              <a:fillRef idx="1">
                                <a:scrgbClr r="0" g="0" b="0"/>
                              </a:fillRef>
                              <a:effectRef idx="1">
                                <a:schemeClr val="dk1">
                                  <a:tint val="40000"/>
                                  <a:hueOff val="0"/>
                                  <a:satOff val="0"/>
                                  <a:lumOff val="0"/>
                                  <a:alphaOff val="0"/>
                                </a:schemeClr>
                              </a:effectRef>
                              <a:fontRef idx="minor">
                                <a:schemeClr val="lt1">
                                  <a:hueOff val="0"/>
                                  <a:satOff val="0"/>
                                  <a:lumOff val="0"/>
                                  <a:alphaOff val="0"/>
                                </a:schemeClr>
                              </a:fontRef>
                            </wps:style>
                            <wps:bodyPr/>
                          </wps:wsp>
                        </a:graphicData>
                      </a:graphic>
                      <wp14:sizeRelH relativeFrom="margin">
                        <wp14:pctWidth>0</wp14:pctWidth>
                      </wp14:sizeRelH>
                      <wp14:sizeRelV relativeFrom="margin">
                        <wp14:pctHeight>0</wp14:pctHeight>
                      </wp14:sizeRelV>
                    </wp:anchor>
                  </w:drawing>
                </mc:Choice>
                <mc:Fallback>
                  <w:pict>
                    <v:oval w14:anchorId="00CFE0F8" id="Owal 141" o:spid="_x0000_s1026" alt="Pieniądze" style="position:absolute;margin-left:2.35pt;margin-top:3.3pt;width:38.1pt;height:34.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">
                      <v:fill r:id="rId177" o:title="Pieniądze" recolor="t" rotate="t" type="frame"/>
                      <v:stroke joinstyle="miter"/>
                    </v:oval>
                  </w:pict>
                </mc:Fallback>
              </mc:AlternateContent>
            </w:r>
          </w:p>
          <w:p w14:paraId="68FEB59A" w14:textId="77777777" w:rsidR="00C63C8A" w:rsidRDefault="00C63C8A" w:rsidP="00C63C8A">
            <w:pPr>
              <w:ind w:left="0"/>
              <w:rPr>
                <w:lang w:val="pl-PL"/>
              </w:rPr>
            </w:pPr>
          </w:p>
        </w:tc>
        <w:tc>
          <w:tcPr>
            <w:tcW w:w="3260" w:type="dxa"/>
          </w:tcPr>
          <w:p w14:paraId="0E89CDE2" w14:textId="695E047E" w:rsidR="00C63C8A" w:rsidRPr="007A0678" w:rsidRDefault="00C63C8A" w:rsidP="00C63C8A">
            <w:pPr>
              <w:ind w:left="0"/>
              <w:cnfStyle w:val="000000000000" w:firstRow="0" w:lastRow="0" w:firstColumn="0" w:lastColumn="0" w:oddVBand="0" w:evenVBand="0" w:oddHBand="0" w:evenHBand="0" w:firstRowFirstColumn="0" w:firstRowLastColumn="0" w:lastRowFirstColumn="0" w:lastRowLastColumn="0"/>
              <w:rPr>
                <w:lang w:val="pl-PL"/>
              </w:rPr>
            </w:pPr>
            <w:r w:rsidRPr="00C63C8A">
              <w:rPr>
                <w:lang w:val="pl-PL"/>
              </w:rPr>
              <w:t>Wskazuje na przeszkody lub ograniczenia związane z niedostatecznym poziomem produkcji regionalnej, bezrobociem, niskim poziomem przedsiębiorczości, kapitału ludzkiego (struktura wiekowa, poziom kwalifikacji), niedoinwestowaniem gospodarki regionalnej, brakiem środków finansowych lub rzeczowych.</w:t>
            </w:r>
          </w:p>
        </w:tc>
        <w:tc>
          <w:tcPr>
            <w:tcW w:w="3784" w:type="dxa"/>
          </w:tcPr>
          <w:p w14:paraId="4BA84667" w14:textId="751C3BAE" w:rsidR="00C63C8A" w:rsidRPr="00C01FFB" w:rsidRDefault="00C63C8A" w:rsidP="00B063F0">
            <w:pPr>
              <w:pStyle w:val="elementgraficznytabela"/>
              <w:numPr>
                <w:ilvl w:val="0"/>
                <w:numId w:val="49"/>
              </w:numPr>
              <w:spacing w:after="240"/>
              <w:contextualSpacing/>
              <w:cnfStyle w:val="000000000000" w:firstRow="0" w:lastRow="0" w:firstColumn="0" w:lastColumn="0" w:oddVBand="0" w:evenVBand="0" w:oddHBand="0" w:evenHBand="0" w:firstRowFirstColumn="0" w:firstRowLastColumn="0" w:lastRowFirstColumn="0" w:lastRowLastColumn="0"/>
            </w:pPr>
            <w:r w:rsidRPr="00C01FFB">
              <w:t>Niska dostępność odpowiadających potrzebom rynku pracy pracowników (</w:t>
            </w:r>
            <w:r w:rsidR="00CA3C7E">
              <w:t xml:space="preserve">w tym </w:t>
            </w:r>
            <w:r w:rsidRPr="00C01FFB">
              <w:t>w branżach medycznych)</w:t>
            </w:r>
          </w:p>
          <w:p w14:paraId="11A1CDAA" w14:textId="77777777" w:rsidR="00C63C8A" w:rsidRPr="00C01FFB" w:rsidRDefault="00C63C8A" w:rsidP="00B063F0">
            <w:pPr>
              <w:pStyle w:val="elementgraficznytabela"/>
              <w:numPr>
                <w:ilvl w:val="0"/>
                <w:numId w:val="49"/>
              </w:numPr>
              <w:spacing w:after="240"/>
              <w:contextualSpacing/>
              <w:cnfStyle w:val="000000000000" w:firstRow="0" w:lastRow="0" w:firstColumn="0" w:lastColumn="0" w:oddVBand="0" w:evenVBand="0" w:oddHBand="0" w:evenHBand="0" w:firstRowFirstColumn="0" w:firstRowLastColumn="0" w:lastRowFirstColumn="0" w:lastRowLastColumn="0"/>
            </w:pPr>
            <w:r w:rsidRPr="00C01FFB">
              <w:t>Niedostosowanie oferty edukacyjnej do potrzeb rynku pracy</w:t>
            </w:r>
          </w:p>
          <w:p w14:paraId="075BA9FC" w14:textId="77777777" w:rsidR="00C63C8A" w:rsidRPr="00C01FFB" w:rsidRDefault="00C63C8A" w:rsidP="00B063F0">
            <w:pPr>
              <w:pStyle w:val="elementgraficznytabela"/>
              <w:numPr>
                <w:ilvl w:val="0"/>
                <w:numId w:val="49"/>
              </w:numPr>
              <w:spacing w:after="240"/>
              <w:contextualSpacing/>
              <w:cnfStyle w:val="000000000000" w:firstRow="0" w:lastRow="0" w:firstColumn="0" w:lastColumn="0" w:oddVBand="0" w:evenVBand="0" w:oddHBand="0" w:evenHBand="0" w:firstRowFirstColumn="0" w:firstRowLastColumn="0" w:lastRowFirstColumn="0" w:lastRowLastColumn="0"/>
            </w:pPr>
            <w:r w:rsidRPr="00C01FFB">
              <w:t>Niekorzystna struktura wiekowa mieszkańców</w:t>
            </w:r>
          </w:p>
          <w:p w14:paraId="6294D700" w14:textId="77777777" w:rsidR="00C63C8A" w:rsidRPr="00C01FFB" w:rsidRDefault="00C63C8A" w:rsidP="00B063F0">
            <w:pPr>
              <w:pStyle w:val="elementgraficznytabela"/>
              <w:numPr>
                <w:ilvl w:val="0"/>
                <w:numId w:val="49"/>
              </w:numPr>
              <w:spacing w:after="240"/>
              <w:contextualSpacing/>
              <w:cnfStyle w:val="000000000000" w:firstRow="0" w:lastRow="0" w:firstColumn="0" w:lastColumn="0" w:oddVBand="0" w:evenVBand="0" w:oddHBand="0" w:evenHBand="0" w:firstRowFirstColumn="0" w:firstRowLastColumn="0" w:lastRowFirstColumn="0" w:lastRowLastColumn="0"/>
            </w:pPr>
            <w:r w:rsidRPr="00C01FFB">
              <w:t>Niski poziom aktywności gospodarczej</w:t>
            </w:r>
          </w:p>
          <w:p w14:paraId="03090C85" w14:textId="77777777" w:rsidR="00C63C8A" w:rsidRPr="00C01FFB" w:rsidRDefault="00C63C8A" w:rsidP="00B063F0">
            <w:pPr>
              <w:pStyle w:val="elementgraficznytabela"/>
              <w:numPr>
                <w:ilvl w:val="0"/>
                <w:numId w:val="49"/>
              </w:numPr>
              <w:spacing w:after="240"/>
              <w:contextualSpacing/>
              <w:cnfStyle w:val="000000000000" w:firstRow="0" w:lastRow="0" w:firstColumn="0" w:lastColumn="0" w:oddVBand="0" w:evenVBand="0" w:oddHBand="0" w:evenHBand="0" w:firstRowFirstColumn="0" w:firstRowLastColumn="0" w:lastRowFirstColumn="0" w:lastRowLastColumn="0"/>
            </w:pPr>
            <w:r w:rsidRPr="00C01FFB">
              <w:t>Nierozwinięty rynek pracy, wysokie bezrobocie</w:t>
            </w:r>
          </w:p>
          <w:p w14:paraId="0D3204EA" w14:textId="06A13597" w:rsidR="00C63C8A" w:rsidRPr="00C01FFB" w:rsidRDefault="00C63C8A" w:rsidP="00B063F0">
            <w:pPr>
              <w:pStyle w:val="elementgraficznytabela"/>
              <w:numPr>
                <w:ilvl w:val="0"/>
                <w:numId w:val="49"/>
              </w:numPr>
              <w:spacing w:after="240"/>
              <w:contextualSpacing/>
              <w:cnfStyle w:val="000000000000" w:firstRow="0" w:lastRow="0" w:firstColumn="0" w:lastColumn="0" w:oddVBand="0" w:evenVBand="0" w:oddHBand="0" w:evenHBand="0" w:firstRowFirstColumn="0" w:firstRowLastColumn="0" w:lastRowFirstColumn="0" w:lastRowLastColumn="0"/>
            </w:pPr>
            <w:r w:rsidRPr="00C01FFB">
              <w:t>Brak odpowiedniego wsparcia dla przedsiębiorców</w:t>
            </w:r>
          </w:p>
          <w:p w14:paraId="0A249CB4" w14:textId="77777777" w:rsidR="005E6B0D" w:rsidRDefault="00C63C8A" w:rsidP="00B063F0">
            <w:pPr>
              <w:pStyle w:val="elementgraficznytabela"/>
              <w:numPr>
                <w:ilvl w:val="0"/>
                <w:numId w:val="30"/>
              </w:numPr>
              <w:spacing w:before="100" w:beforeAutospacing="1" w:after="100" w:afterAutospacing="1"/>
              <w:contextualSpacing/>
              <w:cnfStyle w:val="000000000000" w:firstRow="0" w:lastRow="0" w:firstColumn="0" w:lastColumn="0" w:oddVBand="0" w:evenVBand="0" w:oddHBand="0" w:evenHBand="0" w:firstRowFirstColumn="0" w:firstRowLastColumn="0" w:lastRowFirstColumn="0" w:lastRowLastColumn="0"/>
            </w:pPr>
            <w:r w:rsidRPr="00C01FFB">
              <w:t>Niedostatecznie rozwinęte zaplecze badawczo-rozwojowe</w:t>
            </w:r>
          </w:p>
          <w:p w14:paraId="386C0201" w14:textId="399C4B15" w:rsidR="005E6B0D" w:rsidRPr="005E6B0D" w:rsidRDefault="005E6B0D" w:rsidP="00B063F0">
            <w:pPr>
              <w:pStyle w:val="elementgraficznytabela"/>
              <w:numPr>
                <w:ilvl w:val="0"/>
                <w:numId w:val="30"/>
              </w:numPr>
              <w:spacing w:before="100" w:beforeAutospacing="1" w:after="100" w:afterAutospacing="1"/>
              <w:contextualSpacing/>
              <w:cnfStyle w:val="000000000000" w:firstRow="0" w:lastRow="0" w:firstColumn="0" w:lastColumn="0" w:oddVBand="0" w:evenVBand="0" w:oddHBand="0" w:evenHBand="0" w:firstRowFirstColumn="0" w:firstRowLastColumn="0" w:lastRowFirstColumn="0" w:lastRowLastColumn="0"/>
            </w:pPr>
            <w:r>
              <w:t xml:space="preserve">Niski potencjał ekonomiczny mieszkanców </w:t>
            </w:r>
          </w:p>
        </w:tc>
      </w:tr>
      <w:tr w:rsidR="00C63C8A" w:rsidRPr="00176303" w14:paraId="2B0171EB" w14:textId="77777777" w:rsidTr="00745CDB">
        <w:tc>
          <w:tcPr>
            <w:cnfStyle w:val="001000000000" w:firstRow="0" w:lastRow="0" w:firstColumn="1" w:lastColumn="0" w:oddVBand="0" w:evenVBand="0" w:oddHBand="0" w:evenHBand="0" w:firstRowFirstColumn="0" w:firstRowLastColumn="0" w:lastRowFirstColumn="0" w:lastRowLastColumn="0"/>
            <w:tcW w:w="1838" w:type="dxa"/>
          </w:tcPr>
          <w:p w14:paraId="649F53DD" w14:textId="77777777" w:rsidR="00C63C8A" w:rsidRPr="004859BA" w:rsidRDefault="00C63C8A" w:rsidP="00C63C8A">
            <w:pPr>
              <w:pStyle w:val="elementgraficznytabela"/>
              <w:spacing w:before="100" w:beforeAutospacing="1" w:after="100" w:afterAutospacing="1"/>
              <w:contextualSpacing/>
              <w:rPr>
                <w:rFonts w:cstheme="minorHAnsi"/>
                <w:szCs w:val="24"/>
              </w:rPr>
            </w:pPr>
            <w:r w:rsidRPr="004859BA">
              <w:rPr>
                <w:rFonts w:cstheme="minorHAnsi"/>
                <w:szCs w:val="24"/>
              </w:rPr>
              <w:lastRenderedPageBreak/>
              <w:t>Instytucjonalne</w:t>
            </w:r>
          </w:p>
          <w:p w14:paraId="4F612E2F" w14:textId="77777777" w:rsidR="00C63C8A" w:rsidRPr="004859BA" w:rsidRDefault="00C63C8A" w:rsidP="00C63C8A">
            <w:pPr>
              <w:pStyle w:val="elementgraficznytabela"/>
              <w:spacing w:before="100" w:beforeAutospacing="1" w:after="100" w:afterAutospacing="1"/>
              <w:contextualSpacing/>
              <w:rPr>
                <w:rFonts w:cstheme="minorHAnsi"/>
                <w:szCs w:val="24"/>
              </w:rPr>
            </w:pPr>
            <w:r w:rsidRPr="004859BA">
              <w:rPr>
                <w:rFonts w:cstheme="minorHAnsi"/>
                <w:szCs w:val="24"/>
              </w:rPr>
              <mc:AlternateContent>
                <mc:Choice Requires="wps">
                  <w:drawing>
                    <wp:anchor distT="0" distB="0" distL="114300" distR="114300" simplePos="0" relativeHeight="251658275" behindDoc="0" locked="0" layoutInCell="1" allowOverlap="1" wp14:anchorId="63B06C1A" wp14:editId="022FFB5D">
                      <wp:simplePos x="0" y="0"/>
                      <wp:positionH relativeFrom="column">
                        <wp:posOffset>26035</wp:posOffset>
                      </wp:positionH>
                      <wp:positionV relativeFrom="paragraph">
                        <wp:posOffset>50165</wp:posOffset>
                      </wp:positionV>
                      <wp:extent cx="499110" cy="468630"/>
                      <wp:effectExtent l="0" t="0" r="15240" b="26670"/>
                      <wp:wrapNone/>
                      <wp:docPr id="142" name="Owal 142" descr="Połączenia"/>
                      <wp:cNvGraphicFramePr/>
                      <a:graphic xmlns:a="http://schemas.openxmlformats.org/drawingml/2006/main">
                        <a:graphicData uri="http://schemas.microsoft.com/office/word/2010/wordprocessingShape">
                          <wps:wsp>
                            <wps:cNvSpPr/>
                            <wps:spPr>
                              <a:xfrm>
                                <a:off x="0" y="0"/>
                                <a:ext cx="499110" cy="468630"/>
                              </a:xfrm>
                              <a:prstGeom prst="ellipse">
                                <a:avLst/>
                              </a:prstGeom>
                              <a:blipFill>
                                <a:blip r:embed="rId178">
                                  <a:extLst>
                                    <a:ext uri="{96DAC541-7B7A-43D3-8B79-37D633B846F1}">
                                      <asvg:svgBlip xmlns:asvg="http://schemas.microsoft.com/office/drawing/2016/SVG/main" r:embed="rId179"/>
                                    </a:ext>
                                  </a:extLst>
                                </a:blip>
                                <a:srcRect/>
                                <a:stretch>
                                  <a:fillRect/>
                                </a:stretch>
                              </a:blipFill>
                              <a:ln w="9525"/>
                            </wps:spPr>
                            <wps:style>
                              <a:lnRef idx="3">
                                <a:scrgbClr r="0" g="0" b="0"/>
                              </a:lnRef>
                              <a:fillRef idx="1">
                                <a:scrgbClr r="0" g="0" b="0"/>
                              </a:fillRef>
                              <a:effectRef idx="1">
                                <a:schemeClr val="dk1">
                                  <a:tint val="40000"/>
                                  <a:hueOff val="0"/>
                                  <a:satOff val="0"/>
                                  <a:lumOff val="0"/>
                                  <a:alphaOff val="0"/>
                                </a:schemeClr>
                              </a:effectRef>
                              <a:fontRef idx="minor">
                                <a:schemeClr val="lt1">
                                  <a:hueOff val="0"/>
                                  <a:satOff val="0"/>
                                  <a:lumOff val="0"/>
                                  <a:alphaOff val="0"/>
                                </a:schemeClr>
                              </a:fontRef>
                            </wps:style>
                            <wps:bodyPr/>
                          </wps:wsp>
                        </a:graphicData>
                      </a:graphic>
                      <wp14:sizeRelH relativeFrom="margin">
                        <wp14:pctWidth>0</wp14:pctWidth>
                      </wp14:sizeRelH>
                      <wp14:sizeRelV relativeFrom="margin">
                        <wp14:pctHeight>0</wp14:pctHeight>
                      </wp14:sizeRelV>
                    </wp:anchor>
                  </w:drawing>
                </mc:Choice>
                <mc:Fallback>
                  <w:pict>
                    <v:oval w14:anchorId="3222A24C" id="Owal 142" o:spid="_x0000_s1026" alt="Połączenia" style="position:absolute;margin-left:2.05pt;margin-top:3.95pt;width:39.3pt;height:36.9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">
                      <v:fill r:id="rId180" o:title="Połączenia" recolor="t" rotate="t" type="frame"/>
                      <v:stroke joinstyle="miter"/>
                    </v:oval>
                  </w:pict>
                </mc:Fallback>
              </mc:AlternateContent>
            </w:r>
          </w:p>
          <w:p w14:paraId="5E35A64D" w14:textId="77777777" w:rsidR="00C63C8A" w:rsidRDefault="00C63C8A" w:rsidP="00C63C8A">
            <w:pPr>
              <w:ind w:left="0"/>
              <w:rPr>
                <w:lang w:val="pl-PL"/>
              </w:rPr>
            </w:pPr>
          </w:p>
        </w:tc>
        <w:tc>
          <w:tcPr>
            <w:tcW w:w="3260" w:type="dxa"/>
          </w:tcPr>
          <w:p w14:paraId="4B39C106" w14:textId="1582A81E" w:rsidR="00C63C8A" w:rsidRPr="007A0678" w:rsidRDefault="00C63C8A" w:rsidP="00C63C8A">
            <w:pPr>
              <w:pStyle w:val="elementgraficznytabela"/>
              <w:spacing w:before="100" w:beforeAutospacing="1" w:after="100" w:afterAutospacing="1"/>
              <w:contextualSpacing/>
              <w:cnfStyle w:val="000000000000" w:firstRow="0" w:lastRow="0" w:firstColumn="0" w:lastColumn="0" w:oddVBand="0" w:evenVBand="0" w:oddHBand="0" w:evenHBand="0" w:firstRowFirstColumn="0" w:firstRowLastColumn="0" w:lastRowFirstColumn="0" w:lastRowLastColumn="0"/>
              <w:rPr>
                <w:rFonts w:cstheme="minorHAnsi"/>
                <w:szCs w:val="24"/>
                <w:shd w:val="clear" w:color="auto" w:fill="FFFFFF"/>
              </w:rPr>
            </w:pPr>
            <w:r w:rsidRPr="00C01FFB">
              <w:t>Wskazuje na ograniczenia związane ze sposobem zarządzania, nieprawidłowości instytucjonalno-organizacyjne lub związane z kwalifikacjami pracowniczymi, a także bariery technologiczne ograniczające lub uniemożliwiające współpracę</w:t>
            </w:r>
          </w:p>
        </w:tc>
        <w:tc>
          <w:tcPr>
            <w:tcW w:w="3784" w:type="dxa"/>
          </w:tcPr>
          <w:p w14:paraId="2EB20E91" w14:textId="77777777" w:rsidR="00C63C8A" w:rsidRPr="00C01FFB" w:rsidRDefault="00C63C8A" w:rsidP="00B063F0">
            <w:pPr>
              <w:pStyle w:val="elementgraficznytabela"/>
              <w:numPr>
                <w:ilvl w:val="0"/>
                <w:numId w:val="50"/>
              </w:numPr>
              <w:spacing w:after="240"/>
              <w:contextualSpacing/>
              <w:cnfStyle w:val="000000000000" w:firstRow="0" w:lastRow="0" w:firstColumn="0" w:lastColumn="0" w:oddVBand="0" w:evenVBand="0" w:oddHBand="0" w:evenHBand="0" w:firstRowFirstColumn="0" w:firstRowLastColumn="0" w:lastRowFirstColumn="0" w:lastRowLastColumn="0"/>
            </w:pPr>
            <w:r w:rsidRPr="00C01FFB">
              <w:t>Kultura organizacyjna oparta na modelu hierarchicznym (biurokratyzacja)</w:t>
            </w:r>
          </w:p>
          <w:p w14:paraId="7FE59D06" w14:textId="77777777" w:rsidR="00C63C8A" w:rsidRPr="00C01FFB" w:rsidRDefault="00C63C8A" w:rsidP="00B063F0">
            <w:pPr>
              <w:pStyle w:val="elementgraficznytabela"/>
              <w:numPr>
                <w:ilvl w:val="0"/>
                <w:numId w:val="50"/>
              </w:numPr>
              <w:spacing w:after="240"/>
              <w:contextualSpacing/>
              <w:cnfStyle w:val="000000000000" w:firstRow="0" w:lastRow="0" w:firstColumn="0" w:lastColumn="0" w:oddVBand="0" w:evenVBand="0" w:oddHBand="0" w:evenHBand="0" w:firstRowFirstColumn="0" w:firstRowLastColumn="0" w:lastRowFirstColumn="0" w:lastRowLastColumn="0"/>
            </w:pPr>
            <w:r w:rsidRPr="00C01FFB">
              <w:t>Brak systemów integracji danych</w:t>
            </w:r>
          </w:p>
          <w:p w14:paraId="26C5F2E8" w14:textId="77777777" w:rsidR="00C63C8A" w:rsidRPr="00C01FFB" w:rsidRDefault="00C63C8A" w:rsidP="00B063F0">
            <w:pPr>
              <w:pStyle w:val="elementgraficznytabela"/>
              <w:numPr>
                <w:ilvl w:val="0"/>
                <w:numId w:val="50"/>
              </w:numPr>
              <w:spacing w:after="240"/>
              <w:contextualSpacing/>
              <w:cnfStyle w:val="000000000000" w:firstRow="0" w:lastRow="0" w:firstColumn="0" w:lastColumn="0" w:oddVBand="0" w:evenVBand="0" w:oddHBand="0" w:evenHBand="0" w:firstRowFirstColumn="0" w:firstRowLastColumn="0" w:lastRowFirstColumn="0" w:lastRowLastColumn="0"/>
            </w:pPr>
            <w:r w:rsidRPr="00C01FFB">
              <w:t>Niski poziom cyfryzacji</w:t>
            </w:r>
          </w:p>
          <w:p w14:paraId="313A7759" w14:textId="13046E59" w:rsidR="00C63C8A" w:rsidRPr="007A0678" w:rsidRDefault="00C63C8A" w:rsidP="00B063F0">
            <w:pPr>
              <w:pStyle w:val="elementgraficznytabela"/>
              <w:numPr>
                <w:ilvl w:val="0"/>
                <w:numId w:val="30"/>
              </w:numPr>
              <w:spacing w:before="100" w:beforeAutospacing="1" w:after="100" w:afterAutospacing="1"/>
              <w:contextualSpacing/>
              <w:cnfStyle w:val="000000000000" w:firstRow="0" w:lastRow="0" w:firstColumn="0" w:lastColumn="0" w:oddVBand="0" w:evenVBand="0" w:oddHBand="0" w:evenHBand="0" w:firstRowFirstColumn="0" w:firstRowLastColumn="0" w:lastRowFirstColumn="0" w:lastRowLastColumn="0"/>
              <w:rPr>
                <w:rFonts w:cstheme="minorHAnsi"/>
                <w:szCs w:val="24"/>
              </w:rPr>
            </w:pPr>
            <w:r w:rsidRPr="00C01FFB">
              <w:t>Stan finansów lokalnych JST tworzących Partnerstwo</w:t>
            </w:r>
          </w:p>
        </w:tc>
      </w:tr>
    </w:tbl>
    <w:p w14:paraId="2D26F068" w14:textId="77777777" w:rsidR="0004527E" w:rsidRPr="00733091" w:rsidRDefault="0004527E" w:rsidP="00733091">
      <w:pPr>
        <w:pStyle w:val="podpiselementu"/>
        <w:spacing w:after="240"/>
        <w:rPr>
          <w:lang w:val="pl-PL"/>
        </w:rPr>
      </w:pPr>
      <w:r w:rsidRPr="00733091">
        <w:rPr>
          <w:lang w:val="pl-PL"/>
        </w:rPr>
        <w:t>Źródło: opracowanie własne w oparciu o wywiady pogłębione z przedstawicielami JST wchodzącymi w skład Partnerstwa</w:t>
      </w:r>
    </w:p>
    <w:p w14:paraId="49E196A1" w14:textId="77777777" w:rsidR="0004527E" w:rsidRPr="00733091" w:rsidRDefault="0004527E" w:rsidP="00733091">
      <w:pPr>
        <w:contextualSpacing/>
        <w:rPr>
          <w:color w:val="44546A" w:themeColor="text2"/>
          <w:sz w:val="18"/>
          <w:szCs w:val="18"/>
          <w:lang w:val="pl-PL"/>
        </w:rPr>
      </w:pPr>
    </w:p>
    <w:p w14:paraId="6E5C77F3" w14:textId="77777777" w:rsidR="0004527E" w:rsidRPr="00733091" w:rsidRDefault="0004527E" w:rsidP="00733091">
      <w:pPr>
        <w:contextualSpacing/>
        <w:rPr>
          <w:color w:val="44546A" w:themeColor="text2"/>
          <w:sz w:val="18"/>
          <w:szCs w:val="18"/>
          <w:lang w:val="pl-PL"/>
        </w:rPr>
      </w:pPr>
      <w:r>
        <w:rPr>
          <w:noProof/>
          <w:color w:val="44546A" w:themeColor="text2"/>
          <w:sz w:val="18"/>
          <w:szCs w:val="18"/>
        </w:rPr>
        <mc:AlternateContent>
          <mc:Choice Requires="wps">
            <w:drawing>
              <wp:anchor distT="0" distB="0" distL="114300" distR="114300" simplePos="0" relativeHeight="251658265" behindDoc="0" locked="0" layoutInCell="1" allowOverlap="1" wp14:anchorId="0173EDDB" wp14:editId="7D266C6E">
                <wp:simplePos x="0" y="0"/>
                <wp:positionH relativeFrom="margin">
                  <wp:posOffset>471170</wp:posOffset>
                </wp:positionH>
                <wp:positionV relativeFrom="paragraph">
                  <wp:posOffset>42776</wp:posOffset>
                </wp:positionV>
                <wp:extent cx="5318760" cy="3445727"/>
                <wp:effectExtent l="0" t="0" r="15240" b="21590"/>
                <wp:wrapNone/>
                <wp:docPr id="123" name="Pole tekstowe 123"/>
                <wp:cNvGraphicFramePr/>
                <a:graphic xmlns:a="http://schemas.openxmlformats.org/drawingml/2006/main">
                  <a:graphicData uri="http://schemas.microsoft.com/office/word/2010/wordprocessingShape">
                    <wps:wsp>
                      <wps:cNvSpPr txBox="1"/>
                      <wps:spPr>
                        <a:xfrm>
                          <a:off x="0" y="0"/>
                          <a:ext cx="5318760" cy="3445727"/>
                        </a:xfrm>
                        <a:prstGeom prst="rect">
                          <a:avLst/>
                        </a:prstGeom>
                        <a:solidFill>
                          <a:schemeClr val="accent1">
                            <a:lumMod val="20000"/>
                            <a:lumOff val="80000"/>
                          </a:schemeClr>
                        </a:solidFill>
                        <a:ln w="6350">
                          <a:solidFill>
                            <a:schemeClr val="accent1"/>
                          </a:solidFill>
                        </a:ln>
                      </wps:spPr>
                      <wps:txbx>
                        <w:txbxContent>
                          <w:p w14:paraId="7252DF97" w14:textId="01378191" w:rsidR="00B14787" w:rsidRPr="00111213" w:rsidRDefault="00B14787" w:rsidP="004D4C36">
                            <w:pPr>
                              <w:ind w:left="142"/>
                              <w:rPr>
                                <w:rFonts w:eastAsia="Times New Roman" w:cstheme="minorHAnsi"/>
                                <w:szCs w:val="24"/>
                                <w:lang w:val="pl-PL" w:eastAsia="pl-PL"/>
                              </w:rPr>
                            </w:pPr>
                            <w:r w:rsidRPr="00111213">
                              <w:rPr>
                                <w:rFonts w:eastAsia="Times New Roman" w:cstheme="minorHAnsi"/>
                                <w:szCs w:val="24"/>
                                <w:lang w:val="pl-PL" w:eastAsia="pl-PL"/>
                              </w:rPr>
                              <w:t xml:space="preserve">Za podstawowe bariery Południowych Mazur mieszkańcy obszaru Partnerstwa </w:t>
                            </w:r>
                            <w:r>
                              <w:rPr>
                                <w:rFonts w:eastAsia="Times New Roman" w:cstheme="minorHAnsi"/>
                                <w:szCs w:val="24"/>
                                <w:lang w:val="pl-PL" w:eastAsia="pl-PL"/>
                              </w:rPr>
                              <w:br/>
                            </w:r>
                            <w:r w:rsidRPr="00111213">
                              <w:rPr>
                                <w:rFonts w:eastAsia="Times New Roman" w:cstheme="minorHAnsi"/>
                                <w:szCs w:val="24"/>
                                <w:lang w:val="pl-PL" w:eastAsia="pl-PL"/>
                              </w:rPr>
                              <w:t>i młodzież z ostatnich klas szkół ponadpodstawowych uznała:</w:t>
                            </w:r>
                          </w:p>
                          <w:p w14:paraId="70588E67" w14:textId="49724442" w:rsidR="00B14787" w:rsidRPr="00111213" w:rsidRDefault="00B14787" w:rsidP="00B063F0">
                            <w:pPr>
                              <w:pStyle w:val="Akapitzlist"/>
                              <w:numPr>
                                <w:ilvl w:val="0"/>
                                <w:numId w:val="46"/>
                              </w:numPr>
                              <w:spacing w:before="0" w:after="160" w:line="259" w:lineRule="auto"/>
                              <w:rPr>
                                <w:rFonts w:eastAsia="Times New Roman" w:cstheme="minorHAnsi"/>
                                <w:szCs w:val="24"/>
                                <w:lang w:val="pl-PL" w:eastAsia="pl-PL"/>
                              </w:rPr>
                            </w:pPr>
                            <w:r w:rsidRPr="00111213">
                              <w:rPr>
                                <w:rFonts w:eastAsia="Times New Roman" w:cstheme="minorHAnsi"/>
                                <w:szCs w:val="24"/>
                                <w:lang w:val="pl-PL" w:eastAsia="pl-PL"/>
                              </w:rPr>
                              <w:t xml:space="preserve">Oferty pracy, rynek pracy – odpowiednio </w:t>
                            </w:r>
                            <w:r w:rsidRPr="00111213">
                              <w:rPr>
                                <w:rFonts w:eastAsia="Times New Roman" w:cstheme="minorHAnsi"/>
                                <w:b/>
                                <w:bCs/>
                                <w:szCs w:val="24"/>
                                <w:lang w:val="pl-PL" w:eastAsia="pl-PL"/>
                              </w:rPr>
                              <w:t>83,44%</w:t>
                            </w:r>
                            <w:r w:rsidRPr="00111213">
                              <w:rPr>
                                <w:rFonts w:eastAsia="Times New Roman" w:cstheme="minorHAnsi"/>
                                <w:szCs w:val="24"/>
                                <w:lang w:val="pl-PL" w:eastAsia="pl-PL"/>
                              </w:rPr>
                              <w:t xml:space="preserve"> i </w:t>
                            </w:r>
                            <w:r w:rsidRPr="00111213">
                              <w:rPr>
                                <w:rFonts w:eastAsia="Times New Roman" w:cstheme="minorHAnsi"/>
                                <w:b/>
                                <w:bCs/>
                                <w:szCs w:val="24"/>
                                <w:lang w:val="pl-PL" w:eastAsia="pl-PL"/>
                              </w:rPr>
                              <w:t xml:space="preserve">74,35% </w:t>
                            </w:r>
                            <w:r w:rsidRPr="00111213">
                              <w:rPr>
                                <w:rFonts w:eastAsia="Times New Roman" w:cstheme="minorHAnsi"/>
                                <w:szCs w:val="24"/>
                                <w:lang w:val="pl-PL" w:eastAsia="pl-PL"/>
                              </w:rPr>
                              <w:t>oraz</w:t>
                            </w:r>
                            <w:r w:rsidRPr="00111213">
                              <w:rPr>
                                <w:rFonts w:eastAsia="Times New Roman" w:cstheme="minorHAnsi"/>
                                <w:b/>
                                <w:bCs/>
                                <w:szCs w:val="24"/>
                                <w:lang w:val="pl-PL" w:eastAsia="pl-PL"/>
                              </w:rPr>
                              <w:t xml:space="preserve"> </w:t>
                            </w:r>
                            <w:r w:rsidRPr="00111213">
                              <w:rPr>
                                <w:rFonts w:eastAsia="Times New Roman" w:cstheme="minorHAnsi"/>
                                <w:szCs w:val="24"/>
                                <w:lang w:val="pl-PL" w:eastAsia="pl-PL"/>
                              </w:rPr>
                              <w:t xml:space="preserve">związana </w:t>
                            </w:r>
                            <w:r>
                              <w:rPr>
                                <w:rFonts w:eastAsia="Times New Roman" w:cstheme="minorHAnsi"/>
                                <w:szCs w:val="24"/>
                                <w:lang w:val="pl-PL" w:eastAsia="pl-PL"/>
                              </w:rPr>
                              <w:br/>
                            </w:r>
                            <w:r w:rsidRPr="00111213">
                              <w:rPr>
                                <w:rFonts w:eastAsia="Times New Roman" w:cstheme="minorHAnsi"/>
                                <w:szCs w:val="24"/>
                                <w:lang w:val="pl-PL" w:eastAsia="pl-PL"/>
                              </w:rPr>
                              <w:t xml:space="preserve">z nim wysokość zarobków i płac – odpowiednio </w:t>
                            </w:r>
                            <w:r w:rsidRPr="00111213">
                              <w:rPr>
                                <w:rFonts w:eastAsia="Times New Roman" w:cstheme="minorHAnsi"/>
                                <w:b/>
                                <w:bCs/>
                                <w:szCs w:val="24"/>
                                <w:lang w:val="pl-PL" w:eastAsia="pl-PL"/>
                              </w:rPr>
                              <w:t>83,44%</w:t>
                            </w:r>
                            <w:r w:rsidRPr="00111213">
                              <w:rPr>
                                <w:rFonts w:eastAsia="Times New Roman" w:cstheme="minorHAnsi"/>
                                <w:szCs w:val="24"/>
                                <w:lang w:val="pl-PL" w:eastAsia="pl-PL"/>
                              </w:rPr>
                              <w:t xml:space="preserve"> i </w:t>
                            </w:r>
                            <w:r w:rsidRPr="00111213">
                              <w:rPr>
                                <w:rFonts w:eastAsia="Times New Roman" w:cstheme="minorHAnsi"/>
                                <w:b/>
                                <w:bCs/>
                                <w:szCs w:val="24"/>
                                <w:lang w:val="pl-PL" w:eastAsia="pl-PL"/>
                              </w:rPr>
                              <w:t>78,61%,</w:t>
                            </w:r>
                          </w:p>
                          <w:p w14:paraId="105BEAA6" w14:textId="2E3F8C4C" w:rsidR="00B14787" w:rsidRPr="00111213" w:rsidRDefault="00B14787" w:rsidP="00B063F0">
                            <w:pPr>
                              <w:pStyle w:val="Akapitzlist"/>
                              <w:numPr>
                                <w:ilvl w:val="0"/>
                                <w:numId w:val="46"/>
                              </w:numPr>
                              <w:spacing w:before="0" w:after="160" w:line="259" w:lineRule="auto"/>
                              <w:rPr>
                                <w:rFonts w:eastAsia="Times New Roman" w:cstheme="minorHAnsi"/>
                                <w:szCs w:val="24"/>
                                <w:lang w:val="pl-PL" w:eastAsia="pl-PL"/>
                              </w:rPr>
                            </w:pPr>
                            <w:r w:rsidRPr="00111213">
                              <w:rPr>
                                <w:rFonts w:eastAsia="Times New Roman" w:cstheme="minorHAnsi"/>
                                <w:szCs w:val="24"/>
                                <w:lang w:val="pl-PL" w:eastAsia="pl-PL"/>
                              </w:rPr>
                              <w:t xml:space="preserve">Komunikację i transport zbiorowy – odpowiednio </w:t>
                            </w:r>
                            <w:r w:rsidRPr="00111213">
                              <w:rPr>
                                <w:rFonts w:eastAsia="Times New Roman" w:cstheme="minorHAnsi"/>
                                <w:b/>
                                <w:bCs/>
                                <w:szCs w:val="24"/>
                                <w:lang w:val="pl-PL" w:eastAsia="pl-PL"/>
                              </w:rPr>
                              <w:t>63,89%</w:t>
                            </w:r>
                            <w:r w:rsidRPr="00111213">
                              <w:rPr>
                                <w:rFonts w:eastAsia="Times New Roman" w:cstheme="minorHAnsi"/>
                                <w:szCs w:val="24"/>
                                <w:lang w:val="pl-PL" w:eastAsia="pl-PL"/>
                              </w:rPr>
                              <w:t xml:space="preserve"> i </w:t>
                            </w:r>
                            <w:r w:rsidRPr="00111213">
                              <w:rPr>
                                <w:rFonts w:eastAsia="Times New Roman" w:cstheme="minorHAnsi"/>
                                <w:b/>
                                <w:bCs/>
                                <w:szCs w:val="24"/>
                                <w:lang w:val="pl-PL" w:eastAsia="pl-PL"/>
                              </w:rPr>
                              <w:t>61,57%,</w:t>
                            </w:r>
                          </w:p>
                          <w:p w14:paraId="3145A511" w14:textId="3FB174BD" w:rsidR="00B14787" w:rsidRPr="00111213" w:rsidRDefault="00B14787" w:rsidP="00B063F0">
                            <w:pPr>
                              <w:pStyle w:val="Akapitzlist"/>
                              <w:numPr>
                                <w:ilvl w:val="0"/>
                                <w:numId w:val="46"/>
                              </w:numPr>
                              <w:spacing w:before="0" w:after="160" w:line="259" w:lineRule="auto"/>
                              <w:rPr>
                                <w:rFonts w:eastAsia="Times New Roman" w:cstheme="minorHAnsi"/>
                                <w:szCs w:val="24"/>
                                <w:lang w:val="pl-PL" w:eastAsia="pl-PL"/>
                              </w:rPr>
                            </w:pPr>
                            <w:r w:rsidRPr="00111213">
                              <w:rPr>
                                <w:rFonts w:cstheme="minorHAnsi"/>
                                <w:szCs w:val="24"/>
                                <w:lang w:val="pl-PL"/>
                              </w:rPr>
                              <w:t xml:space="preserve">Warunki do prowadzenia i otwarcia własnej firmy – odpowiednio </w:t>
                            </w:r>
                            <w:r w:rsidRPr="00111213">
                              <w:rPr>
                                <w:rFonts w:cstheme="minorHAnsi"/>
                                <w:b/>
                                <w:bCs/>
                                <w:szCs w:val="24"/>
                                <w:lang w:val="pl-PL"/>
                              </w:rPr>
                              <w:t>57,11%</w:t>
                            </w:r>
                            <w:r w:rsidRPr="00111213">
                              <w:rPr>
                                <w:rFonts w:cstheme="minorHAnsi"/>
                                <w:szCs w:val="24"/>
                                <w:lang w:val="pl-PL"/>
                              </w:rPr>
                              <w:t xml:space="preserve"> </w:t>
                            </w:r>
                            <w:r>
                              <w:rPr>
                                <w:rFonts w:cstheme="minorHAnsi"/>
                                <w:szCs w:val="24"/>
                                <w:lang w:val="pl-PL"/>
                              </w:rPr>
                              <w:br/>
                            </w:r>
                            <w:r w:rsidRPr="00111213">
                              <w:rPr>
                                <w:rFonts w:cstheme="minorHAnsi"/>
                                <w:szCs w:val="24"/>
                                <w:lang w:val="pl-PL"/>
                              </w:rPr>
                              <w:t xml:space="preserve">i </w:t>
                            </w:r>
                            <w:r w:rsidRPr="00111213">
                              <w:rPr>
                                <w:rFonts w:cstheme="minorHAnsi"/>
                                <w:b/>
                                <w:bCs/>
                                <w:szCs w:val="24"/>
                                <w:lang w:val="pl-PL"/>
                              </w:rPr>
                              <w:t>55,41%,</w:t>
                            </w:r>
                          </w:p>
                          <w:p w14:paraId="57DA50F2" w14:textId="3F10AE63" w:rsidR="00B14787" w:rsidRPr="00111213" w:rsidRDefault="00B14787" w:rsidP="00B063F0">
                            <w:pPr>
                              <w:pStyle w:val="Akapitzlist"/>
                              <w:numPr>
                                <w:ilvl w:val="0"/>
                                <w:numId w:val="46"/>
                              </w:numPr>
                              <w:spacing w:before="0" w:after="160" w:line="259" w:lineRule="auto"/>
                              <w:rPr>
                                <w:rFonts w:eastAsia="Times New Roman" w:cstheme="minorHAnsi"/>
                                <w:szCs w:val="24"/>
                                <w:lang w:val="pl-PL" w:eastAsia="pl-PL"/>
                              </w:rPr>
                            </w:pPr>
                            <w:r w:rsidRPr="00111213">
                              <w:rPr>
                                <w:rFonts w:cstheme="minorHAnsi"/>
                                <w:szCs w:val="24"/>
                                <w:lang w:val="pl-PL"/>
                              </w:rPr>
                              <w:t xml:space="preserve">Ofertę usług społecznych (zdrowotnych, opiekuńczych, edukacyjnych) – odpowiednio </w:t>
                            </w:r>
                            <w:r w:rsidRPr="00111213">
                              <w:rPr>
                                <w:rFonts w:cstheme="minorHAnsi"/>
                                <w:b/>
                                <w:bCs/>
                                <w:szCs w:val="24"/>
                                <w:lang w:val="pl-PL"/>
                              </w:rPr>
                              <w:t xml:space="preserve">62,06% </w:t>
                            </w:r>
                            <w:r w:rsidRPr="00111213">
                              <w:rPr>
                                <w:rFonts w:cstheme="minorHAnsi"/>
                                <w:szCs w:val="24"/>
                                <w:lang w:val="pl-PL"/>
                              </w:rPr>
                              <w:t xml:space="preserve">i </w:t>
                            </w:r>
                            <w:r w:rsidRPr="00111213">
                              <w:rPr>
                                <w:rFonts w:cstheme="minorHAnsi"/>
                                <w:b/>
                                <w:bCs/>
                                <w:szCs w:val="24"/>
                                <w:lang w:val="pl-PL"/>
                              </w:rPr>
                              <w:t>60,06%</w:t>
                            </w:r>
                          </w:p>
                          <w:p w14:paraId="6D603099" w14:textId="77777777" w:rsidR="00B14787" w:rsidRPr="00111213" w:rsidRDefault="00B14787" w:rsidP="00B063F0">
                            <w:pPr>
                              <w:pStyle w:val="Akapitzlist"/>
                              <w:numPr>
                                <w:ilvl w:val="0"/>
                                <w:numId w:val="46"/>
                              </w:numPr>
                              <w:spacing w:before="0" w:after="160" w:line="259" w:lineRule="auto"/>
                              <w:rPr>
                                <w:rFonts w:eastAsia="Times New Roman" w:cstheme="minorHAnsi"/>
                                <w:szCs w:val="24"/>
                                <w:lang w:val="pl-PL" w:eastAsia="pl-PL"/>
                              </w:rPr>
                            </w:pPr>
                            <w:r w:rsidRPr="00111213">
                              <w:rPr>
                                <w:rFonts w:cstheme="minorHAnsi"/>
                                <w:szCs w:val="24"/>
                                <w:lang w:val="pl-PL"/>
                              </w:rPr>
                              <w:t xml:space="preserve">Ofertę kulturalno-rozrywkową – odpowiednio </w:t>
                            </w:r>
                            <w:r w:rsidRPr="00111213">
                              <w:rPr>
                                <w:rFonts w:cstheme="minorHAnsi"/>
                                <w:b/>
                                <w:bCs/>
                                <w:szCs w:val="24"/>
                                <w:lang w:val="pl-PL"/>
                              </w:rPr>
                              <w:t>67,01%</w:t>
                            </w:r>
                            <w:r w:rsidRPr="00111213">
                              <w:rPr>
                                <w:rFonts w:cstheme="minorHAnsi"/>
                                <w:szCs w:val="24"/>
                                <w:lang w:val="pl-PL"/>
                              </w:rPr>
                              <w:t xml:space="preserve"> i </w:t>
                            </w:r>
                            <w:r w:rsidRPr="00111213">
                              <w:rPr>
                                <w:rFonts w:cstheme="minorHAnsi"/>
                                <w:b/>
                                <w:bCs/>
                                <w:szCs w:val="24"/>
                                <w:lang w:val="pl-PL"/>
                              </w:rPr>
                              <w:t>57,30%</w:t>
                            </w:r>
                          </w:p>
                          <w:p w14:paraId="1E3551E0" w14:textId="53FF38EB" w:rsidR="00B14787" w:rsidRPr="00111213" w:rsidRDefault="00B14787" w:rsidP="004D4C36">
                            <w:pPr>
                              <w:ind w:left="142"/>
                              <w:rPr>
                                <w:rFonts w:cstheme="minorHAnsi"/>
                                <w:szCs w:val="24"/>
                                <w:lang w:val="pl-PL"/>
                              </w:rPr>
                            </w:pPr>
                            <w:r w:rsidRPr="00111213">
                              <w:rPr>
                                <w:rFonts w:cstheme="minorHAnsi"/>
                                <w:szCs w:val="24"/>
                                <w:lang w:val="pl-PL"/>
                              </w:rPr>
                              <w:t>Ponadto mieszkańcy Południowych Mazur uznali, że deficytem obszaru są także: oferta</w:t>
                            </w:r>
                            <w:r>
                              <w:rPr>
                                <w:rFonts w:cstheme="minorHAnsi"/>
                                <w:szCs w:val="24"/>
                                <w:lang w:val="pl-PL"/>
                              </w:rPr>
                              <w:t xml:space="preserve"> </w:t>
                            </w:r>
                            <w:r w:rsidRPr="00111213">
                              <w:rPr>
                                <w:rFonts w:cstheme="minorHAnsi"/>
                                <w:szCs w:val="24"/>
                                <w:lang w:val="pl-PL"/>
                              </w:rPr>
                              <w:t xml:space="preserve">i infrastruktura sportowa i rekreacyjna </w:t>
                            </w:r>
                            <w:r w:rsidRPr="00111213">
                              <w:rPr>
                                <w:rFonts w:cstheme="minorHAnsi"/>
                                <w:b/>
                                <w:bCs/>
                                <w:szCs w:val="24"/>
                                <w:lang w:val="pl-PL"/>
                              </w:rPr>
                              <w:t xml:space="preserve">(53,06%), </w:t>
                            </w:r>
                            <w:r w:rsidRPr="00111213">
                              <w:rPr>
                                <w:rFonts w:eastAsia="Times New Roman" w:cstheme="minorHAnsi"/>
                                <w:szCs w:val="24"/>
                                <w:lang w:val="pl-PL" w:eastAsia="pl-PL"/>
                              </w:rPr>
                              <w:t xml:space="preserve">skomunikowanie </w:t>
                            </w:r>
                            <w:r>
                              <w:rPr>
                                <w:rFonts w:eastAsia="Times New Roman" w:cstheme="minorHAnsi"/>
                                <w:szCs w:val="24"/>
                                <w:lang w:val="pl-PL" w:eastAsia="pl-PL"/>
                              </w:rPr>
                              <w:br/>
                            </w:r>
                            <w:r w:rsidRPr="00111213">
                              <w:rPr>
                                <w:rFonts w:eastAsia="Times New Roman" w:cstheme="minorHAnsi"/>
                                <w:szCs w:val="24"/>
                                <w:lang w:val="pl-PL" w:eastAsia="pl-PL"/>
                              </w:rPr>
                              <w:t>z większymi miastami (</w:t>
                            </w:r>
                            <w:r w:rsidRPr="00111213">
                              <w:rPr>
                                <w:rFonts w:eastAsia="Times New Roman" w:cstheme="minorHAnsi"/>
                                <w:b/>
                                <w:bCs/>
                                <w:szCs w:val="24"/>
                                <w:lang w:val="pl-PL" w:eastAsia="pl-PL"/>
                              </w:rPr>
                              <w:t>54,37%)</w:t>
                            </w:r>
                            <w:r w:rsidRPr="00111213">
                              <w:rPr>
                                <w:rFonts w:eastAsia="Times New Roman" w:cstheme="minorHAnsi"/>
                                <w:szCs w:val="24"/>
                                <w:lang w:val="pl-PL" w:eastAsia="pl-PL"/>
                              </w:rPr>
                              <w:t xml:space="preserve"> oraz sąsiednimi miejscowościami </w:t>
                            </w:r>
                            <w:r w:rsidRPr="00111213">
                              <w:rPr>
                                <w:rFonts w:eastAsia="Times New Roman" w:cstheme="minorHAnsi"/>
                                <w:b/>
                                <w:bCs/>
                                <w:szCs w:val="24"/>
                                <w:lang w:val="pl-PL" w:eastAsia="pl-PL"/>
                              </w:rPr>
                              <w:t>(56,58%).</w:t>
                            </w:r>
                          </w:p>
                          <w:p w14:paraId="7E92AE40" w14:textId="77777777" w:rsidR="00B14787" w:rsidRPr="00733091" w:rsidRDefault="00B14787" w:rsidP="0004527E">
                            <w:pPr>
                              <w:rPr>
                                <w:lang w:val="pl-PL"/>
                              </w:rPr>
                            </w:pPr>
                          </w:p>
                          <w:p w14:paraId="5C33D013" w14:textId="77777777" w:rsidR="00B14787" w:rsidRPr="00733091" w:rsidRDefault="00B14787" w:rsidP="0004527E">
                            <w:pPr>
                              <w:rPr>
                                <w:lang w:val="pl-PL"/>
                              </w:rPr>
                            </w:pPr>
                          </w:p>
                          <w:p w14:paraId="4AC24870" w14:textId="77777777" w:rsidR="00B14787" w:rsidRPr="00733091" w:rsidRDefault="00B14787" w:rsidP="0004527E">
                            <w:pPr>
                              <w:rPr>
                                <w:lang w:val="pl-PL"/>
                              </w:rPr>
                            </w:pPr>
                          </w:p>
                          <w:p w14:paraId="1A61BADE" w14:textId="77777777" w:rsidR="00B14787" w:rsidRPr="00733091" w:rsidRDefault="00B14787" w:rsidP="0004527E">
                            <w:pPr>
                              <w:rPr>
                                <w:lang w:val="pl-P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73EDDB" id="Pole tekstowe 123" o:spid="_x0000_s1052" type="#_x0000_t202" style="position:absolute;left:0;text-align:left;margin-left:37.1pt;margin-top:3.35pt;width:418.8pt;height:271.3pt;z-index:25165826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" fillcolor="#d9e2f3 [660]" strokecolor="#4472c4 [3204]" strokeweight=".5pt">
                <v:textbox>
                  <w:txbxContent>
                    <w:p w14:paraId="7252DF97" w14:textId="01378191" w:rsidR="00B14787" w:rsidRPr="00111213" w:rsidRDefault="00B14787" w:rsidP="004D4C36">
                      <w:pPr>
                        <w:ind w:left="142"/>
                        <w:rPr>
                          <w:rFonts w:eastAsia="Times New Roman" w:cstheme="minorHAnsi"/>
                          <w:szCs w:val="24"/>
                          <w:lang w:val="pl-PL" w:eastAsia="pl-PL"/>
                        </w:rPr>
                      </w:pPr>
                      <w:r w:rsidRPr="00111213">
                        <w:rPr>
                          <w:rFonts w:eastAsia="Times New Roman" w:cstheme="minorHAnsi"/>
                          <w:szCs w:val="24"/>
                          <w:lang w:val="pl-PL" w:eastAsia="pl-PL"/>
                        </w:rPr>
                        <w:t xml:space="preserve">Za podstawowe bariery Południowych Mazur mieszkańcy obszaru Partnerstwa </w:t>
                      </w:r>
                      <w:r>
                        <w:rPr>
                          <w:rFonts w:eastAsia="Times New Roman" w:cstheme="minorHAnsi"/>
                          <w:szCs w:val="24"/>
                          <w:lang w:val="pl-PL" w:eastAsia="pl-PL"/>
                        </w:rPr>
                        <w:br/>
                      </w:r>
                      <w:r w:rsidRPr="00111213">
                        <w:rPr>
                          <w:rFonts w:eastAsia="Times New Roman" w:cstheme="minorHAnsi"/>
                          <w:szCs w:val="24"/>
                          <w:lang w:val="pl-PL" w:eastAsia="pl-PL"/>
                        </w:rPr>
                        <w:t>i młodzież z ostatnich klas szkół ponadpodstawowych uznała:</w:t>
                      </w:r>
                    </w:p>
                    <w:p w14:paraId="70588E67" w14:textId="49724442" w:rsidR="00B14787" w:rsidRPr="00111213" w:rsidRDefault="00B14787" w:rsidP="00B063F0">
                      <w:pPr>
                        <w:pStyle w:val="Akapitzlist"/>
                        <w:numPr>
                          <w:ilvl w:val="0"/>
                          <w:numId w:val="46"/>
                        </w:numPr>
                        <w:spacing w:before="0" w:after="160" w:line="259" w:lineRule="auto"/>
                        <w:rPr>
                          <w:rFonts w:eastAsia="Times New Roman" w:cstheme="minorHAnsi"/>
                          <w:szCs w:val="24"/>
                          <w:lang w:val="pl-PL" w:eastAsia="pl-PL"/>
                        </w:rPr>
                      </w:pPr>
                      <w:r w:rsidRPr="00111213">
                        <w:rPr>
                          <w:rFonts w:eastAsia="Times New Roman" w:cstheme="minorHAnsi"/>
                          <w:szCs w:val="24"/>
                          <w:lang w:val="pl-PL" w:eastAsia="pl-PL"/>
                        </w:rPr>
                        <w:t xml:space="preserve">Oferty pracy, rynek pracy – odpowiednio </w:t>
                      </w:r>
                      <w:r w:rsidRPr="00111213">
                        <w:rPr>
                          <w:rFonts w:eastAsia="Times New Roman" w:cstheme="minorHAnsi"/>
                          <w:b/>
                          <w:bCs/>
                          <w:szCs w:val="24"/>
                          <w:lang w:val="pl-PL" w:eastAsia="pl-PL"/>
                        </w:rPr>
                        <w:t>83,44%</w:t>
                      </w:r>
                      <w:r w:rsidRPr="00111213">
                        <w:rPr>
                          <w:rFonts w:eastAsia="Times New Roman" w:cstheme="minorHAnsi"/>
                          <w:szCs w:val="24"/>
                          <w:lang w:val="pl-PL" w:eastAsia="pl-PL"/>
                        </w:rPr>
                        <w:t xml:space="preserve"> i </w:t>
                      </w:r>
                      <w:r w:rsidRPr="00111213">
                        <w:rPr>
                          <w:rFonts w:eastAsia="Times New Roman" w:cstheme="minorHAnsi"/>
                          <w:b/>
                          <w:bCs/>
                          <w:szCs w:val="24"/>
                          <w:lang w:val="pl-PL" w:eastAsia="pl-PL"/>
                        </w:rPr>
                        <w:t xml:space="preserve">74,35% </w:t>
                      </w:r>
                      <w:r w:rsidRPr="00111213">
                        <w:rPr>
                          <w:rFonts w:eastAsia="Times New Roman" w:cstheme="minorHAnsi"/>
                          <w:szCs w:val="24"/>
                          <w:lang w:val="pl-PL" w:eastAsia="pl-PL"/>
                        </w:rPr>
                        <w:t>oraz</w:t>
                      </w:r>
                      <w:r w:rsidRPr="00111213">
                        <w:rPr>
                          <w:rFonts w:eastAsia="Times New Roman" w:cstheme="minorHAnsi"/>
                          <w:b/>
                          <w:bCs/>
                          <w:szCs w:val="24"/>
                          <w:lang w:val="pl-PL" w:eastAsia="pl-PL"/>
                        </w:rPr>
                        <w:t xml:space="preserve"> </w:t>
                      </w:r>
                      <w:r w:rsidRPr="00111213">
                        <w:rPr>
                          <w:rFonts w:eastAsia="Times New Roman" w:cstheme="minorHAnsi"/>
                          <w:szCs w:val="24"/>
                          <w:lang w:val="pl-PL" w:eastAsia="pl-PL"/>
                        </w:rPr>
                        <w:t xml:space="preserve">związana </w:t>
                      </w:r>
                      <w:r>
                        <w:rPr>
                          <w:rFonts w:eastAsia="Times New Roman" w:cstheme="minorHAnsi"/>
                          <w:szCs w:val="24"/>
                          <w:lang w:val="pl-PL" w:eastAsia="pl-PL"/>
                        </w:rPr>
                        <w:br/>
                      </w:r>
                      <w:r w:rsidRPr="00111213">
                        <w:rPr>
                          <w:rFonts w:eastAsia="Times New Roman" w:cstheme="minorHAnsi"/>
                          <w:szCs w:val="24"/>
                          <w:lang w:val="pl-PL" w:eastAsia="pl-PL"/>
                        </w:rPr>
                        <w:t xml:space="preserve">z nim wysokość zarobków i płac – odpowiednio </w:t>
                      </w:r>
                      <w:r w:rsidRPr="00111213">
                        <w:rPr>
                          <w:rFonts w:eastAsia="Times New Roman" w:cstheme="minorHAnsi"/>
                          <w:b/>
                          <w:bCs/>
                          <w:szCs w:val="24"/>
                          <w:lang w:val="pl-PL" w:eastAsia="pl-PL"/>
                        </w:rPr>
                        <w:t>83,44%</w:t>
                      </w:r>
                      <w:r w:rsidRPr="00111213">
                        <w:rPr>
                          <w:rFonts w:eastAsia="Times New Roman" w:cstheme="minorHAnsi"/>
                          <w:szCs w:val="24"/>
                          <w:lang w:val="pl-PL" w:eastAsia="pl-PL"/>
                        </w:rPr>
                        <w:t xml:space="preserve"> i </w:t>
                      </w:r>
                      <w:r w:rsidRPr="00111213">
                        <w:rPr>
                          <w:rFonts w:eastAsia="Times New Roman" w:cstheme="minorHAnsi"/>
                          <w:b/>
                          <w:bCs/>
                          <w:szCs w:val="24"/>
                          <w:lang w:val="pl-PL" w:eastAsia="pl-PL"/>
                        </w:rPr>
                        <w:t>78,61%,</w:t>
                      </w:r>
                    </w:p>
                    <w:p w14:paraId="105BEAA6" w14:textId="2E3F8C4C" w:rsidR="00B14787" w:rsidRPr="00111213" w:rsidRDefault="00B14787" w:rsidP="00B063F0">
                      <w:pPr>
                        <w:pStyle w:val="Akapitzlist"/>
                        <w:numPr>
                          <w:ilvl w:val="0"/>
                          <w:numId w:val="46"/>
                        </w:numPr>
                        <w:spacing w:before="0" w:after="160" w:line="259" w:lineRule="auto"/>
                        <w:rPr>
                          <w:rFonts w:eastAsia="Times New Roman" w:cstheme="minorHAnsi"/>
                          <w:szCs w:val="24"/>
                          <w:lang w:val="pl-PL" w:eastAsia="pl-PL"/>
                        </w:rPr>
                      </w:pPr>
                      <w:r w:rsidRPr="00111213">
                        <w:rPr>
                          <w:rFonts w:eastAsia="Times New Roman" w:cstheme="minorHAnsi"/>
                          <w:szCs w:val="24"/>
                          <w:lang w:val="pl-PL" w:eastAsia="pl-PL"/>
                        </w:rPr>
                        <w:t xml:space="preserve">Komunikację i transport zbiorowy – odpowiednio </w:t>
                      </w:r>
                      <w:r w:rsidRPr="00111213">
                        <w:rPr>
                          <w:rFonts w:eastAsia="Times New Roman" w:cstheme="minorHAnsi"/>
                          <w:b/>
                          <w:bCs/>
                          <w:szCs w:val="24"/>
                          <w:lang w:val="pl-PL" w:eastAsia="pl-PL"/>
                        </w:rPr>
                        <w:t>63,89%</w:t>
                      </w:r>
                      <w:r w:rsidRPr="00111213">
                        <w:rPr>
                          <w:rFonts w:eastAsia="Times New Roman" w:cstheme="minorHAnsi"/>
                          <w:szCs w:val="24"/>
                          <w:lang w:val="pl-PL" w:eastAsia="pl-PL"/>
                        </w:rPr>
                        <w:t xml:space="preserve"> i </w:t>
                      </w:r>
                      <w:r w:rsidRPr="00111213">
                        <w:rPr>
                          <w:rFonts w:eastAsia="Times New Roman" w:cstheme="minorHAnsi"/>
                          <w:b/>
                          <w:bCs/>
                          <w:szCs w:val="24"/>
                          <w:lang w:val="pl-PL" w:eastAsia="pl-PL"/>
                        </w:rPr>
                        <w:t>61,57%,</w:t>
                      </w:r>
                    </w:p>
                    <w:p w14:paraId="3145A511" w14:textId="3FB174BD" w:rsidR="00B14787" w:rsidRPr="00111213" w:rsidRDefault="00B14787" w:rsidP="00B063F0">
                      <w:pPr>
                        <w:pStyle w:val="Akapitzlist"/>
                        <w:numPr>
                          <w:ilvl w:val="0"/>
                          <w:numId w:val="46"/>
                        </w:numPr>
                        <w:spacing w:before="0" w:after="160" w:line="259" w:lineRule="auto"/>
                        <w:rPr>
                          <w:rFonts w:eastAsia="Times New Roman" w:cstheme="minorHAnsi"/>
                          <w:szCs w:val="24"/>
                          <w:lang w:val="pl-PL" w:eastAsia="pl-PL"/>
                        </w:rPr>
                      </w:pPr>
                      <w:r w:rsidRPr="00111213">
                        <w:rPr>
                          <w:rFonts w:cstheme="minorHAnsi"/>
                          <w:szCs w:val="24"/>
                          <w:lang w:val="pl-PL"/>
                        </w:rPr>
                        <w:t xml:space="preserve">Warunki do prowadzenia i otwarcia własnej firmy – odpowiednio </w:t>
                      </w:r>
                      <w:r w:rsidRPr="00111213">
                        <w:rPr>
                          <w:rFonts w:cstheme="minorHAnsi"/>
                          <w:b/>
                          <w:bCs/>
                          <w:szCs w:val="24"/>
                          <w:lang w:val="pl-PL"/>
                        </w:rPr>
                        <w:t>57,11%</w:t>
                      </w:r>
                      <w:r w:rsidRPr="00111213">
                        <w:rPr>
                          <w:rFonts w:cstheme="minorHAnsi"/>
                          <w:szCs w:val="24"/>
                          <w:lang w:val="pl-PL"/>
                        </w:rPr>
                        <w:t xml:space="preserve"> </w:t>
                      </w:r>
                      <w:r>
                        <w:rPr>
                          <w:rFonts w:cstheme="minorHAnsi"/>
                          <w:szCs w:val="24"/>
                          <w:lang w:val="pl-PL"/>
                        </w:rPr>
                        <w:br/>
                      </w:r>
                      <w:r w:rsidRPr="00111213">
                        <w:rPr>
                          <w:rFonts w:cstheme="minorHAnsi"/>
                          <w:szCs w:val="24"/>
                          <w:lang w:val="pl-PL"/>
                        </w:rPr>
                        <w:t xml:space="preserve">i </w:t>
                      </w:r>
                      <w:r w:rsidRPr="00111213">
                        <w:rPr>
                          <w:rFonts w:cstheme="minorHAnsi"/>
                          <w:b/>
                          <w:bCs/>
                          <w:szCs w:val="24"/>
                          <w:lang w:val="pl-PL"/>
                        </w:rPr>
                        <w:t>55,41%,</w:t>
                      </w:r>
                    </w:p>
                    <w:p w14:paraId="57DA50F2" w14:textId="3F10AE63" w:rsidR="00B14787" w:rsidRPr="00111213" w:rsidRDefault="00B14787" w:rsidP="00B063F0">
                      <w:pPr>
                        <w:pStyle w:val="Akapitzlist"/>
                        <w:numPr>
                          <w:ilvl w:val="0"/>
                          <w:numId w:val="46"/>
                        </w:numPr>
                        <w:spacing w:before="0" w:after="160" w:line="259" w:lineRule="auto"/>
                        <w:rPr>
                          <w:rFonts w:eastAsia="Times New Roman" w:cstheme="minorHAnsi"/>
                          <w:szCs w:val="24"/>
                          <w:lang w:val="pl-PL" w:eastAsia="pl-PL"/>
                        </w:rPr>
                      </w:pPr>
                      <w:r w:rsidRPr="00111213">
                        <w:rPr>
                          <w:rFonts w:cstheme="minorHAnsi"/>
                          <w:szCs w:val="24"/>
                          <w:lang w:val="pl-PL"/>
                        </w:rPr>
                        <w:t xml:space="preserve">Ofertę usług społecznych (zdrowotnych, opiekuńczych, edukacyjnych) – odpowiednio </w:t>
                      </w:r>
                      <w:r w:rsidRPr="00111213">
                        <w:rPr>
                          <w:rFonts w:cstheme="minorHAnsi"/>
                          <w:b/>
                          <w:bCs/>
                          <w:szCs w:val="24"/>
                          <w:lang w:val="pl-PL"/>
                        </w:rPr>
                        <w:t xml:space="preserve">62,06% </w:t>
                      </w:r>
                      <w:r w:rsidRPr="00111213">
                        <w:rPr>
                          <w:rFonts w:cstheme="minorHAnsi"/>
                          <w:szCs w:val="24"/>
                          <w:lang w:val="pl-PL"/>
                        </w:rPr>
                        <w:t xml:space="preserve">i </w:t>
                      </w:r>
                      <w:r w:rsidRPr="00111213">
                        <w:rPr>
                          <w:rFonts w:cstheme="minorHAnsi"/>
                          <w:b/>
                          <w:bCs/>
                          <w:szCs w:val="24"/>
                          <w:lang w:val="pl-PL"/>
                        </w:rPr>
                        <w:t>60,06%</w:t>
                      </w:r>
                    </w:p>
                    <w:p w14:paraId="6D603099" w14:textId="77777777" w:rsidR="00B14787" w:rsidRPr="00111213" w:rsidRDefault="00B14787" w:rsidP="00B063F0">
                      <w:pPr>
                        <w:pStyle w:val="Akapitzlist"/>
                        <w:numPr>
                          <w:ilvl w:val="0"/>
                          <w:numId w:val="46"/>
                        </w:numPr>
                        <w:spacing w:before="0" w:after="160" w:line="259" w:lineRule="auto"/>
                        <w:rPr>
                          <w:rFonts w:eastAsia="Times New Roman" w:cstheme="minorHAnsi"/>
                          <w:szCs w:val="24"/>
                          <w:lang w:val="pl-PL" w:eastAsia="pl-PL"/>
                        </w:rPr>
                      </w:pPr>
                      <w:r w:rsidRPr="00111213">
                        <w:rPr>
                          <w:rFonts w:cstheme="minorHAnsi"/>
                          <w:szCs w:val="24"/>
                          <w:lang w:val="pl-PL"/>
                        </w:rPr>
                        <w:t xml:space="preserve">Ofertę kulturalno-rozrywkową – odpowiednio </w:t>
                      </w:r>
                      <w:r w:rsidRPr="00111213">
                        <w:rPr>
                          <w:rFonts w:cstheme="minorHAnsi"/>
                          <w:b/>
                          <w:bCs/>
                          <w:szCs w:val="24"/>
                          <w:lang w:val="pl-PL"/>
                        </w:rPr>
                        <w:t>67,01%</w:t>
                      </w:r>
                      <w:r w:rsidRPr="00111213">
                        <w:rPr>
                          <w:rFonts w:cstheme="minorHAnsi"/>
                          <w:szCs w:val="24"/>
                          <w:lang w:val="pl-PL"/>
                        </w:rPr>
                        <w:t xml:space="preserve"> i </w:t>
                      </w:r>
                      <w:r w:rsidRPr="00111213">
                        <w:rPr>
                          <w:rFonts w:cstheme="minorHAnsi"/>
                          <w:b/>
                          <w:bCs/>
                          <w:szCs w:val="24"/>
                          <w:lang w:val="pl-PL"/>
                        </w:rPr>
                        <w:t>57,30%</w:t>
                      </w:r>
                    </w:p>
                    <w:p w14:paraId="1E3551E0" w14:textId="53FF38EB" w:rsidR="00B14787" w:rsidRPr="00111213" w:rsidRDefault="00B14787" w:rsidP="004D4C36">
                      <w:pPr>
                        <w:ind w:left="142"/>
                        <w:rPr>
                          <w:rFonts w:cstheme="minorHAnsi"/>
                          <w:szCs w:val="24"/>
                          <w:lang w:val="pl-PL"/>
                        </w:rPr>
                      </w:pPr>
                      <w:r w:rsidRPr="00111213">
                        <w:rPr>
                          <w:rFonts w:cstheme="minorHAnsi"/>
                          <w:szCs w:val="24"/>
                          <w:lang w:val="pl-PL"/>
                        </w:rPr>
                        <w:t>Ponadto mieszkańcy Południowych Mazur uznali, że deficytem obszaru są także: oferta</w:t>
                      </w:r>
                      <w:r>
                        <w:rPr>
                          <w:rFonts w:cstheme="minorHAnsi"/>
                          <w:szCs w:val="24"/>
                          <w:lang w:val="pl-PL"/>
                        </w:rPr>
                        <w:t xml:space="preserve"> </w:t>
                      </w:r>
                      <w:r w:rsidRPr="00111213">
                        <w:rPr>
                          <w:rFonts w:cstheme="minorHAnsi"/>
                          <w:szCs w:val="24"/>
                          <w:lang w:val="pl-PL"/>
                        </w:rPr>
                        <w:t xml:space="preserve">i infrastruktura sportowa i rekreacyjna </w:t>
                      </w:r>
                      <w:r w:rsidRPr="00111213">
                        <w:rPr>
                          <w:rFonts w:cstheme="minorHAnsi"/>
                          <w:b/>
                          <w:bCs/>
                          <w:szCs w:val="24"/>
                          <w:lang w:val="pl-PL"/>
                        </w:rPr>
                        <w:t xml:space="preserve">(53,06%), </w:t>
                      </w:r>
                      <w:r w:rsidRPr="00111213">
                        <w:rPr>
                          <w:rFonts w:eastAsia="Times New Roman" w:cstheme="minorHAnsi"/>
                          <w:szCs w:val="24"/>
                          <w:lang w:val="pl-PL" w:eastAsia="pl-PL"/>
                        </w:rPr>
                        <w:t xml:space="preserve">skomunikowanie </w:t>
                      </w:r>
                      <w:r>
                        <w:rPr>
                          <w:rFonts w:eastAsia="Times New Roman" w:cstheme="minorHAnsi"/>
                          <w:szCs w:val="24"/>
                          <w:lang w:val="pl-PL" w:eastAsia="pl-PL"/>
                        </w:rPr>
                        <w:br/>
                      </w:r>
                      <w:r w:rsidRPr="00111213">
                        <w:rPr>
                          <w:rFonts w:eastAsia="Times New Roman" w:cstheme="minorHAnsi"/>
                          <w:szCs w:val="24"/>
                          <w:lang w:val="pl-PL" w:eastAsia="pl-PL"/>
                        </w:rPr>
                        <w:t>z większymi miastami (</w:t>
                      </w:r>
                      <w:r w:rsidRPr="00111213">
                        <w:rPr>
                          <w:rFonts w:eastAsia="Times New Roman" w:cstheme="minorHAnsi"/>
                          <w:b/>
                          <w:bCs/>
                          <w:szCs w:val="24"/>
                          <w:lang w:val="pl-PL" w:eastAsia="pl-PL"/>
                        </w:rPr>
                        <w:t>54,37%)</w:t>
                      </w:r>
                      <w:r w:rsidRPr="00111213">
                        <w:rPr>
                          <w:rFonts w:eastAsia="Times New Roman" w:cstheme="minorHAnsi"/>
                          <w:szCs w:val="24"/>
                          <w:lang w:val="pl-PL" w:eastAsia="pl-PL"/>
                        </w:rPr>
                        <w:t xml:space="preserve"> oraz sąsiednimi miejscowościami </w:t>
                      </w:r>
                      <w:r w:rsidRPr="00111213">
                        <w:rPr>
                          <w:rFonts w:eastAsia="Times New Roman" w:cstheme="minorHAnsi"/>
                          <w:b/>
                          <w:bCs/>
                          <w:szCs w:val="24"/>
                          <w:lang w:val="pl-PL" w:eastAsia="pl-PL"/>
                        </w:rPr>
                        <w:t>(56,58%).</w:t>
                      </w:r>
                    </w:p>
                    <w:p w14:paraId="7E92AE40" w14:textId="77777777" w:rsidR="00B14787" w:rsidRPr="00733091" w:rsidRDefault="00B14787" w:rsidP="0004527E">
                      <w:pPr>
                        <w:rPr>
                          <w:lang w:val="pl-PL"/>
                        </w:rPr>
                      </w:pPr>
                    </w:p>
                    <w:p w14:paraId="5C33D013" w14:textId="77777777" w:rsidR="00B14787" w:rsidRPr="00733091" w:rsidRDefault="00B14787" w:rsidP="0004527E">
                      <w:pPr>
                        <w:rPr>
                          <w:lang w:val="pl-PL"/>
                        </w:rPr>
                      </w:pPr>
                    </w:p>
                    <w:p w14:paraId="4AC24870" w14:textId="77777777" w:rsidR="00B14787" w:rsidRPr="00733091" w:rsidRDefault="00B14787" w:rsidP="0004527E">
                      <w:pPr>
                        <w:rPr>
                          <w:lang w:val="pl-PL"/>
                        </w:rPr>
                      </w:pPr>
                    </w:p>
                    <w:p w14:paraId="1A61BADE" w14:textId="77777777" w:rsidR="00B14787" w:rsidRPr="00733091" w:rsidRDefault="00B14787" w:rsidP="0004527E">
                      <w:pPr>
                        <w:rPr>
                          <w:lang w:val="pl-PL"/>
                        </w:rPr>
                      </w:pPr>
                    </w:p>
                  </w:txbxContent>
                </v:textbox>
                <w10:wrap anchorx="margin"/>
              </v:shape>
            </w:pict>
          </mc:Fallback>
        </mc:AlternateContent>
      </w:r>
    </w:p>
    <w:p w14:paraId="6C72A0D5" w14:textId="77777777" w:rsidR="0004527E" w:rsidRPr="00733091" w:rsidRDefault="0004527E" w:rsidP="00733091">
      <w:pPr>
        <w:contextualSpacing/>
        <w:rPr>
          <w:color w:val="44546A" w:themeColor="text2"/>
          <w:sz w:val="18"/>
          <w:szCs w:val="18"/>
          <w:lang w:val="pl-PL"/>
        </w:rPr>
      </w:pPr>
    </w:p>
    <w:p w14:paraId="0490F974" w14:textId="77777777" w:rsidR="0004527E" w:rsidRPr="00733091" w:rsidRDefault="0004527E" w:rsidP="00733091">
      <w:pPr>
        <w:contextualSpacing/>
        <w:rPr>
          <w:color w:val="44546A" w:themeColor="text2"/>
          <w:sz w:val="18"/>
          <w:szCs w:val="18"/>
          <w:lang w:val="pl-PL"/>
        </w:rPr>
      </w:pPr>
    </w:p>
    <w:p w14:paraId="48BE842C" w14:textId="77777777" w:rsidR="0004527E" w:rsidRPr="00733091" w:rsidRDefault="0004527E" w:rsidP="00733091">
      <w:pPr>
        <w:contextualSpacing/>
        <w:rPr>
          <w:rFonts w:cstheme="minorHAnsi"/>
          <w:lang w:val="pl-PL"/>
        </w:rPr>
      </w:pPr>
    </w:p>
    <w:p w14:paraId="4FE16C31" w14:textId="77777777" w:rsidR="0004527E" w:rsidRPr="00733091" w:rsidRDefault="0004527E" w:rsidP="00733091">
      <w:pPr>
        <w:contextualSpacing/>
        <w:rPr>
          <w:rFonts w:cstheme="minorHAnsi"/>
          <w:lang w:val="pl-PL"/>
        </w:rPr>
      </w:pPr>
    </w:p>
    <w:p w14:paraId="16007656" w14:textId="77777777" w:rsidR="0004527E" w:rsidRDefault="0004527E" w:rsidP="00733091">
      <w:pPr>
        <w:contextualSpacing/>
        <w:rPr>
          <w:rFonts w:cstheme="minorHAnsi"/>
        </w:rPr>
      </w:pPr>
      <w:r>
        <w:rPr>
          <w:rFonts w:cstheme="minorHAnsi"/>
          <w:noProof/>
          <w:color w:val="001133"/>
          <w:shd w:val="clear" w:color="auto" w:fill="FFFFFF"/>
        </w:rPr>
        <w:drawing>
          <wp:inline distT="0" distB="0" distL="0" distR="0" wp14:anchorId="4B395B16" wp14:editId="726839EC">
            <wp:extent cx="365760" cy="365760"/>
            <wp:effectExtent l="0" t="0" r="0" b="0"/>
            <wp:docPr id="128" name="Grafika 128" descr="Lista kontrolna (od prawej do lew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a 14" descr="Lista kontrolna (od prawej do lewej)"/>
                    <pic:cNvPicPr/>
                  </pic:nvPicPr>
                  <pic:blipFill>
                    <a:blip r:embed="rId35" cstate="print">
                      <a:extLst>
                        <a:ext uri="{28A0092B-C50C-407E-A947-70E740481C1C}">
                          <a14:useLocalDpi xmlns:a14="http://schemas.microsoft.com/office/drawing/2010/main" val="0"/>
                        </a:ext>
                        <a:ext uri="{96DAC541-7B7A-43D3-8B79-37D633B846F1}">
                          <asvg:svgBlip xmlns:asvg="http://schemas.microsoft.com/office/drawing/2016/SVG/main" r:embed="rId36"/>
                        </a:ext>
                      </a:extLst>
                    </a:blip>
                    <a:stretch>
                      <a:fillRect/>
                    </a:stretch>
                  </pic:blipFill>
                  <pic:spPr>
                    <a:xfrm>
                      <a:off x="0" y="0"/>
                      <a:ext cx="365760" cy="365760"/>
                    </a:xfrm>
                    <a:prstGeom prst="rect">
                      <a:avLst/>
                    </a:prstGeom>
                  </pic:spPr>
                </pic:pic>
              </a:graphicData>
            </a:graphic>
          </wp:inline>
        </w:drawing>
      </w:r>
    </w:p>
    <w:p w14:paraId="2AC86F40" w14:textId="77777777" w:rsidR="0004527E" w:rsidRDefault="0004527E" w:rsidP="00733091">
      <w:pPr>
        <w:contextualSpacing/>
        <w:rPr>
          <w:rFonts w:cstheme="minorHAnsi"/>
        </w:rPr>
      </w:pPr>
    </w:p>
    <w:p w14:paraId="6660B1F4" w14:textId="77777777" w:rsidR="0004527E" w:rsidRDefault="0004527E" w:rsidP="00733091">
      <w:pPr>
        <w:contextualSpacing/>
        <w:rPr>
          <w:rFonts w:cstheme="minorHAnsi"/>
        </w:rPr>
      </w:pPr>
    </w:p>
    <w:p w14:paraId="2697D753" w14:textId="77777777" w:rsidR="0004527E" w:rsidRDefault="0004527E" w:rsidP="00733091">
      <w:pPr>
        <w:contextualSpacing/>
        <w:rPr>
          <w:rFonts w:cstheme="minorHAnsi"/>
        </w:rPr>
      </w:pPr>
    </w:p>
    <w:p w14:paraId="2A2C6465" w14:textId="77777777" w:rsidR="0004527E" w:rsidRDefault="0004527E" w:rsidP="00733091">
      <w:pPr>
        <w:contextualSpacing/>
        <w:rPr>
          <w:rFonts w:cstheme="minorHAnsi"/>
        </w:rPr>
      </w:pPr>
    </w:p>
    <w:p w14:paraId="041436FC" w14:textId="77777777" w:rsidR="0004527E" w:rsidRDefault="0004527E" w:rsidP="00733091"/>
    <w:p w14:paraId="168E0F2E" w14:textId="77777777" w:rsidR="0004527E" w:rsidRDefault="0004527E" w:rsidP="00733091"/>
    <w:p w14:paraId="62E922F0" w14:textId="77777777" w:rsidR="0004527E" w:rsidRDefault="0004527E" w:rsidP="00733091">
      <w:pPr>
        <w:contextualSpacing/>
      </w:pPr>
    </w:p>
    <w:p w14:paraId="39D87485" w14:textId="77777777" w:rsidR="00111213" w:rsidRDefault="00111213" w:rsidP="00111213">
      <w:pPr>
        <w:ind w:left="0"/>
        <w:rPr>
          <w:lang w:val="pl-PL"/>
        </w:rPr>
      </w:pPr>
    </w:p>
    <w:p w14:paraId="7659F326" w14:textId="77777777" w:rsidR="007477A4" w:rsidRDefault="007477A4" w:rsidP="002F4191">
      <w:pPr>
        <w:ind w:left="0"/>
        <w:rPr>
          <w:lang w:val="pl-PL"/>
        </w:rPr>
      </w:pPr>
    </w:p>
    <w:p w14:paraId="24EE391D" w14:textId="2B83B23F" w:rsidR="0004527E" w:rsidRPr="00733091" w:rsidRDefault="0004527E" w:rsidP="00733091">
      <w:pPr>
        <w:rPr>
          <w:lang w:val="pl-PL"/>
        </w:rPr>
      </w:pPr>
      <w:r w:rsidRPr="00733091">
        <w:rPr>
          <w:lang w:val="pl-PL"/>
        </w:rPr>
        <w:t>Bariery zewnętrzne (czynniki otoczenia: polityczne, ekonomiczne, społeczno-kulturowe i technologiczne) o oddziaływaniu negatywnym zidentyfikowano przy wykorzystaniu analizy PEST.</w:t>
      </w:r>
    </w:p>
    <w:p w14:paraId="6211E4E6" w14:textId="1A591E73" w:rsidR="0004527E" w:rsidRDefault="0004527E" w:rsidP="00733091">
      <w:pPr>
        <w:rPr>
          <w:lang w:val="pl-PL"/>
        </w:rPr>
      </w:pPr>
      <w:r w:rsidRPr="00733091">
        <w:rPr>
          <w:lang w:val="pl-PL"/>
        </w:rPr>
        <w:t>Opis czynników negatywnych zewnętrznych (tj. zagrożeń) Partnerstwa Południowe Mazury prezentuje tabela poniżej.</w:t>
      </w:r>
    </w:p>
    <w:p w14:paraId="638743D0" w14:textId="0B2E0D42" w:rsidR="0004527E" w:rsidRPr="00733091" w:rsidRDefault="0004527E" w:rsidP="002E24A9">
      <w:pPr>
        <w:pStyle w:val="Legenda"/>
        <w:rPr>
          <w:lang w:val="pl-PL"/>
        </w:rPr>
      </w:pPr>
      <w:bookmarkStart w:id="173" w:name="_Toc69723282"/>
      <w:r w:rsidRPr="00733091">
        <w:rPr>
          <w:lang w:val="pl-PL"/>
        </w:rPr>
        <w:lastRenderedPageBreak/>
        <w:t xml:space="preserve">Tabela </w:t>
      </w:r>
      <w:r w:rsidR="00733091">
        <w:fldChar w:fldCharType="begin"/>
      </w:r>
      <w:r w:rsidR="00733091" w:rsidRPr="00733091">
        <w:rPr>
          <w:lang w:val="pl-PL"/>
        </w:rPr>
        <w:instrText xml:space="preserve"> SEQ Tabela \* ARABIC </w:instrText>
      </w:r>
      <w:r w:rsidR="00733091">
        <w:fldChar w:fldCharType="separate"/>
      </w:r>
      <w:r w:rsidR="00B14787">
        <w:rPr>
          <w:noProof/>
          <w:lang w:val="pl-PL"/>
        </w:rPr>
        <w:t>33</w:t>
      </w:r>
      <w:r w:rsidR="00733091">
        <w:rPr>
          <w:noProof/>
        </w:rPr>
        <w:fldChar w:fldCharType="end"/>
      </w:r>
      <w:bookmarkStart w:id="174" w:name="_Hlk65864561"/>
      <w:r w:rsidRPr="00733091">
        <w:rPr>
          <w:lang w:val="pl-PL"/>
        </w:rPr>
        <w:t>: Zewnętrzne czynniki rozwojowe o oddziaływaniu negatywnym</w:t>
      </w:r>
      <w:bookmarkEnd w:id="173"/>
    </w:p>
    <w:tbl>
      <w:tblPr>
        <w:tblStyle w:val="CWD"/>
        <w:tblW w:w="5000" w:type="pct"/>
        <w:tblLook w:val="04A0" w:firstRow="1" w:lastRow="0" w:firstColumn="1" w:lastColumn="0" w:noHBand="0" w:noVBand="1"/>
      </w:tblPr>
      <w:tblGrid>
        <w:gridCol w:w="1749"/>
        <w:gridCol w:w="7171"/>
      </w:tblGrid>
      <w:tr w:rsidR="0004527E" w14:paraId="264E10E6" w14:textId="77777777" w:rsidTr="00C01FF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574170DB" w14:textId="77777777" w:rsidR="0004527E" w:rsidRPr="00203965" w:rsidRDefault="0004527E" w:rsidP="006920D1">
            <w:pPr>
              <w:pStyle w:val="elementgraficznytabela"/>
              <w:spacing w:after="240"/>
              <w:contextualSpacing/>
            </w:pPr>
            <w:r>
              <w:t>Czynnik zewnętrzny</w:t>
            </w:r>
          </w:p>
        </w:tc>
        <w:tc>
          <w:tcPr>
            <w:tcW w:w="7654" w:type="dxa"/>
          </w:tcPr>
          <w:p w14:paraId="049369CA" w14:textId="77777777" w:rsidR="0004527E" w:rsidRPr="00203965" w:rsidRDefault="0004527E" w:rsidP="006920D1">
            <w:pPr>
              <w:pStyle w:val="elementgraficznytabela"/>
              <w:spacing w:after="240"/>
              <w:contextualSpacing/>
              <w:cnfStyle w:val="100000000000" w:firstRow="1" w:lastRow="0" w:firstColumn="0" w:lastColumn="0" w:oddVBand="0" w:evenVBand="0" w:oddHBand="0" w:evenHBand="0" w:firstRowFirstColumn="0" w:firstRowLastColumn="0" w:lastRowFirstColumn="0" w:lastRowLastColumn="0"/>
            </w:pPr>
            <w:r>
              <w:t>Zidentyfikowane zagrożenia</w:t>
            </w:r>
          </w:p>
        </w:tc>
      </w:tr>
      <w:tr w:rsidR="0004527E" w:rsidRPr="00176303" w14:paraId="7D11E0C2" w14:textId="77777777" w:rsidTr="00C01FFB">
        <w:tc>
          <w:tcPr>
            <w:cnfStyle w:val="001000000000" w:firstRow="0" w:lastRow="0" w:firstColumn="1" w:lastColumn="0" w:oddVBand="0" w:evenVBand="0" w:oddHBand="0" w:evenHBand="0" w:firstRowFirstColumn="0" w:firstRowLastColumn="0" w:lastRowFirstColumn="0" w:lastRowLastColumn="0"/>
            <w:tcW w:w="1413" w:type="dxa"/>
          </w:tcPr>
          <w:p w14:paraId="1BEB08F8" w14:textId="77777777" w:rsidR="0004527E" w:rsidRPr="00D11944" w:rsidRDefault="0004527E" w:rsidP="006920D1">
            <w:pPr>
              <w:pStyle w:val="elementgraficznytabela"/>
              <w:spacing w:after="240"/>
              <w:contextualSpacing/>
            </w:pPr>
            <w:r w:rsidRPr="00D11944">
              <w:t>Polityczne</w:t>
            </w:r>
          </w:p>
        </w:tc>
        <w:tc>
          <w:tcPr>
            <w:tcW w:w="7654" w:type="dxa"/>
          </w:tcPr>
          <w:p w14:paraId="22C3DB87" w14:textId="77777777" w:rsidR="0004527E" w:rsidRPr="00BD2C20" w:rsidRDefault="0004527E" w:rsidP="00B063F0">
            <w:pPr>
              <w:pStyle w:val="elementgraficznytabela"/>
              <w:numPr>
                <w:ilvl w:val="0"/>
                <w:numId w:val="51"/>
              </w:numPr>
              <w:spacing w:after="240"/>
              <w:ind w:left="714" w:hanging="357"/>
              <w:contextualSpacing/>
              <w:cnfStyle w:val="000000000000" w:firstRow="0" w:lastRow="0" w:firstColumn="0" w:lastColumn="0" w:oddVBand="0" w:evenVBand="0" w:oddHBand="0" w:evenHBand="0" w:firstRowFirstColumn="0" w:firstRowLastColumn="0" w:lastRowFirstColumn="0" w:lastRowLastColumn="0"/>
            </w:pPr>
            <w:r>
              <w:t>Decyzje „centralne” dotyczące priorytetów rozwoju infrastruktury np. drogowej oraz medycznej</w:t>
            </w:r>
          </w:p>
          <w:p w14:paraId="4EC97DD1" w14:textId="77777777" w:rsidR="0004527E" w:rsidRPr="00060B32" w:rsidRDefault="0004527E" w:rsidP="00B063F0">
            <w:pPr>
              <w:pStyle w:val="elementgraficznytabela"/>
              <w:numPr>
                <w:ilvl w:val="0"/>
                <w:numId w:val="51"/>
              </w:numPr>
              <w:spacing w:after="240"/>
              <w:ind w:left="714" w:hanging="357"/>
              <w:contextualSpacing/>
              <w:cnfStyle w:val="000000000000" w:firstRow="0" w:lastRow="0" w:firstColumn="0" w:lastColumn="0" w:oddVBand="0" w:evenVBand="0" w:oddHBand="0" w:evenHBand="0" w:firstRowFirstColumn="0" w:firstRowLastColumn="0" w:lastRowFirstColumn="0" w:lastRowLastColumn="0"/>
            </w:pPr>
            <w:r w:rsidRPr="00060B32">
              <w:t>Ograniczenia prawne</w:t>
            </w:r>
            <w:r>
              <w:t xml:space="preserve"> krajowe </w:t>
            </w:r>
            <w:r w:rsidRPr="00060B32">
              <w:t>– inwestycyjne wynikające z przepisów ochrony środowiska</w:t>
            </w:r>
          </w:p>
          <w:p w14:paraId="22ECA879" w14:textId="77777777" w:rsidR="0004527E" w:rsidRPr="00D11944" w:rsidRDefault="0004527E" w:rsidP="00B063F0">
            <w:pPr>
              <w:pStyle w:val="elementgraficznytabela"/>
              <w:numPr>
                <w:ilvl w:val="0"/>
                <w:numId w:val="51"/>
              </w:numPr>
              <w:spacing w:after="240"/>
              <w:ind w:left="714" w:hanging="357"/>
              <w:contextualSpacing/>
              <w:cnfStyle w:val="000000000000" w:firstRow="0" w:lastRow="0" w:firstColumn="0" w:lastColumn="0" w:oddVBand="0" w:evenVBand="0" w:oddHBand="0" w:evenHBand="0" w:firstRowFirstColumn="0" w:firstRowLastColumn="0" w:lastRowFirstColumn="0" w:lastRowLastColumn="0"/>
              <w:rPr>
                <w:rFonts w:eastAsia="Times New Roman"/>
                <w:color w:val="001133"/>
                <w:lang w:eastAsia="pl-PL"/>
              </w:rPr>
            </w:pPr>
            <w:r w:rsidRPr="00060B32">
              <w:rPr>
                <w:rFonts w:eastAsia="Times New Roman"/>
                <w:color w:val="001133"/>
                <w:lang w:eastAsia="pl-PL"/>
              </w:rPr>
              <w:t>Zasady kontraktowania świadczeń opieki zdrowotnej przez NFZ</w:t>
            </w:r>
          </w:p>
          <w:p w14:paraId="6C07F2DC" w14:textId="77777777" w:rsidR="0004527E" w:rsidRPr="007A6FAB" w:rsidRDefault="0004527E" w:rsidP="00B063F0">
            <w:pPr>
              <w:pStyle w:val="elementgraficznytabela"/>
              <w:numPr>
                <w:ilvl w:val="0"/>
                <w:numId w:val="51"/>
              </w:numPr>
              <w:spacing w:after="240"/>
              <w:ind w:left="714" w:hanging="357"/>
              <w:contextualSpacing/>
              <w:cnfStyle w:val="000000000000" w:firstRow="0" w:lastRow="0" w:firstColumn="0" w:lastColumn="0" w:oddVBand="0" w:evenVBand="0" w:oddHBand="0" w:evenHBand="0" w:firstRowFirstColumn="0" w:firstRowLastColumn="0" w:lastRowFirstColumn="0" w:lastRowLastColumn="0"/>
            </w:pPr>
            <w:r w:rsidRPr="00060B32">
              <w:rPr>
                <w:color w:val="001133"/>
                <w:shd w:val="clear" w:color="auto" w:fill="FCFCFC"/>
              </w:rPr>
              <w:t>Nieodpowiadający potrzebom poziom nakładów na naukę (subwencja oświatowa nierównoważąca wydatków</w:t>
            </w:r>
          </w:p>
          <w:p w14:paraId="09F7A8C2" w14:textId="1D2FCF6B" w:rsidR="0004527E" w:rsidRPr="007A6FAB" w:rsidRDefault="0004527E" w:rsidP="00B063F0">
            <w:pPr>
              <w:pStyle w:val="elementgraficznytabela"/>
              <w:numPr>
                <w:ilvl w:val="0"/>
                <w:numId w:val="51"/>
              </w:numPr>
              <w:spacing w:after="240"/>
              <w:ind w:left="714" w:hanging="357"/>
              <w:contextualSpacing/>
              <w:cnfStyle w:val="000000000000" w:firstRow="0" w:lastRow="0" w:firstColumn="0" w:lastColumn="0" w:oddVBand="0" w:evenVBand="0" w:oddHBand="0" w:evenHBand="0" w:firstRowFirstColumn="0" w:firstRowLastColumn="0" w:lastRowFirstColumn="0" w:lastRowLastColumn="0"/>
            </w:pPr>
            <w:r w:rsidRPr="00060B32">
              <w:t>Zmiany władzy wykonawczej lub uchwałodawczej w JST</w:t>
            </w:r>
          </w:p>
        </w:tc>
      </w:tr>
      <w:tr w:rsidR="0004527E" w:rsidRPr="00176303" w14:paraId="6C343268" w14:textId="77777777" w:rsidTr="00C01FFB">
        <w:tc>
          <w:tcPr>
            <w:cnfStyle w:val="001000000000" w:firstRow="0" w:lastRow="0" w:firstColumn="1" w:lastColumn="0" w:oddVBand="0" w:evenVBand="0" w:oddHBand="0" w:evenHBand="0" w:firstRowFirstColumn="0" w:firstRowLastColumn="0" w:lastRowFirstColumn="0" w:lastRowLastColumn="0"/>
            <w:tcW w:w="1413" w:type="dxa"/>
          </w:tcPr>
          <w:p w14:paraId="31E85ADA" w14:textId="77777777" w:rsidR="0004527E" w:rsidRPr="00D11944" w:rsidRDefault="0004527E" w:rsidP="006920D1">
            <w:pPr>
              <w:pStyle w:val="elementgraficznytabela"/>
              <w:spacing w:after="240"/>
              <w:contextualSpacing/>
            </w:pPr>
            <w:r w:rsidRPr="00D11944">
              <w:t>Ekonomiczne</w:t>
            </w:r>
          </w:p>
        </w:tc>
        <w:tc>
          <w:tcPr>
            <w:tcW w:w="7654" w:type="dxa"/>
          </w:tcPr>
          <w:p w14:paraId="1C5E6422" w14:textId="41C83B86" w:rsidR="0004527E" w:rsidRPr="00060B32" w:rsidRDefault="0004527E" w:rsidP="00B063F0">
            <w:pPr>
              <w:pStyle w:val="elementgraficznytabela"/>
              <w:numPr>
                <w:ilvl w:val="0"/>
                <w:numId w:val="52"/>
              </w:numPr>
              <w:spacing w:after="240"/>
              <w:ind w:left="714" w:hanging="357"/>
              <w:contextualSpacing/>
              <w:cnfStyle w:val="000000000000" w:firstRow="0" w:lastRow="0" w:firstColumn="0" w:lastColumn="0" w:oddVBand="0" w:evenVBand="0" w:oddHBand="0" w:evenHBand="0" w:firstRowFirstColumn="0" w:firstRowLastColumn="0" w:lastRowFirstColumn="0" w:lastRowLastColumn="0"/>
              <w:rPr>
                <w:color w:val="4472C4" w:themeColor="accent1"/>
              </w:rPr>
            </w:pPr>
            <w:r w:rsidRPr="00BD2C20">
              <w:t>Jakość i „przepustowość” systemu drogowego, łączącego ośrodki miejsko-powiatowe partnerstwa z drogami wojewódzkimi i krajowymi/międzynarodowymi</w:t>
            </w:r>
          </w:p>
        </w:tc>
      </w:tr>
      <w:tr w:rsidR="0004527E" w:rsidRPr="00176303" w14:paraId="7C8E0E37" w14:textId="77777777" w:rsidTr="00C01FFB">
        <w:tc>
          <w:tcPr>
            <w:cnfStyle w:val="001000000000" w:firstRow="0" w:lastRow="0" w:firstColumn="1" w:lastColumn="0" w:oddVBand="0" w:evenVBand="0" w:oddHBand="0" w:evenHBand="0" w:firstRowFirstColumn="0" w:firstRowLastColumn="0" w:lastRowFirstColumn="0" w:lastRowLastColumn="0"/>
            <w:tcW w:w="1413" w:type="dxa"/>
          </w:tcPr>
          <w:p w14:paraId="297EB99E" w14:textId="77777777" w:rsidR="0004527E" w:rsidRPr="00D11944" w:rsidRDefault="0004527E" w:rsidP="006920D1">
            <w:pPr>
              <w:pStyle w:val="elementgraficznytabela"/>
              <w:spacing w:after="240"/>
              <w:contextualSpacing/>
            </w:pPr>
            <w:r w:rsidRPr="00D11944">
              <w:t>Społeczno-kulturowe</w:t>
            </w:r>
          </w:p>
        </w:tc>
        <w:tc>
          <w:tcPr>
            <w:tcW w:w="7654" w:type="dxa"/>
          </w:tcPr>
          <w:p w14:paraId="09BEECC6" w14:textId="23F68615" w:rsidR="0004527E" w:rsidRPr="00DB1A58" w:rsidRDefault="0004527E" w:rsidP="00B063F0">
            <w:pPr>
              <w:pStyle w:val="elementgraficznytabela"/>
              <w:numPr>
                <w:ilvl w:val="0"/>
                <w:numId w:val="52"/>
              </w:numPr>
              <w:spacing w:after="240"/>
              <w:ind w:left="714" w:hanging="357"/>
              <w:contextualSpacing/>
              <w:cnfStyle w:val="000000000000" w:firstRow="0" w:lastRow="0" w:firstColumn="0" w:lastColumn="0" w:oddVBand="0" w:evenVBand="0" w:oddHBand="0" w:evenHBand="0" w:firstRowFirstColumn="0" w:firstRowLastColumn="0" w:lastRowFirstColumn="0" w:lastRowLastColumn="0"/>
            </w:pPr>
            <w:r>
              <w:t>Marginalizacja społeczna regionu południowych Mazur spowodowana peryferyjnym położeniem w regionie</w:t>
            </w:r>
          </w:p>
        </w:tc>
      </w:tr>
      <w:tr w:rsidR="0004527E" w:rsidRPr="00176303" w14:paraId="7CA3A0C2" w14:textId="77777777" w:rsidTr="00C01FFB">
        <w:tc>
          <w:tcPr>
            <w:cnfStyle w:val="001000000000" w:firstRow="0" w:lastRow="0" w:firstColumn="1" w:lastColumn="0" w:oddVBand="0" w:evenVBand="0" w:oddHBand="0" w:evenHBand="0" w:firstRowFirstColumn="0" w:firstRowLastColumn="0" w:lastRowFirstColumn="0" w:lastRowLastColumn="0"/>
            <w:tcW w:w="1413" w:type="dxa"/>
          </w:tcPr>
          <w:p w14:paraId="70C44D36" w14:textId="77777777" w:rsidR="0004527E" w:rsidRPr="00D11944" w:rsidRDefault="0004527E" w:rsidP="006920D1">
            <w:pPr>
              <w:pStyle w:val="elementgraficznytabela"/>
              <w:spacing w:after="240"/>
              <w:contextualSpacing/>
            </w:pPr>
            <w:r w:rsidRPr="00D11944">
              <w:t>Technologiczne</w:t>
            </w:r>
          </w:p>
        </w:tc>
        <w:tc>
          <w:tcPr>
            <w:tcW w:w="7654" w:type="dxa"/>
          </w:tcPr>
          <w:p w14:paraId="35D30CED" w14:textId="482200EF" w:rsidR="0004527E" w:rsidRPr="0064790D" w:rsidRDefault="0004527E" w:rsidP="00B063F0">
            <w:pPr>
              <w:pStyle w:val="elementgraficznytabela"/>
              <w:numPr>
                <w:ilvl w:val="0"/>
                <w:numId w:val="52"/>
              </w:numPr>
              <w:spacing w:after="240"/>
              <w:ind w:left="714" w:hanging="357"/>
              <w:contextualSpacing/>
              <w:cnfStyle w:val="000000000000" w:firstRow="0" w:lastRow="0" w:firstColumn="0" w:lastColumn="0" w:oddVBand="0" w:evenVBand="0" w:oddHBand="0" w:evenHBand="0" w:firstRowFirstColumn="0" w:firstRowLastColumn="0" w:lastRowFirstColumn="0" w:lastRowLastColumn="0"/>
            </w:pPr>
            <w:r>
              <w:t>P</w:t>
            </w:r>
            <w:r w:rsidRPr="005A3859">
              <w:t>olityki operatorów sieci komórkowych</w:t>
            </w:r>
            <w:r>
              <w:t xml:space="preserve"> w zakresie zapewnienia dostępu do internet</w:t>
            </w:r>
            <w:r w:rsidR="00111213">
              <w:t>u</w:t>
            </w:r>
          </w:p>
        </w:tc>
      </w:tr>
    </w:tbl>
    <w:p w14:paraId="72A81A15" w14:textId="4AC8A3E6" w:rsidR="00111213" w:rsidRPr="00111213" w:rsidRDefault="0004527E" w:rsidP="00130CC9">
      <w:pPr>
        <w:pStyle w:val="podpiselementu"/>
        <w:spacing w:after="240"/>
        <w:rPr>
          <w:lang w:val="pl-PL"/>
        </w:rPr>
      </w:pPr>
      <w:r w:rsidRPr="00733091">
        <w:rPr>
          <w:lang w:val="pl-PL"/>
        </w:rPr>
        <w:t>Źródło: opracowanie własne w oparciu o wywiady pogłębione z przedstawicielami JST wchodzącymi w skład Partnerstwa</w:t>
      </w:r>
    </w:p>
    <w:p w14:paraId="56E762B2" w14:textId="75845C8A" w:rsidR="00E035C6" w:rsidRPr="005B7F8E" w:rsidRDefault="005B7F8E" w:rsidP="00733091">
      <w:pPr>
        <w:pStyle w:val="Nagwek2"/>
        <w:spacing w:before="120"/>
        <w:rPr>
          <w:lang w:val="pl-PL"/>
        </w:rPr>
      </w:pPr>
      <w:bookmarkStart w:id="175" w:name="_Toc69725456"/>
      <w:bookmarkEnd w:id="174"/>
      <w:r w:rsidRPr="005B7F8E">
        <w:rPr>
          <w:lang w:val="pl-PL"/>
        </w:rPr>
        <w:t>Problemy i w</w:t>
      </w:r>
      <w:r w:rsidR="003817EB" w:rsidRPr="005B7F8E">
        <w:rPr>
          <w:lang w:val="pl-PL"/>
        </w:rPr>
        <w:t>yzwania rozwojowe Partnerstwa</w:t>
      </w:r>
      <w:bookmarkEnd w:id="175"/>
    </w:p>
    <w:p w14:paraId="73B1DB1F" w14:textId="1A53C642" w:rsidR="005B7F8E" w:rsidRPr="00970E36" w:rsidRDefault="00761CB0" w:rsidP="005B7F8E">
      <w:pPr>
        <w:rPr>
          <w:b/>
          <w:bCs/>
          <w:lang w:val="pl-PL"/>
        </w:rPr>
      </w:pPr>
      <w:r w:rsidRPr="00733091">
        <w:rPr>
          <w:lang w:val="pl-PL"/>
        </w:rPr>
        <w:t xml:space="preserve">Diagnoza pogłębiona obszaru Partnerstwa pozwoliła na zidentyfikowanie </w:t>
      </w:r>
      <w:r w:rsidRPr="002F4191">
        <w:rPr>
          <w:b/>
          <w:bCs/>
          <w:lang w:val="pl-PL"/>
        </w:rPr>
        <w:t>kluczowych problemów</w:t>
      </w:r>
      <w:r w:rsidR="005B7F8E">
        <w:rPr>
          <w:b/>
          <w:bCs/>
          <w:lang w:val="pl-PL"/>
        </w:rPr>
        <w:t xml:space="preserve"> Partnerstwa</w:t>
      </w:r>
      <w:r w:rsidRPr="00733091">
        <w:rPr>
          <w:lang w:val="pl-PL"/>
        </w:rPr>
        <w:t>.</w:t>
      </w:r>
      <w:r w:rsidR="003E270F">
        <w:rPr>
          <w:lang w:val="pl-PL"/>
        </w:rPr>
        <w:t xml:space="preserve"> </w:t>
      </w:r>
      <w:r w:rsidR="005B7F8E">
        <w:rPr>
          <w:lang w:val="pl-PL"/>
        </w:rPr>
        <w:t xml:space="preserve">Problemy te </w:t>
      </w:r>
      <w:r w:rsidR="00904B39">
        <w:rPr>
          <w:lang w:val="pl-PL"/>
        </w:rPr>
        <w:t xml:space="preserve">tworzą </w:t>
      </w:r>
      <w:r w:rsidR="00904B39" w:rsidRPr="00970E36">
        <w:rPr>
          <w:b/>
          <w:bCs/>
          <w:lang w:val="pl-PL"/>
        </w:rPr>
        <w:t>siatkę wzajemnych powiązań przyczynowo-skutkowych i sprężeń zwrotnych o skutkach negatywnych.</w:t>
      </w:r>
    </w:p>
    <w:p w14:paraId="24A9588E" w14:textId="6998A1B9" w:rsidR="00904B39" w:rsidRDefault="005B7F8E" w:rsidP="005B7F8E">
      <w:pPr>
        <w:rPr>
          <w:lang w:val="pl-PL"/>
        </w:rPr>
      </w:pPr>
      <w:r>
        <w:rPr>
          <w:lang w:val="pl-PL"/>
        </w:rPr>
        <w:t xml:space="preserve">Oznacza to, że </w:t>
      </w:r>
      <w:r w:rsidR="001C2035">
        <w:rPr>
          <w:lang w:val="pl-PL"/>
        </w:rPr>
        <w:t>konkretne</w:t>
      </w:r>
      <w:r>
        <w:rPr>
          <w:lang w:val="pl-PL"/>
        </w:rPr>
        <w:t xml:space="preserve"> problemy mogą </w:t>
      </w:r>
      <w:r w:rsidR="001C2035">
        <w:rPr>
          <w:lang w:val="pl-PL"/>
        </w:rPr>
        <w:t xml:space="preserve">występować równocześnie jako </w:t>
      </w:r>
      <w:r>
        <w:rPr>
          <w:lang w:val="pl-PL"/>
        </w:rPr>
        <w:t>przyczyn</w:t>
      </w:r>
      <w:r w:rsidR="001C2035">
        <w:rPr>
          <w:lang w:val="pl-PL"/>
        </w:rPr>
        <w:t>a</w:t>
      </w:r>
      <w:r w:rsidR="00904B39">
        <w:rPr>
          <w:lang w:val="pl-PL"/>
        </w:rPr>
        <w:t xml:space="preserve"> </w:t>
      </w:r>
      <w:r w:rsidR="001C2035">
        <w:rPr>
          <w:lang w:val="pl-PL"/>
        </w:rPr>
        <w:t xml:space="preserve">jednych </w:t>
      </w:r>
      <w:r w:rsidR="00904B39">
        <w:rPr>
          <w:lang w:val="pl-PL"/>
        </w:rPr>
        <w:t>problemów</w:t>
      </w:r>
      <w:r>
        <w:rPr>
          <w:lang w:val="pl-PL"/>
        </w:rPr>
        <w:t xml:space="preserve">, jak </w:t>
      </w:r>
      <w:r w:rsidR="001C2035">
        <w:rPr>
          <w:lang w:val="pl-PL"/>
        </w:rPr>
        <w:t xml:space="preserve">i skutek innych problemów, wzajemnie na siebie oddziałujących. </w:t>
      </w:r>
    </w:p>
    <w:p w14:paraId="76B4B568" w14:textId="2D26305F" w:rsidR="001C2035" w:rsidRPr="00970E36" w:rsidRDefault="001C2035" w:rsidP="001C2035">
      <w:pPr>
        <w:rPr>
          <w:lang w:val="pl-PL"/>
        </w:rPr>
      </w:pPr>
      <w:r>
        <w:rPr>
          <w:lang w:val="pl-PL"/>
        </w:rPr>
        <w:t xml:space="preserve">Dlatego kluczowym dla rozwiązania problemów jest podejmowanie </w:t>
      </w:r>
      <w:r w:rsidR="00970E36">
        <w:rPr>
          <w:lang w:val="pl-PL"/>
        </w:rPr>
        <w:t xml:space="preserve">przez Partnerstwo </w:t>
      </w:r>
      <w:r>
        <w:rPr>
          <w:lang w:val="pl-PL"/>
        </w:rPr>
        <w:t xml:space="preserve">zintegrowanych działań zmierzających do </w:t>
      </w:r>
      <w:r w:rsidRPr="00733091">
        <w:rPr>
          <w:lang w:val="pl-PL"/>
        </w:rPr>
        <w:t>zniwelowa</w:t>
      </w:r>
      <w:r>
        <w:rPr>
          <w:lang w:val="pl-PL"/>
        </w:rPr>
        <w:t>ni</w:t>
      </w:r>
      <w:r w:rsidR="00970E36">
        <w:rPr>
          <w:lang w:val="pl-PL"/>
        </w:rPr>
        <w:t>a</w:t>
      </w:r>
      <w:r w:rsidRPr="00733091">
        <w:rPr>
          <w:lang w:val="pl-PL"/>
        </w:rPr>
        <w:t xml:space="preserve"> lub </w:t>
      </w:r>
      <w:r>
        <w:rPr>
          <w:lang w:val="pl-PL"/>
        </w:rPr>
        <w:t xml:space="preserve">znacznego </w:t>
      </w:r>
      <w:r w:rsidRPr="00733091">
        <w:rPr>
          <w:lang w:val="pl-PL"/>
        </w:rPr>
        <w:t>ogranicz</w:t>
      </w:r>
      <w:r>
        <w:rPr>
          <w:lang w:val="pl-PL"/>
        </w:rPr>
        <w:t>enia</w:t>
      </w:r>
      <w:r w:rsidRPr="00733091">
        <w:rPr>
          <w:lang w:val="pl-PL"/>
        </w:rPr>
        <w:t xml:space="preserve"> skutk</w:t>
      </w:r>
      <w:r>
        <w:rPr>
          <w:lang w:val="pl-PL"/>
        </w:rPr>
        <w:t>ów</w:t>
      </w:r>
      <w:r w:rsidRPr="00733091">
        <w:rPr>
          <w:lang w:val="pl-PL"/>
        </w:rPr>
        <w:t xml:space="preserve"> problemów</w:t>
      </w:r>
      <w:r>
        <w:rPr>
          <w:lang w:val="pl-PL"/>
        </w:rPr>
        <w:t xml:space="preserve">. Działania te stanowią </w:t>
      </w:r>
      <w:r w:rsidRPr="001C2035">
        <w:rPr>
          <w:b/>
          <w:bCs/>
          <w:lang w:val="pl-PL"/>
        </w:rPr>
        <w:t>wyzwania rozwojowe Partnerstwa</w:t>
      </w:r>
      <w:r w:rsidR="00970E36">
        <w:rPr>
          <w:b/>
          <w:bCs/>
          <w:lang w:val="pl-PL"/>
        </w:rPr>
        <w:t xml:space="preserve">, </w:t>
      </w:r>
      <w:r w:rsidR="00970E36">
        <w:rPr>
          <w:lang w:val="pl-PL"/>
        </w:rPr>
        <w:t xml:space="preserve">a ich podjęcie powinno skutkować ograniczeniem liczby </w:t>
      </w:r>
      <w:r w:rsidR="00970E36">
        <w:rPr>
          <w:lang w:val="pl-PL"/>
        </w:rPr>
        <w:lastRenderedPageBreak/>
        <w:t>lub intensywności</w:t>
      </w:r>
      <w:r w:rsidR="00970E36" w:rsidRPr="00970E36">
        <w:rPr>
          <w:lang w:val="pl-PL"/>
        </w:rPr>
        <w:t xml:space="preserve"> negatywnych</w:t>
      </w:r>
      <w:r w:rsidR="00970E36">
        <w:rPr>
          <w:lang w:val="pl-PL"/>
        </w:rPr>
        <w:t>, wewnętrznych</w:t>
      </w:r>
      <w:r w:rsidR="00970E36" w:rsidRPr="00970E36">
        <w:rPr>
          <w:lang w:val="pl-PL"/>
        </w:rPr>
        <w:t xml:space="preserve"> czynników rozwojowych Partnerstwa </w:t>
      </w:r>
      <w:r w:rsidR="00970E36">
        <w:rPr>
          <w:lang w:val="pl-PL"/>
        </w:rPr>
        <w:t>wskazanych w tabeli 32 w Rozdziale 3.2. niniejszej diagnozy.</w:t>
      </w:r>
      <w:r w:rsidR="00970E36" w:rsidRPr="00970E36">
        <w:rPr>
          <w:lang w:val="pl-PL"/>
        </w:rPr>
        <w:t xml:space="preserve"> </w:t>
      </w:r>
    </w:p>
    <w:p w14:paraId="43B8B31C" w14:textId="4FFB4C8E" w:rsidR="00ED67FA" w:rsidRDefault="001C2035" w:rsidP="001C2035">
      <w:pPr>
        <w:rPr>
          <w:lang w:val="pl-PL"/>
        </w:rPr>
      </w:pPr>
      <w:r w:rsidRPr="00733091">
        <w:rPr>
          <w:lang w:val="pl-PL"/>
        </w:rPr>
        <w:t>Zestawienie kluczowych problemów i wyzwań rozwojowych Partnerstwa prezentuje poniższa tabel</w:t>
      </w:r>
      <w:r>
        <w:rPr>
          <w:lang w:val="pl-PL"/>
        </w:rPr>
        <w:t>a.</w:t>
      </w:r>
    </w:p>
    <w:p w14:paraId="2FC7C7F8" w14:textId="4DC9FD5E" w:rsidR="007C1B77" w:rsidRDefault="00761CB0" w:rsidP="002E24A9">
      <w:pPr>
        <w:pStyle w:val="Legenda"/>
        <w:rPr>
          <w:lang w:val="pl-PL"/>
        </w:rPr>
      </w:pPr>
      <w:bookmarkStart w:id="176" w:name="_Toc69723283"/>
      <w:r w:rsidRPr="00111213">
        <w:rPr>
          <w:lang w:val="pl-PL"/>
        </w:rPr>
        <w:t xml:space="preserve">Tabela </w:t>
      </w:r>
      <w:r w:rsidR="00733091">
        <w:fldChar w:fldCharType="begin"/>
      </w:r>
      <w:r w:rsidR="00733091" w:rsidRPr="00111213">
        <w:rPr>
          <w:lang w:val="pl-PL"/>
        </w:rPr>
        <w:instrText xml:space="preserve"> SEQ Tabela \* ARABIC </w:instrText>
      </w:r>
      <w:r w:rsidR="00733091">
        <w:fldChar w:fldCharType="separate"/>
      </w:r>
      <w:r w:rsidR="00B14787">
        <w:rPr>
          <w:noProof/>
          <w:lang w:val="pl-PL"/>
        </w:rPr>
        <w:t>34</w:t>
      </w:r>
      <w:r w:rsidR="00733091">
        <w:rPr>
          <w:noProof/>
        </w:rPr>
        <w:fldChar w:fldCharType="end"/>
      </w:r>
      <w:r w:rsidRPr="00111213">
        <w:rPr>
          <w:lang w:val="pl-PL"/>
        </w:rPr>
        <w:t>: Problemy i wyzwania rozwojowe</w:t>
      </w:r>
      <w:bookmarkEnd w:id="176"/>
    </w:p>
    <w:tbl>
      <w:tblPr>
        <w:tblStyle w:val="CWD"/>
        <w:tblW w:w="8926" w:type="dxa"/>
        <w:tblLook w:val="04A0" w:firstRow="1" w:lastRow="0" w:firstColumn="1" w:lastColumn="0" w:noHBand="0" w:noVBand="1"/>
      </w:tblPr>
      <w:tblGrid>
        <w:gridCol w:w="4531"/>
        <w:gridCol w:w="4395"/>
      </w:tblGrid>
      <w:tr w:rsidR="00C63C8A" w:rsidRPr="006B091D" w14:paraId="26145BBF" w14:textId="77777777" w:rsidTr="003E270F">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4531" w:type="dxa"/>
          </w:tcPr>
          <w:p w14:paraId="22BB1A90" w14:textId="77777777" w:rsidR="00C63C8A" w:rsidRDefault="00C63C8A" w:rsidP="009E4562">
            <w:pPr>
              <w:spacing w:after="120" w:line="259" w:lineRule="auto"/>
              <w:ind w:left="0"/>
              <w:contextualSpacing/>
              <w:rPr>
                <w:b w:val="0"/>
              </w:rPr>
            </w:pPr>
            <w:r w:rsidRPr="007C1B77">
              <w:t>Problemy</w:t>
            </w:r>
          </w:p>
          <w:p w14:paraId="2E59DC14" w14:textId="063B0F00" w:rsidR="00ED67FA" w:rsidRDefault="00ED67FA" w:rsidP="009E4562">
            <w:pPr>
              <w:spacing w:after="120" w:line="259" w:lineRule="auto"/>
              <w:ind w:left="0"/>
              <w:contextualSpacing/>
              <w:rPr>
                <w:lang w:val="pl-PL"/>
              </w:rPr>
            </w:pPr>
          </w:p>
        </w:tc>
        <w:tc>
          <w:tcPr>
            <w:tcW w:w="4395" w:type="dxa"/>
          </w:tcPr>
          <w:p w14:paraId="485CAAE1" w14:textId="70F465B8" w:rsidR="00C63C8A" w:rsidRPr="00C63C8A" w:rsidRDefault="00C63C8A" w:rsidP="009E4562">
            <w:pPr>
              <w:spacing w:after="120" w:line="259" w:lineRule="auto"/>
              <w:ind w:left="0"/>
              <w:contextualSpacing/>
              <w:cnfStyle w:val="100000000000" w:firstRow="1" w:lastRow="0" w:firstColumn="0" w:lastColumn="0" w:oddVBand="0" w:evenVBand="0" w:oddHBand="0" w:evenHBand="0" w:firstRowFirstColumn="0" w:firstRowLastColumn="0" w:lastRowFirstColumn="0" w:lastRowLastColumn="0"/>
              <w:rPr>
                <w:b w:val="0"/>
                <w:lang w:val="pl-PL"/>
              </w:rPr>
            </w:pPr>
            <w:r w:rsidRPr="00C63C8A">
              <w:rPr>
                <w:lang w:val="pl-PL"/>
              </w:rPr>
              <w:t xml:space="preserve">Wyzwania rozwojowe </w:t>
            </w:r>
          </w:p>
        </w:tc>
      </w:tr>
      <w:tr w:rsidR="00C63C8A" w14:paraId="3058A3BE" w14:textId="77777777" w:rsidTr="003E270F">
        <w:tc>
          <w:tcPr>
            <w:cnfStyle w:val="001000000000" w:firstRow="0" w:lastRow="0" w:firstColumn="1" w:lastColumn="0" w:oddVBand="0" w:evenVBand="0" w:oddHBand="0" w:evenHBand="0" w:firstRowFirstColumn="0" w:firstRowLastColumn="0" w:lastRowFirstColumn="0" w:lastRowLastColumn="0"/>
            <w:tcW w:w="8926" w:type="dxa"/>
            <w:gridSpan w:val="2"/>
            <w:shd w:val="clear" w:color="auto" w:fill="BFBFBF" w:themeFill="background1" w:themeFillShade="BF"/>
          </w:tcPr>
          <w:p w14:paraId="5B7380C7" w14:textId="77777777" w:rsidR="00C63C8A" w:rsidRDefault="00C63C8A" w:rsidP="009E4562">
            <w:pPr>
              <w:spacing w:after="120" w:line="259" w:lineRule="auto"/>
              <w:ind w:left="0"/>
              <w:contextualSpacing/>
              <w:rPr>
                <w:b w:val="0"/>
              </w:rPr>
            </w:pPr>
            <w:r w:rsidRPr="007C1B77">
              <w:t>Wymiar społeczno-kulturowy</w:t>
            </w:r>
          </w:p>
          <w:p w14:paraId="70E58628" w14:textId="1A8E2D7B" w:rsidR="003E270F" w:rsidRPr="003E270F" w:rsidRDefault="003E270F" w:rsidP="009E4562">
            <w:pPr>
              <w:spacing w:after="120" w:line="259" w:lineRule="auto"/>
              <w:ind w:left="0"/>
              <w:contextualSpacing/>
              <w:rPr>
                <w:b w:val="0"/>
              </w:rPr>
            </w:pPr>
          </w:p>
        </w:tc>
      </w:tr>
      <w:tr w:rsidR="00C63C8A" w:rsidRPr="00176303" w14:paraId="20504CD5" w14:textId="77777777" w:rsidTr="00904B39">
        <w:tc>
          <w:tcPr>
            <w:cnfStyle w:val="001000000000" w:firstRow="0" w:lastRow="0" w:firstColumn="1" w:lastColumn="0" w:oddVBand="0" w:evenVBand="0" w:oddHBand="0" w:evenHBand="0" w:firstRowFirstColumn="0" w:firstRowLastColumn="0" w:lastRowFirstColumn="0" w:lastRowLastColumn="0"/>
            <w:tcW w:w="4531" w:type="dxa"/>
            <w:shd w:val="clear" w:color="auto" w:fill="FFFFFF" w:themeFill="background1"/>
            <w:vAlign w:val="top"/>
          </w:tcPr>
          <w:p w14:paraId="2A21BA17" w14:textId="690EB797" w:rsidR="006E394B" w:rsidRDefault="00BB034E" w:rsidP="00B063F0">
            <w:pPr>
              <w:pStyle w:val="elementgraficznytabela"/>
              <w:numPr>
                <w:ilvl w:val="0"/>
                <w:numId w:val="37"/>
              </w:numPr>
              <w:spacing w:after="240" w:line="259" w:lineRule="auto"/>
              <w:ind w:left="459" w:hanging="283"/>
              <w:contextualSpacing/>
              <w:rPr>
                <w:bCs/>
              </w:rPr>
            </w:pPr>
            <w:r>
              <w:rPr>
                <w:b w:val="0"/>
                <w:bCs/>
              </w:rPr>
              <w:t xml:space="preserve">Malejąca liczba osób </w:t>
            </w:r>
          </w:p>
          <w:p w14:paraId="0B00EA44" w14:textId="419C742D" w:rsidR="006E394B" w:rsidRPr="006E394B" w:rsidRDefault="00C63C8A" w:rsidP="00B063F0">
            <w:pPr>
              <w:pStyle w:val="elementgraficznytabela"/>
              <w:numPr>
                <w:ilvl w:val="0"/>
                <w:numId w:val="37"/>
              </w:numPr>
              <w:spacing w:after="240" w:line="259" w:lineRule="auto"/>
              <w:ind w:left="459" w:hanging="283"/>
              <w:contextualSpacing/>
              <w:rPr>
                <w:bCs/>
              </w:rPr>
            </w:pPr>
            <w:r w:rsidRPr="007C1B77">
              <w:rPr>
                <w:b w:val="0"/>
                <w:bCs/>
              </w:rPr>
              <w:t>Starzejące się społeczeństw</w:t>
            </w:r>
            <w:r w:rsidR="006F6F6D">
              <w:rPr>
                <w:b w:val="0"/>
                <w:bCs/>
              </w:rPr>
              <w:t>o</w:t>
            </w:r>
          </w:p>
          <w:p w14:paraId="0312A2F0" w14:textId="35F24935" w:rsidR="006E394B" w:rsidRPr="006E394B" w:rsidRDefault="006E394B" w:rsidP="00B063F0">
            <w:pPr>
              <w:pStyle w:val="elementgraficznytabela"/>
              <w:numPr>
                <w:ilvl w:val="0"/>
                <w:numId w:val="37"/>
              </w:numPr>
              <w:spacing w:after="240" w:line="259" w:lineRule="auto"/>
              <w:ind w:left="459" w:hanging="283"/>
              <w:contextualSpacing/>
              <w:rPr>
                <w:bCs/>
              </w:rPr>
            </w:pPr>
            <w:r w:rsidRPr="007C1B77">
              <w:rPr>
                <w:b w:val="0"/>
                <w:bCs/>
              </w:rPr>
              <w:t>Niski poziom integracji mieszkańców</w:t>
            </w:r>
          </w:p>
          <w:p w14:paraId="2AEF41B5" w14:textId="77777777" w:rsidR="006E394B" w:rsidRDefault="006E394B" w:rsidP="00B063F0">
            <w:pPr>
              <w:pStyle w:val="elementgraficznytabela"/>
              <w:numPr>
                <w:ilvl w:val="0"/>
                <w:numId w:val="37"/>
              </w:numPr>
              <w:spacing w:after="240" w:line="259" w:lineRule="auto"/>
              <w:ind w:left="459" w:hanging="283"/>
              <w:contextualSpacing/>
            </w:pPr>
            <w:r w:rsidRPr="00C63C8A">
              <w:rPr>
                <w:b w:val="0"/>
              </w:rPr>
              <w:t>Niska aktywność społeczna mieszkańców</w:t>
            </w:r>
          </w:p>
          <w:p w14:paraId="538E8990" w14:textId="76E35743" w:rsidR="00904B39" w:rsidRPr="00C11D0F" w:rsidRDefault="00C63C8A" w:rsidP="00B063F0">
            <w:pPr>
              <w:pStyle w:val="elementgraficznytabela"/>
              <w:numPr>
                <w:ilvl w:val="0"/>
                <w:numId w:val="37"/>
              </w:numPr>
              <w:spacing w:after="240" w:line="259" w:lineRule="auto"/>
              <w:ind w:left="459" w:hanging="283"/>
              <w:contextualSpacing/>
              <w:rPr>
                <w:bCs/>
              </w:rPr>
            </w:pPr>
            <w:r w:rsidRPr="007C1B77">
              <w:rPr>
                <w:b w:val="0"/>
                <w:bCs/>
              </w:rPr>
              <w:t>Ni</w:t>
            </w:r>
            <w:r w:rsidR="006E394B">
              <w:rPr>
                <w:b w:val="0"/>
                <w:bCs/>
              </w:rPr>
              <w:t xml:space="preserve">ewystarczajaca </w:t>
            </w:r>
            <w:r w:rsidRPr="007C1B77">
              <w:rPr>
                <w:b w:val="0"/>
                <w:bCs/>
              </w:rPr>
              <w:t>jakość infrastruktury społecznej</w:t>
            </w:r>
            <w:r w:rsidR="006E394B">
              <w:rPr>
                <w:b w:val="0"/>
                <w:bCs/>
              </w:rPr>
              <w:t xml:space="preserve"> </w:t>
            </w:r>
          </w:p>
        </w:tc>
        <w:tc>
          <w:tcPr>
            <w:tcW w:w="4395" w:type="dxa"/>
            <w:vAlign w:val="top"/>
          </w:tcPr>
          <w:p w14:paraId="7F850F0E" w14:textId="77777777" w:rsidR="00C63C8A" w:rsidRPr="007C1B77" w:rsidRDefault="00C63C8A" w:rsidP="00B063F0">
            <w:pPr>
              <w:pStyle w:val="elementgraficznytabela"/>
              <w:numPr>
                <w:ilvl w:val="0"/>
                <w:numId w:val="31"/>
              </w:numPr>
              <w:spacing w:after="240" w:line="259" w:lineRule="auto"/>
              <w:contextualSpacing/>
              <w:cnfStyle w:val="000000000000" w:firstRow="0" w:lastRow="0" w:firstColumn="0" w:lastColumn="0" w:oddVBand="0" w:evenVBand="0" w:oddHBand="0" w:evenHBand="0" w:firstRowFirstColumn="0" w:firstRowLastColumn="0" w:lastRowFirstColumn="0" w:lastRowLastColumn="0"/>
            </w:pPr>
            <w:r w:rsidRPr="007C1B77">
              <w:t>Integracja i rozwój usług społecznych</w:t>
            </w:r>
          </w:p>
          <w:p w14:paraId="5F13562C" w14:textId="49C7B3B4" w:rsidR="00C63C8A" w:rsidRDefault="00C63C8A" w:rsidP="00B063F0">
            <w:pPr>
              <w:pStyle w:val="elementgraficznytabela"/>
              <w:numPr>
                <w:ilvl w:val="0"/>
                <w:numId w:val="31"/>
              </w:numPr>
              <w:spacing w:after="240" w:line="259" w:lineRule="auto"/>
              <w:contextualSpacing/>
              <w:cnfStyle w:val="000000000000" w:firstRow="0" w:lastRow="0" w:firstColumn="0" w:lastColumn="0" w:oddVBand="0" w:evenVBand="0" w:oddHBand="0" w:evenHBand="0" w:firstRowFirstColumn="0" w:firstRowLastColumn="0" w:lastRowFirstColumn="0" w:lastRowLastColumn="0"/>
            </w:pPr>
            <w:r w:rsidRPr="007C1B77">
              <w:t>Integracja i specjalizacja usług medycznych</w:t>
            </w:r>
          </w:p>
          <w:p w14:paraId="0D45D6A3" w14:textId="7FE33989" w:rsidR="006F6F6D" w:rsidRPr="006F6F6D" w:rsidRDefault="006F6F6D" w:rsidP="00B063F0">
            <w:pPr>
              <w:pStyle w:val="elementgraficznytabela"/>
              <w:numPr>
                <w:ilvl w:val="0"/>
                <w:numId w:val="31"/>
              </w:numPr>
              <w:spacing w:after="240" w:line="259" w:lineRule="auto"/>
              <w:contextualSpacing/>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Integracja i s</w:t>
            </w:r>
            <w:r w:rsidRPr="004A7ACD">
              <w:rPr>
                <w:rFonts w:cstheme="minorHAnsi"/>
              </w:rPr>
              <w:t>pecjalizacja usług edukacyjnych</w:t>
            </w:r>
          </w:p>
          <w:p w14:paraId="1E40357A" w14:textId="66224220" w:rsidR="006F6F6D" w:rsidRPr="005366A1" w:rsidRDefault="00C63C8A" w:rsidP="005366A1">
            <w:pPr>
              <w:pStyle w:val="elementgraficznytabela"/>
              <w:numPr>
                <w:ilvl w:val="0"/>
                <w:numId w:val="31"/>
              </w:numPr>
              <w:spacing w:after="240" w:line="259" w:lineRule="auto"/>
              <w:contextualSpacing/>
              <w:cnfStyle w:val="000000000000" w:firstRow="0" w:lastRow="0" w:firstColumn="0" w:lastColumn="0" w:oddVBand="0" w:evenVBand="0" w:oddHBand="0" w:evenHBand="0" w:firstRowFirstColumn="0" w:firstRowLastColumn="0" w:lastRowFirstColumn="0" w:lastRowLastColumn="0"/>
            </w:pPr>
            <w:r w:rsidRPr="00C63C8A">
              <w:t>Poprawa stanu infrastruktury społecznej i medycznej</w:t>
            </w:r>
          </w:p>
        </w:tc>
      </w:tr>
      <w:tr w:rsidR="00C63C8A" w14:paraId="152CD6FB" w14:textId="77777777" w:rsidTr="00904B39">
        <w:tc>
          <w:tcPr>
            <w:cnfStyle w:val="001000000000" w:firstRow="0" w:lastRow="0" w:firstColumn="1" w:lastColumn="0" w:oddVBand="0" w:evenVBand="0" w:oddHBand="0" w:evenHBand="0" w:firstRowFirstColumn="0" w:firstRowLastColumn="0" w:lastRowFirstColumn="0" w:lastRowLastColumn="0"/>
            <w:tcW w:w="8926" w:type="dxa"/>
            <w:gridSpan w:val="2"/>
            <w:shd w:val="clear" w:color="auto" w:fill="BFBFBF" w:themeFill="background1" w:themeFillShade="BF"/>
            <w:vAlign w:val="top"/>
          </w:tcPr>
          <w:p w14:paraId="02E872D9" w14:textId="77777777" w:rsidR="00C63C8A" w:rsidRDefault="00C63C8A" w:rsidP="00EB6192">
            <w:pPr>
              <w:spacing w:line="259" w:lineRule="auto"/>
              <w:ind w:left="0"/>
              <w:contextualSpacing/>
              <w:rPr>
                <w:b w:val="0"/>
              </w:rPr>
            </w:pPr>
            <w:r>
              <w:t>Wymiar p</w:t>
            </w:r>
            <w:r w:rsidRPr="007C1B77">
              <w:t>rzestrzenn</w:t>
            </w:r>
            <w:r>
              <w:t>y</w:t>
            </w:r>
            <w:r w:rsidRPr="007C1B77">
              <w:t xml:space="preserve"> i techniczn</w:t>
            </w:r>
            <w:r>
              <w:t>y</w:t>
            </w:r>
          </w:p>
          <w:p w14:paraId="78C769A5" w14:textId="3DCD2A9C" w:rsidR="003E270F" w:rsidRPr="003E270F" w:rsidRDefault="003E270F" w:rsidP="00EB6192">
            <w:pPr>
              <w:spacing w:line="259" w:lineRule="auto"/>
              <w:ind w:left="0"/>
              <w:contextualSpacing/>
              <w:rPr>
                <w:b w:val="0"/>
              </w:rPr>
            </w:pPr>
          </w:p>
        </w:tc>
      </w:tr>
      <w:tr w:rsidR="00C63C8A" w:rsidRPr="00176303" w14:paraId="6AF02D26" w14:textId="77777777" w:rsidTr="00904B39">
        <w:tc>
          <w:tcPr>
            <w:cnfStyle w:val="001000000000" w:firstRow="0" w:lastRow="0" w:firstColumn="1" w:lastColumn="0" w:oddVBand="0" w:evenVBand="0" w:oddHBand="0" w:evenHBand="0" w:firstRowFirstColumn="0" w:firstRowLastColumn="0" w:lastRowFirstColumn="0" w:lastRowLastColumn="0"/>
            <w:tcW w:w="4531" w:type="dxa"/>
            <w:shd w:val="clear" w:color="auto" w:fill="FFFFFF" w:themeFill="background1"/>
            <w:vAlign w:val="top"/>
          </w:tcPr>
          <w:p w14:paraId="3FECDA42" w14:textId="6935862D" w:rsidR="00C63C8A" w:rsidRPr="007C1B77" w:rsidRDefault="00C63C8A" w:rsidP="00B063F0">
            <w:pPr>
              <w:pStyle w:val="elementgraficznytabela"/>
              <w:numPr>
                <w:ilvl w:val="0"/>
                <w:numId w:val="36"/>
              </w:numPr>
              <w:spacing w:after="240" w:line="259" w:lineRule="auto"/>
              <w:ind w:left="459" w:hanging="283"/>
              <w:contextualSpacing/>
              <w:rPr>
                <w:b w:val="0"/>
                <w:bCs/>
              </w:rPr>
            </w:pPr>
            <w:r w:rsidRPr="007C1B77">
              <w:rPr>
                <w:b w:val="0"/>
                <w:bCs/>
              </w:rPr>
              <w:t>Ni</w:t>
            </w:r>
            <w:r w:rsidR="006F6F6D">
              <w:rPr>
                <w:b w:val="0"/>
                <w:bCs/>
              </w:rPr>
              <w:t>ska</w:t>
            </w:r>
            <w:r w:rsidRPr="007C1B77">
              <w:rPr>
                <w:b w:val="0"/>
                <w:bCs/>
              </w:rPr>
              <w:t xml:space="preserve"> dostępność komunikacyjna (w szczególności na obszarach peryferyjnych wewnętrznie)</w:t>
            </w:r>
          </w:p>
          <w:p w14:paraId="39A47FD8" w14:textId="77777777" w:rsidR="00C63C8A" w:rsidRPr="00C63C8A" w:rsidRDefault="00C63C8A" w:rsidP="00B063F0">
            <w:pPr>
              <w:pStyle w:val="elementgraficznytabela"/>
              <w:numPr>
                <w:ilvl w:val="0"/>
                <w:numId w:val="36"/>
              </w:numPr>
              <w:spacing w:after="240" w:line="259" w:lineRule="auto"/>
              <w:ind w:left="459" w:hanging="283"/>
              <w:contextualSpacing/>
              <w:rPr>
                <w:b w:val="0"/>
                <w:bCs/>
              </w:rPr>
            </w:pPr>
            <w:r w:rsidRPr="007C1B77">
              <w:rPr>
                <w:b w:val="0"/>
                <w:bCs/>
              </w:rPr>
              <w:t>Niska jakość dróg lokalnych</w:t>
            </w:r>
          </w:p>
          <w:p w14:paraId="74400E5B" w14:textId="02F9A9B2" w:rsidR="00C63C8A" w:rsidRPr="00C63C8A" w:rsidRDefault="006F6F6D" w:rsidP="00B063F0">
            <w:pPr>
              <w:pStyle w:val="elementgraficznytabela"/>
              <w:numPr>
                <w:ilvl w:val="0"/>
                <w:numId w:val="36"/>
              </w:numPr>
              <w:spacing w:after="240" w:line="259" w:lineRule="auto"/>
              <w:ind w:left="459" w:hanging="283"/>
              <w:contextualSpacing/>
              <w:rPr>
                <w:b w:val="0"/>
              </w:rPr>
            </w:pPr>
            <w:r>
              <w:rPr>
                <w:b w:val="0"/>
              </w:rPr>
              <w:t>Niedostosowana do potr</w:t>
            </w:r>
            <w:r w:rsidR="00BB034E">
              <w:rPr>
                <w:b w:val="0"/>
              </w:rPr>
              <w:t>z</w:t>
            </w:r>
            <w:r>
              <w:rPr>
                <w:b w:val="0"/>
              </w:rPr>
              <w:t>eb mieskańców i turystów</w:t>
            </w:r>
            <w:r w:rsidR="00C63C8A" w:rsidRPr="00C63C8A">
              <w:rPr>
                <w:b w:val="0"/>
              </w:rPr>
              <w:t xml:space="preserve"> infrastruktur</w:t>
            </w:r>
            <w:r>
              <w:rPr>
                <w:b w:val="0"/>
              </w:rPr>
              <w:t>a</w:t>
            </w:r>
            <w:r w:rsidR="00C63C8A" w:rsidRPr="00C63C8A">
              <w:rPr>
                <w:b w:val="0"/>
              </w:rPr>
              <w:t xml:space="preserve"> wypoczynkowo- rekreacyjn</w:t>
            </w:r>
            <w:r w:rsidR="006E394B">
              <w:rPr>
                <w:b w:val="0"/>
              </w:rPr>
              <w:t>a</w:t>
            </w:r>
          </w:p>
        </w:tc>
        <w:tc>
          <w:tcPr>
            <w:tcW w:w="4395" w:type="dxa"/>
            <w:vAlign w:val="top"/>
          </w:tcPr>
          <w:p w14:paraId="260A6B82" w14:textId="378C3CF0" w:rsidR="00C63C8A" w:rsidRPr="007C1B77" w:rsidRDefault="00EB6192" w:rsidP="00B063F0">
            <w:pPr>
              <w:pStyle w:val="elementgraficznytabela"/>
              <w:numPr>
                <w:ilvl w:val="0"/>
                <w:numId w:val="38"/>
              </w:numPr>
              <w:spacing w:after="240" w:line="259" w:lineRule="auto"/>
              <w:contextualSpacing/>
              <w:cnfStyle w:val="000000000000" w:firstRow="0" w:lastRow="0" w:firstColumn="0" w:lastColumn="0" w:oddVBand="0" w:evenVBand="0" w:oddHBand="0" w:evenHBand="0" w:firstRowFirstColumn="0" w:firstRowLastColumn="0" w:lastRowFirstColumn="0" w:lastRowLastColumn="0"/>
            </w:pPr>
            <w:r>
              <w:t xml:space="preserve">Tworzenie lub </w:t>
            </w:r>
            <w:r w:rsidR="00C63C8A" w:rsidRPr="007C1B77">
              <w:t>modernizacj</w:t>
            </w:r>
            <w:r>
              <w:t>a</w:t>
            </w:r>
            <w:r w:rsidR="00C63C8A" w:rsidRPr="007C1B77">
              <w:t xml:space="preserve"> połączeń komunikacyjne wewnątrz obszaru i z otoczeniem zewnętrznym</w:t>
            </w:r>
          </w:p>
          <w:p w14:paraId="78CB32CA" w14:textId="77777777" w:rsidR="00C63C8A" w:rsidRPr="007C1B77" w:rsidRDefault="00C63C8A" w:rsidP="00B063F0">
            <w:pPr>
              <w:pStyle w:val="elementgraficznytabela"/>
              <w:numPr>
                <w:ilvl w:val="0"/>
                <w:numId w:val="38"/>
              </w:numPr>
              <w:spacing w:after="240" w:line="259" w:lineRule="auto"/>
              <w:contextualSpacing/>
              <w:cnfStyle w:val="000000000000" w:firstRow="0" w:lastRow="0" w:firstColumn="0" w:lastColumn="0" w:oddVBand="0" w:evenVBand="0" w:oddHBand="0" w:evenHBand="0" w:firstRowFirstColumn="0" w:firstRowLastColumn="0" w:lastRowFirstColumn="0" w:lastRowLastColumn="0"/>
            </w:pPr>
            <w:r w:rsidRPr="007C1B77">
              <w:t>Poprawa jakości dróg lokalnych</w:t>
            </w:r>
          </w:p>
          <w:p w14:paraId="617284DC" w14:textId="77777777" w:rsidR="00C63C8A" w:rsidRDefault="00C63C8A" w:rsidP="00B063F0">
            <w:pPr>
              <w:pStyle w:val="elementgraficznytabela"/>
              <w:numPr>
                <w:ilvl w:val="0"/>
                <w:numId w:val="38"/>
              </w:numPr>
              <w:spacing w:after="240" w:line="259" w:lineRule="auto"/>
              <w:contextualSpacing/>
              <w:cnfStyle w:val="000000000000" w:firstRow="0" w:lastRow="0" w:firstColumn="0" w:lastColumn="0" w:oddVBand="0" w:evenVBand="0" w:oddHBand="0" w:evenHBand="0" w:firstRowFirstColumn="0" w:firstRowLastColumn="0" w:lastRowFirstColumn="0" w:lastRowLastColumn="0"/>
            </w:pPr>
            <w:r w:rsidRPr="007C1B77">
              <w:t>Poprawa systemu komunikacji publicznej</w:t>
            </w:r>
          </w:p>
          <w:p w14:paraId="5873BB95" w14:textId="7217E17C" w:rsidR="00970E36" w:rsidRPr="005366A1" w:rsidRDefault="00C63C8A" w:rsidP="005366A1">
            <w:pPr>
              <w:pStyle w:val="elementgraficznytabela"/>
              <w:numPr>
                <w:ilvl w:val="0"/>
                <w:numId w:val="38"/>
              </w:numPr>
              <w:spacing w:after="240" w:line="259" w:lineRule="auto"/>
              <w:contextualSpacing/>
              <w:cnfStyle w:val="000000000000" w:firstRow="0" w:lastRow="0" w:firstColumn="0" w:lastColumn="0" w:oddVBand="0" w:evenVBand="0" w:oddHBand="0" w:evenHBand="0" w:firstRowFirstColumn="0" w:firstRowLastColumn="0" w:lastRowFirstColumn="0" w:lastRowLastColumn="0"/>
            </w:pPr>
            <w:r w:rsidRPr="00C63C8A">
              <w:t>Rozwój/poprawa stanu infrastruktury wypoczynkowo-rekreacyjnej</w:t>
            </w:r>
          </w:p>
        </w:tc>
      </w:tr>
      <w:tr w:rsidR="00C63C8A" w14:paraId="4C50F7FB" w14:textId="77777777" w:rsidTr="00904B39">
        <w:tc>
          <w:tcPr>
            <w:cnfStyle w:val="001000000000" w:firstRow="0" w:lastRow="0" w:firstColumn="1" w:lastColumn="0" w:oddVBand="0" w:evenVBand="0" w:oddHBand="0" w:evenHBand="0" w:firstRowFirstColumn="0" w:firstRowLastColumn="0" w:lastRowFirstColumn="0" w:lastRowLastColumn="0"/>
            <w:tcW w:w="8926" w:type="dxa"/>
            <w:gridSpan w:val="2"/>
            <w:shd w:val="clear" w:color="auto" w:fill="BFBFBF" w:themeFill="background1" w:themeFillShade="BF"/>
            <w:vAlign w:val="top"/>
          </w:tcPr>
          <w:p w14:paraId="122FBC21" w14:textId="77777777" w:rsidR="00C63C8A" w:rsidRPr="003E270F" w:rsidRDefault="00C63C8A" w:rsidP="00EB6192">
            <w:pPr>
              <w:spacing w:line="259" w:lineRule="auto"/>
              <w:ind w:left="0"/>
              <w:contextualSpacing/>
              <w:rPr>
                <w:b w:val="0"/>
                <w:lang w:val="pl-PL"/>
              </w:rPr>
            </w:pPr>
            <w:r>
              <w:rPr>
                <w:lang w:val="pl-PL"/>
              </w:rPr>
              <w:t>Wymiar środowiskowy</w:t>
            </w:r>
          </w:p>
        </w:tc>
      </w:tr>
      <w:tr w:rsidR="00C63C8A" w:rsidRPr="00176303" w14:paraId="486B2C91" w14:textId="77777777" w:rsidTr="00904B39">
        <w:tc>
          <w:tcPr>
            <w:cnfStyle w:val="001000000000" w:firstRow="0" w:lastRow="0" w:firstColumn="1" w:lastColumn="0" w:oddVBand="0" w:evenVBand="0" w:oddHBand="0" w:evenHBand="0" w:firstRowFirstColumn="0" w:firstRowLastColumn="0" w:lastRowFirstColumn="0" w:lastRowLastColumn="0"/>
            <w:tcW w:w="4531" w:type="dxa"/>
            <w:shd w:val="clear" w:color="auto" w:fill="FFFFFF" w:themeFill="background1"/>
            <w:vAlign w:val="top"/>
          </w:tcPr>
          <w:p w14:paraId="757E5754" w14:textId="27D37C42" w:rsidR="00C63C8A" w:rsidRPr="00C63C8A" w:rsidRDefault="00C63C8A" w:rsidP="00B063F0">
            <w:pPr>
              <w:pStyle w:val="elementgraficznytabela"/>
              <w:numPr>
                <w:ilvl w:val="0"/>
                <w:numId w:val="35"/>
              </w:numPr>
              <w:spacing w:after="240" w:line="259" w:lineRule="auto"/>
              <w:ind w:left="459" w:hanging="283"/>
              <w:contextualSpacing/>
              <w:rPr>
                <w:b w:val="0"/>
                <w:bCs/>
              </w:rPr>
            </w:pPr>
            <w:r w:rsidRPr="0085103A">
              <w:rPr>
                <w:b w:val="0"/>
                <w:bCs/>
              </w:rPr>
              <w:lastRenderedPageBreak/>
              <w:t>Zanieczyszczenie powietrza - niska emisja</w:t>
            </w:r>
            <w:r w:rsidR="006F6F6D">
              <w:rPr>
                <w:b w:val="0"/>
                <w:bCs/>
              </w:rPr>
              <w:t xml:space="preserve"> w miejscach zaludnionych</w:t>
            </w:r>
          </w:p>
          <w:p w14:paraId="14C70ECD" w14:textId="77777777" w:rsidR="00C63C8A" w:rsidRDefault="00C63C8A" w:rsidP="00B063F0">
            <w:pPr>
              <w:pStyle w:val="elementgraficznytabela"/>
              <w:numPr>
                <w:ilvl w:val="0"/>
                <w:numId w:val="35"/>
              </w:numPr>
              <w:spacing w:after="240" w:line="259" w:lineRule="auto"/>
              <w:ind w:left="459" w:hanging="283"/>
              <w:contextualSpacing/>
            </w:pPr>
            <w:r w:rsidRPr="00C63C8A">
              <w:rPr>
                <w:b w:val="0"/>
              </w:rPr>
              <w:t>Niepełne wykorzystanie uwarunkowań przyrodniczych dla prowadzenia działań rozwojowych</w:t>
            </w:r>
          </w:p>
          <w:p w14:paraId="594648A6" w14:textId="03BD6B39" w:rsidR="00C63C8A" w:rsidRPr="00C63C8A" w:rsidRDefault="00C63C8A" w:rsidP="00EB6192">
            <w:pPr>
              <w:pStyle w:val="podpiselementu"/>
              <w:spacing w:after="240" w:line="259" w:lineRule="auto"/>
              <w:contextualSpacing/>
              <w:rPr>
                <w:lang w:val="pl-PL"/>
              </w:rPr>
            </w:pPr>
          </w:p>
        </w:tc>
        <w:tc>
          <w:tcPr>
            <w:tcW w:w="4395" w:type="dxa"/>
            <w:vAlign w:val="top"/>
          </w:tcPr>
          <w:p w14:paraId="405CFB79" w14:textId="09FBFAD1" w:rsidR="00C63C8A" w:rsidRDefault="00C63C8A" w:rsidP="00B063F0">
            <w:pPr>
              <w:pStyle w:val="elementgraficznytabela"/>
              <w:numPr>
                <w:ilvl w:val="0"/>
                <w:numId w:val="39"/>
              </w:numPr>
              <w:spacing w:after="240" w:line="259" w:lineRule="auto"/>
              <w:contextualSpacing/>
              <w:cnfStyle w:val="000000000000" w:firstRow="0" w:lastRow="0" w:firstColumn="0" w:lastColumn="0" w:oddVBand="0" w:evenVBand="0" w:oddHBand="0" w:evenHBand="0" w:firstRowFirstColumn="0" w:firstRowLastColumn="0" w:lastRowFirstColumn="0" w:lastRowLastColumn="0"/>
            </w:pPr>
            <w:r w:rsidRPr="007C1B77">
              <w:t xml:space="preserve">Wykorzystanie istniejących uwarunkowań przyrodniczych i środowiska naturalnego w celu </w:t>
            </w:r>
            <w:r w:rsidR="006F6F6D">
              <w:t>wzmocnienia działań rozwojowych</w:t>
            </w:r>
            <w:r w:rsidR="00EB6192">
              <w:t xml:space="preserve"> z jednoczesnym zachowaniem wysokiej jakości środowiska naturalnego</w:t>
            </w:r>
            <w:r w:rsidR="006F6F6D">
              <w:t xml:space="preserve"> </w:t>
            </w:r>
          </w:p>
          <w:p w14:paraId="785DFACB" w14:textId="0E8A49E5" w:rsidR="00C63C8A" w:rsidRPr="00C63C8A" w:rsidRDefault="00C63C8A" w:rsidP="00B063F0">
            <w:pPr>
              <w:pStyle w:val="elementgraficznytabela"/>
              <w:numPr>
                <w:ilvl w:val="0"/>
                <w:numId w:val="39"/>
              </w:numPr>
              <w:spacing w:after="240" w:line="259" w:lineRule="auto"/>
              <w:contextualSpacing/>
              <w:cnfStyle w:val="000000000000" w:firstRow="0" w:lastRow="0" w:firstColumn="0" w:lastColumn="0" w:oddVBand="0" w:evenVBand="0" w:oddHBand="0" w:evenHBand="0" w:firstRowFirstColumn="0" w:firstRowLastColumn="0" w:lastRowFirstColumn="0" w:lastRowLastColumn="0"/>
            </w:pPr>
            <w:r w:rsidRPr="00C63C8A">
              <w:t xml:space="preserve">Podejmowanie działań ograniczających niską emisję </w:t>
            </w:r>
            <w:r w:rsidR="00C929FE">
              <w:br/>
            </w:r>
            <w:r w:rsidRPr="00C63C8A">
              <w:t>i dewastację terenów naturalnych</w:t>
            </w:r>
          </w:p>
        </w:tc>
      </w:tr>
      <w:tr w:rsidR="00C63C8A" w14:paraId="6D120431" w14:textId="77777777" w:rsidTr="00904B39">
        <w:tc>
          <w:tcPr>
            <w:cnfStyle w:val="001000000000" w:firstRow="0" w:lastRow="0" w:firstColumn="1" w:lastColumn="0" w:oddVBand="0" w:evenVBand="0" w:oddHBand="0" w:evenHBand="0" w:firstRowFirstColumn="0" w:firstRowLastColumn="0" w:lastRowFirstColumn="0" w:lastRowLastColumn="0"/>
            <w:tcW w:w="8926" w:type="dxa"/>
            <w:gridSpan w:val="2"/>
            <w:shd w:val="clear" w:color="auto" w:fill="BFBFBF" w:themeFill="background1" w:themeFillShade="BF"/>
            <w:vAlign w:val="top"/>
          </w:tcPr>
          <w:p w14:paraId="79E046A4" w14:textId="77777777" w:rsidR="00C63C8A" w:rsidRDefault="00C63C8A" w:rsidP="00EB6192">
            <w:pPr>
              <w:spacing w:line="259" w:lineRule="auto"/>
              <w:ind w:left="0"/>
              <w:contextualSpacing/>
              <w:rPr>
                <w:b w:val="0"/>
                <w:lang w:val="pl-PL"/>
              </w:rPr>
            </w:pPr>
            <w:r>
              <w:rPr>
                <w:lang w:val="pl-PL"/>
              </w:rPr>
              <w:t xml:space="preserve">Wymiar gospodarczy </w:t>
            </w:r>
          </w:p>
          <w:p w14:paraId="664480E7" w14:textId="46A66E3F" w:rsidR="00C63C8A" w:rsidRDefault="00C63C8A" w:rsidP="00EB6192">
            <w:pPr>
              <w:spacing w:line="259" w:lineRule="auto"/>
              <w:ind w:left="0"/>
              <w:contextualSpacing/>
              <w:rPr>
                <w:lang w:val="pl-PL"/>
              </w:rPr>
            </w:pPr>
          </w:p>
        </w:tc>
      </w:tr>
      <w:tr w:rsidR="00C63C8A" w:rsidRPr="00176303" w14:paraId="7178A40C" w14:textId="77777777" w:rsidTr="00904B39">
        <w:tc>
          <w:tcPr>
            <w:cnfStyle w:val="001000000000" w:firstRow="0" w:lastRow="0" w:firstColumn="1" w:lastColumn="0" w:oddVBand="0" w:evenVBand="0" w:oddHBand="0" w:evenHBand="0" w:firstRowFirstColumn="0" w:firstRowLastColumn="0" w:lastRowFirstColumn="0" w:lastRowLastColumn="0"/>
            <w:tcW w:w="4531" w:type="dxa"/>
            <w:shd w:val="clear" w:color="auto" w:fill="FFFFFF" w:themeFill="background1"/>
            <w:vAlign w:val="top"/>
          </w:tcPr>
          <w:p w14:paraId="50342B3F" w14:textId="6BD46A0E" w:rsidR="006E394B" w:rsidRPr="006E394B" w:rsidRDefault="00C63C8A" w:rsidP="00B063F0">
            <w:pPr>
              <w:pStyle w:val="elementgraficznytabela"/>
              <w:numPr>
                <w:ilvl w:val="0"/>
                <w:numId w:val="34"/>
              </w:numPr>
              <w:spacing w:after="240" w:line="259" w:lineRule="auto"/>
              <w:ind w:left="459" w:hanging="283"/>
              <w:contextualSpacing/>
              <w:rPr>
                <w:rFonts w:cstheme="minorHAnsi"/>
                <w:bCs/>
              </w:rPr>
            </w:pPr>
            <w:r w:rsidRPr="0085103A">
              <w:rPr>
                <w:rFonts w:cstheme="minorHAnsi"/>
                <w:b w:val="0"/>
                <w:bCs/>
              </w:rPr>
              <w:t>Niski poziom przedsiębiorczości</w:t>
            </w:r>
          </w:p>
          <w:p w14:paraId="3DE3482F" w14:textId="3AA4D800" w:rsidR="006E394B" w:rsidRPr="006E394B" w:rsidRDefault="006E394B" w:rsidP="00B063F0">
            <w:pPr>
              <w:pStyle w:val="elementgraficznytabela"/>
              <w:numPr>
                <w:ilvl w:val="0"/>
                <w:numId w:val="34"/>
              </w:numPr>
              <w:spacing w:after="240" w:line="259" w:lineRule="auto"/>
              <w:ind w:left="459" w:hanging="283"/>
              <w:contextualSpacing/>
              <w:rPr>
                <w:rFonts w:cstheme="minorHAnsi"/>
                <w:bCs/>
              </w:rPr>
            </w:pPr>
            <w:r>
              <w:rPr>
                <w:rFonts w:cstheme="minorHAnsi"/>
                <w:b w:val="0"/>
                <w:bCs/>
              </w:rPr>
              <w:t>Niewystarczajacy</w:t>
            </w:r>
            <w:r w:rsidRPr="0085103A">
              <w:rPr>
                <w:rFonts w:cstheme="minorHAnsi"/>
                <w:b w:val="0"/>
                <w:bCs/>
              </w:rPr>
              <w:t xml:space="preserve"> system</w:t>
            </w:r>
            <w:r>
              <w:rPr>
                <w:rFonts w:cstheme="minorHAnsi"/>
                <w:b w:val="0"/>
                <w:bCs/>
              </w:rPr>
              <w:t xml:space="preserve"> </w:t>
            </w:r>
            <w:r w:rsidRPr="0085103A">
              <w:rPr>
                <w:rFonts w:cstheme="minorHAnsi"/>
                <w:b w:val="0"/>
                <w:bCs/>
              </w:rPr>
              <w:t>wsparcia przedsiębiorczości</w:t>
            </w:r>
          </w:p>
          <w:p w14:paraId="05653743" w14:textId="4EF591B2" w:rsidR="006E394B" w:rsidRPr="0085103A" w:rsidRDefault="006E394B" w:rsidP="00B063F0">
            <w:pPr>
              <w:pStyle w:val="elementgraficznytabela"/>
              <w:numPr>
                <w:ilvl w:val="0"/>
                <w:numId w:val="34"/>
              </w:numPr>
              <w:spacing w:after="240" w:line="259" w:lineRule="auto"/>
              <w:ind w:left="459" w:hanging="283"/>
              <w:contextualSpacing/>
              <w:rPr>
                <w:rFonts w:cstheme="minorHAnsi"/>
                <w:b w:val="0"/>
                <w:bCs/>
              </w:rPr>
            </w:pPr>
            <w:r w:rsidRPr="0085103A">
              <w:rPr>
                <w:rFonts w:cstheme="minorHAnsi"/>
                <w:b w:val="0"/>
                <w:bCs/>
              </w:rPr>
              <w:t>Brak synergii między rynkiem pracy a rynkiem edukacji</w:t>
            </w:r>
            <w:r>
              <w:rPr>
                <w:rFonts w:cstheme="minorHAnsi"/>
                <w:b w:val="0"/>
                <w:bCs/>
              </w:rPr>
              <w:t xml:space="preserve"> </w:t>
            </w:r>
          </w:p>
          <w:p w14:paraId="6AB3EAE0" w14:textId="77777777" w:rsidR="00C11D0F" w:rsidRDefault="006E394B" w:rsidP="00B063F0">
            <w:pPr>
              <w:pStyle w:val="elementgraficznytabela"/>
              <w:numPr>
                <w:ilvl w:val="0"/>
                <w:numId w:val="34"/>
              </w:numPr>
              <w:spacing w:after="240" w:line="259" w:lineRule="auto"/>
              <w:ind w:left="459" w:hanging="283"/>
              <w:contextualSpacing/>
              <w:rPr>
                <w:rFonts w:cstheme="minorHAnsi"/>
              </w:rPr>
            </w:pPr>
            <w:r w:rsidRPr="006E394B">
              <w:rPr>
                <w:rFonts w:cstheme="minorHAnsi"/>
                <w:b w:val="0"/>
              </w:rPr>
              <w:t>Nieodpowiadajacy oczekiwaniom pracowników rynek prac</w:t>
            </w:r>
            <w:r w:rsidR="00C11D0F">
              <w:rPr>
                <w:rFonts w:cstheme="minorHAnsi"/>
                <w:b w:val="0"/>
              </w:rPr>
              <w:t>y</w:t>
            </w:r>
          </w:p>
          <w:p w14:paraId="6737C9AE" w14:textId="5F411B61" w:rsidR="00C11D0F" w:rsidRPr="00C11D0F" w:rsidRDefault="00C11D0F" w:rsidP="00B063F0">
            <w:pPr>
              <w:pStyle w:val="elementgraficznytabela"/>
              <w:numPr>
                <w:ilvl w:val="0"/>
                <w:numId w:val="34"/>
              </w:numPr>
              <w:spacing w:after="240" w:line="259" w:lineRule="auto"/>
              <w:ind w:left="459" w:hanging="283"/>
              <w:contextualSpacing/>
              <w:rPr>
                <w:rFonts w:cstheme="minorHAnsi"/>
                <w:b w:val="0"/>
                <w:bCs/>
              </w:rPr>
            </w:pPr>
            <w:r w:rsidRPr="00C11D0F">
              <w:rPr>
                <w:b w:val="0"/>
                <w:bCs/>
              </w:rPr>
              <w:t xml:space="preserve">Niski poziom </w:t>
            </w:r>
            <w:r>
              <w:rPr>
                <w:b w:val="0"/>
                <w:bCs/>
              </w:rPr>
              <w:t>potencjału</w:t>
            </w:r>
            <w:r w:rsidRPr="00C11D0F">
              <w:rPr>
                <w:b w:val="0"/>
                <w:bCs/>
              </w:rPr>
              <w:t xml:space="preserve"> ekonomiczne</w:t>
            </w:r>
            <w:r>
              <w:rPr>
                <w:b w:val="0"/>
                <w:bCs/>
              </w:rPr>
              <w:t xml:space="preserve">go </w:t>
            </w:r>
            <w:r w:rsidRPr="00C11D0F">
              <w:rPr>
                <w:b w:val="0"/>
                <w:bCs/>
              </w:rPr>
              <w:t>mieszkańców</w:t>
            </w:r>
          </w:p>
        </w:tc>
        <w:tc>
          <w:tcPr>
            <w:tcW w:w="4395" w:type="dxa"/>
            <w:vAlign w:val="top"/>
          </w:tcPr>
          <w:p w14:paraId="18EC815C" w14:textId="77777777" w:rsidR="00C63C8A" w:rsidRPr="008F73D1" w:rsidRDefault="00C63C8A" w:rsidP="00B063F0">
            <w:pPr>
              <w:pStyle w:val="elementgraficznytabela"/>
              <w:numPr>
                <w:ilvl w:val="0"/>
                <w:numId w:val="40"/>
              </w:numPr>
              <w:spacing w:after="240" w:line="259" w:lineRule="auto"/>
              <w:contextualSpacing/>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Stworzenie warunków do rozwoju przedsiębiorczości</w:t>
            </w:r>
          </w:p>
          <w:p w14:paraId="442B6882" w14:textId="77777777" w:rsidR="00C63C8A" w:rsidRDefault="00C63C8A" w:rsidP="00B063F0">
            <w:pPr>
              <w:pStyle w:val="elementgraficznytabela"/>
              <w:numPr>
                <w:ilvl w:val="0"/>
                <w:numId w:val="40"/>
              </w:numPr>
              <w:spacing w:after="240" w:line="259" w:lineRule="auto"/>
              <w:contextualSpacing/>
              <w:cnfStyle w:val="000000000000" w:firstRow="0" w:lastRow="0" w:firstColumn="0" w:lastColumn="0" w:oddVBand="0" w:evenVBand="0" w:oddHBand="0" w:evenHBand="0" w:firstRowFirstColumn="0" w:firstRowLastColumn="0" w:lastRowFirstColumn="0" w:lastRowLastColumn="0"/>
              <w:rPr>
                <w:rFonts w:cstheme="minorHAnsi"/>
              </w:rPr>
            </w:pPr>
            <w:r w:rsidRPr="004A7ACD">
              <w:rPr>
                <w:rFonts w:cstheme="minorHAnsi"/>
              </w:rPr>
              <w:t>Skorelowanie rynku edukacji i potrzeb pracodawców</w:t>
            </w:r>
          </w:p>
          <w:p w14:paraId="6240F80B" w14:textId="35A95360" w:rsidR="00C63C8A" w:rsidRPr="00C63C8A" w:rsidRDefault="006E394B" w:rsidP="00B063F0">
            <w:pPr>
              <w:pStyle w:val="elementgraficznytabela"/>
              <w:numPr>
                <w:ilvl w:val="0"/>
                <w:numId w:val="40"/>
              </w:numPr>
              <w:spacing w:after="240" w:line="259" w:lineRule="auto"/>
              <w:contextualSpacing/>
              <w:cnfStyle w:val="000000000000" w:firstRow="0" w:lastRow="0" w:firstColumn="0" w:lastColumn="0" w:oddVBand="0" w:evenVBand="0" w:oddHBand="0" w:evenHBand="0" w:firstRowFirstColumn="0" w:firstRowLastColumn="0" w:lastRowFirstColumn="0" w:lastRowLastColumn="0"/>
              <w:rPr>
                <w:rFonts w:cstheme="minorHAnsi"/>
                <w:szCs w:val="24"/>
              </w:rPr>
            </w:pPr>
            <w:r w:rsidRPr="007C1B77">
              <w:t xml:space="preserve">Wykorzystanie istniejących </w:t>
            </w:r>
            <w:r>
              <w:t xml:space="preserve">uwarunkowań </w:t>
            </w:r>
            <w:r w:rsidRPr="007C1B77">
              <w:t>przyrodniczych i środowiska naturalnego w celu</w:t>
            </w:r>
            <w:r>
              <w:t xml:space="preserve"> wzmocnienia działan rozwojowych w wymiarze</w:t>
            </w:r>
            <w:r w:rsidRPr="007C1B77">
              <w:t xml:space="preserve"> </w:t>
            </w:r>
            <w:r>
              <w:t>gospodarczym</w:t>
            </w:r>
          </w:p>
        </w:tc>
      </w:tr>
      <w:tr w:rsidR="00C63C8A" w14:paraId="0B2353B4" w14:textId="77777777" w:rsidTr="00904B39">
        <w:tc>
          <w:tcPr>
            <w:cnfStyle w:val="001000000000" w:firstRow="0" w:lastRow="0" w:firstColumn="1" w:lastColumn="0" w:oddVBand="0" w:evenVBand="0" w:oddHBand="0" w:evenHBand="0" w:firstRowFirstColumn="0" w:firstRowLastColumn="0" w:lastRowFirstColumn="0" w:lastRowLastColumn="0"/>
            <w:tcW w:w="8926" w:type="dxa"/>
            <w:gridSpan w:val="2"/>
            <w:shd w:val="clear" w:color="auto" w:fill="BFBFBF" w:themeFill="background1" w:themeFillShade="BF"/>
            <w:vAlign w:val="top"/>
          </w:tcPr>
          <w:p w14:paraId="231C2E27" w14:textId="706DCB53" w:rsidR="00C63C8A" w:rsidRDefault="00C63C8A" w:rsidP="00EB6192">
            <w:pPr>
              <w:spacing w:line="259" w:lineRule="auto"/>
              <w:ind w:left="0"/>
              <w:contextualSpacing/>
              <w:rPr>
                <w:lang w:val="pl-PL"/>
              </w:rPr>
            </w:pPr>
            <w:r>
              <w:rPr>
                <w:lang w:val="pl-PL"/>
              </w:rPr>
              <w:t>Wymiar instytucjonalny</w:t>
            </w:r>
          </w:p>
        </w:tc>
      </w:tr>
      <w:tr w:rsidR="00C63C8A" w14:paraId="0AFCECB1" w14:textId="77777777" w:rsidTr="00904B39">
        <w:tc>
          <w:tcPr>
            <w:cnfStyle w:val="001000000000" w:firstRow="0" w:lastRow="0" w:firstColumn="1" w:lastColumn="0" w:oddVBand="0" w:evenVBand="0" w:oddHBand="0" w:evenHBand="0" w:firstRowFirstColumn="0" w:firstRowLastColumn="0" w:lastRowFirstColumn="0" w:lastRowLastColumn="0"/>
            <w:tcW w:w="4531" w:type="dxa"/>
            <w:shd w:val="clear" w:color="auto" w:fill="FFFFFF" w:themeFill="background1"/>
            <w:vAlign w:val="top"/>
          </w:tcPr>
          <w:p w14:paraId="73BC2992" w14:textId="77777777" w:rsidR="00C63C8A" w:rsidRPr="0085103A" w:rsidRDefault="00C63C8A" w:rsidP="00B063F0">
            <w:pPr>
              <w:pStyle w:val="elementgraficznytabela"/>
              <w:numPr>
                <w:ilvl w:val="0"/>
                <w:numId w:val="33"/>
              </w:numPr>
              <w:spacing w:after="240" w:line="259" w:lineRule="auto"/>
              <w:ind w:left="459" w:hanging="283"/>
              <w:contextualSpacing/>
              <w:rPr>
                <w:rFonts w:cstheme="minorHAnsi"/>
                <w:b w:val="0"/>
                <w:bCs/>
              </w:rPr>
            </w:pPr>
            <w:r w:rsidRPr="0085103A">
              <w:rPr>
                <w:rFonts w:cstheme="minorHAnsi"/>
                <w:b w:val="0"/>
                <w:bCs/>
              </w:rPr>
              <w:t>Brak systemu integracji baz danych</w:t>
            </w:r>
          </w:p>
          <w:p w14:paraId="1493BD67" w14:textId="77777777" w:rsidR="00C63C8A" w:rsidRPr="0085103A" w:rsidRDefault="00C63C8A" w:rsidP="00B063F0">
            <w:pPr>
              <w:pStyle w:val="elementgraficznytabela"/>
              <w:numPr>
                <w:ilvl w:val="0"/>
                <w:numId w:val="33"/>
              </w:numPr>
              <w:spacing w:after="240" w:line="259" w:lineRule="auto"/>
              <w:ind w:left="459" w:hanging="283"/>
              <w:contextualSpacing/>
              <w:rPr>
                <w:rFonts w:cstheme="minorHAnsi"/>
                <w:b w:val="0"/>
                <w:bCs/>
              </w:rPr>
            </w:pPr>
            <w:r w:rsidRPr="0085103A">
              <w:rPr>
                <w:rFonts w:cstheme="minorHAnsi"/>
                <w:b w:val="0"/>
                <w:bCs/>
              </w:rPr>
              <w:t>Brak integracji usług publicznych</w:t>
            </w:r>
          </w:p>
          <w:p w14:paraId="000ABA63" w14:textId="77777777" w:rsidR="00C63C8A" w:rsidRPr="00C63C8A" w:rsidRDefault="00C63C8A" w:rsidP="00B063F0">
            <w:pPr>
              <w:pStyle w:val="elementgraficznytabela"/>
              <w:numPr>
                <w:ilvl w:val="0"/>
                <w:numId w:val="33"/>
              </w:numPr>
              <w:spacing w:after="240" w:line="259" w:lineRule="auto"/>
              <w:ind w:left="459" w:hanging="283"/>
              <w:contextualSpacing/>
              <w:rPr>
                <w:rFonts w:cstheme="minorHAnsi"/>
                <w:b w:val="0"/>
                <w:bCs/>
              </w:rPr>
            </w:pPr>
            <w:r w:rsidRPr="0085103A">
              <w:rPr>
                <w:rFonts w:cstheme="minorHAnsi"/>
                <w:b w:val="0"/>
                <w:bCs/>
              </w:rPr>
              <w:t>Model kultury hierachicznej</w:t>
            </w:r>
          </w:p>
          <w:p w14:paraId="5AEA05CE" w14:textId="77777777" w:rsidR="00C11D0F" w:rsidRDefault="00C63C8A" w:rsidP="00B063F0">
            <w:pPr>
              <w:pStyle w:val="elementgraficznytabela"/>
              <w:numPr>
                <w:ilvl w:val="0"/>
                <w:numId w:val="33"/>
              </w:numPr>
              <w:spacing w:after="240" w:line="259" w:lineRule="auto"/>
              <w:ind w:left="459" w:hanging="283"/>
              <w:contextualSpacing/>
              <w:rPr>
                <w:rFonts w:cstheme="minorHAnsi"/>
              </w:rPr>
            </w:pPr>
            <w:r w:rsidRPr="00C63C8A">
              <w:rPr>
                <w:rFonts w:cstheme="minorHAnsi"/>
                <w:b w:val="0"/>
              </w:rPr>
              <w:t>Niewystarczająca efektywność Partnerstwa w korzystaniu z pojawiających się szans rozwojowyc</w:t>
            </w:r>
            <w:r w:rsidR="00C11D0F">
              <w:rPr>
                <w:rFonts w:cstheme="minorHAnsi"/>
                <w:b w:val="0"/>
              </w:rPr>
              <w:t>h</w:t>
            </w:r>
          </w:p>
          <w:p w14:paraId="2E92F601" w14:textId="102C5756" w:rsidR="00C11D0F" w:rsidRPr="00C11D0F" w:rsidRDefault="00C11D0F" w:rsidP="00B063F0">
            <w:pPr>
              <w:pStyle w:val="elementgraficznytabela"/>
              <w:numPr>
                <w:ilvl w:val="0"/>
                <w:numId w:val="33"/>
              </w:numPr>
              <w:spacing w:after="240" w:line="259" w:lineRule="auto"/>
              <w:ind w:left="459" w:hanging="283"/>
              <w:contextualSpacing/>
              <w:rPr>
                <w:rFonts w:cstheme="minorHAnsi"/>
                <w:b w:val="0"/>
                <w:bCs/>
              </w:rPr>
            </w:pPr>
            <w:r w:rsidRPr="00C11D0F">
              <w:rPr>
                <w:rFonts w:cstheme="minorHAnsi"/>
                <w:b w:val="0"/>
                <w:bCs/>
              </w:rPr>
              <w:t xml:space="preserve">Niekorzystny stan finansów publicznych </w:t>
            </w:r>
          </w:p>
          <w:p w14:paraId="654EE972" w14:textId="4123BFA3" w:rsidR="00C11D0F" w:rsidRPr="00C11D0F" w:rsidRDefault="00C11D0F" w:rsidP="00C11D0F">
            <w:pPr>
              <w:pStyle w:val="podpiselementu"/>
              <w:rPr>
                <w:lang w:val="pl-PL"/>
              </w:rPr>
            </w:pPr>
          </w:p>
        </w:tc>
        <w:tc>
          <w:tcPr>
            <w:tcW w:w="4395" w:type="dxa"/>
            <w:vAlign w:val="top"/>
          </w:tcPr>
          <w:p w14:paraId="6623FCC7" w14:textId="77777777" w:rsidR="00C63C8A" w:rsidRPr="0048693A" w:rsidRDefault="00C63C8A" w:rsidP="00B063F0">
            <w:pPr>
              <w:pStyle w:val="elementgraficznytabela"/>
              <w:numPr>
                <w:ilvl w:val="0"/>
                <w:numId w:val="32"/>
              </w:numPr>
              <w:spacing w:after="240" w:line="259" w:lineRule="auto"/>
              <w:contextualSpacing/>
              <w:cnfStyle w:val="000000000000" w:firstRow="0" w:lastRow="0" w:firstColumn="0" w:lastColumn="0" w:oddVBand="0" w:evenVBand="0" w:oddHBand="0" w:evenHBand="0" w:firstRowFirstColumn="0" w:firstRowLastColumn="0" w:lastRowFirstColumn="0" w:lastRowLastColumn="0"/>
              <w:rPr>
                <w:rFonts w:cstheme="minorHAnsi"/>
              </w:rPr>
            </w:pPr>
            <w:r w:rsidRPr="0048693A">
              <w:rPr>
                <w:rFonts w:cstheme="minorHAnsi"/>
              </w:rPr>
              <w:t>Zmiana kultury organizacyjnej (zwiększenie udziału typu kultury klanowej i adhokracyjnej)</w:t>
            </w:r>
          </w:p>
          <w:p w14:paraId="0DA53AFC" w14:textId="77777777" w:rsidR="00C63C8A" w:rsidRPr="0048693A" w:rsidRDefault="00C63C8A" w:rsidP="00B063F0">
            <w:pPr>
              <w:pStyle w:val="elementgraficznytabela"/>
              <w:numPr>
                <w:ilvl w:val="0"/>
                <w:numId w:val="32"/>
              </w:numPr>
              <w:spacing w:after="240" w:line="259" w:lineRule="auto"/>
              <w:contextualSpacing/>
              <w:cnfStyle w:val="000000000000" w:firstRow="0" w:lastRow="0" w:firstColumn="0" w:lastColumn="0" w:oddVBand="0" w:evenVBand="0" w:oddHBand="0" w:evenHBand="0" w:firstRowFirstColumn="0" w:firstRowLastColumn="0" w:lastRowFirstColumn="0" w:lastRowLastColumn="0"/>
              <w:rPr>
                <w:rFonts w:cstheme="minorHAnsi"/>
              </w:rPr>
            </w:pPr>
            <w:r w:rsidRPr="0048693A">
              <w:rPr>
                <w:rFonts w:cstheme="minorHAnsi"/>
              </w:rPr>
              <w:t>Utrzymanie silnego przywództwa</w:t>
            </w:r>
          </w:p>
          <w:p w14:paraId="16D47D1D" w14:textId="77777777" w:rsidR="00C63C8A" w:rsidRPr="0048693A" w:rsidRDefault="00C63C8A" w:rsidP="00B063F0">
            <w:pPr>
              <w:pStyle w:val="elementgraficznytabela"/>
              <w:numPr>
                <w:ilvl w:val="0"/>
                <w:numId w:val="32"/>
              </w:numPr>
              <w:spacing w:after="240" w:line="259" w:lineRule="auto"/>
              <w:contextualSpacing/>
              <w:cnfStyle w:val="000000000000" w:firstRow="0" w:lastRow="0" w:firstColumn="0" w:lastColumn="0" w:oddVBand="0" w:evenVBand="0" w:oddHBand="0" w:evenHBand="0" w:firstRowFirstColumn="0" w:firstRowLastColumn="0" w:lastRowFirstColumn="0" w:lastRowLastColumn="0"/>
              <w:rPr>
                <w:rFonts w:cstheme="minorHAnsi"/>
              </w:rPr>
            </w:pPr>
            <w:r w:rsidRPr="0048693A">
              <w:rPr>
                <w:rFonts w:cstheme="minorHAnsi"/>
              </w:rPr>
              <w:t>Realizacja przyjętej wizji rozwoju Partnerstwa niezależnie od zmian władz JST wchodzących w skald Partnerstwa lub władz Partnerstwa</w:t>
            </w:r>
          </w:p>
          <w:p w14:paraId="70D07169" w14:textId="77777777" w:rsidR="00C63C8A" w:rsidRPr="0048693A" w:rsidRDefault="00C63C8A" w:rsidP="00B063F0">
            <w:pPr>
              <w:pStyle w:val="elementgraficznytabela"/>
              <w:numPr>
                <w:ilvl w:val="0"/>
                <w:numId w:val="32"/>
              </w:numPr>
              <w:spacing w:after="240" w:line="259" w:lineRule="auto"/>
              <w:contextualSpacing/>
              <w:cnfStyle w:val="000000000000" w:firstRow="0" w:lastRow="0" w:firstColumn="0" w:lastColumn="0" w:oddVBand="0" w:evenVBand="0" w:oddHBand="0" w:evenHBand="0" w:firstRowFirstColumn="0" w:firstRowLastColumn="0" w:lastRowFirstColumn="0" w:lastRowLastColumn="0"/>
              <w:rPr>
                <w:rFonts w:cstheme="minorHAnsi"/>
              </w:rPr>
            </w:pPr>
            <w:r w:rsidRPr="0048693A">
              <w:rPr>
                <w:rFonts w:cstheme="minorHAnsi"/>
              </w:rPr>
              <w:t>Współpraca publiczno-publiczna</w:t>
            </w:r>
          </w:p>
          <w:p w14:paraId="61C0D10D" w14:textId="77777777" w:rsidR="00C63C8A" w:rsidRDefault="00C63C8A" w:rsidP="00B063F0">
            <w:pPr>
              <w:pStyle w:val="elementgraficznytabela"/>
              <w:numPr>
                <w:ilvl w:val="0"/>
                <w:numId w:val="32"/>
              </w:numPr>
              <w:spacing w:after="240" w:line="259" w:lineRule="auto"/>
              <w:contextualSpacing/>
              <w:cnfStyle w:val="000000000000" w:firstRow="0" w:lastRow="0" w:firstColumn="0" w:lastColumn="0" w:oddVBand="0" w:evenVBand="0" w:oddHBand="0" w:evenHBand="0" w:firstRowFirstColumn="0" w:firstRowLastColumn="0" w:lastRowFirstColumn="0" w:lastRowLastColumn="0"/>
              <w:rPr>
                <w:rFonts w:cstheme="minorHAnsi"/>
              </w:rPr>
            </w:pPr>
            <w:r w:rsidRPr="0048693A">
              <w:rPr>
                <w:rFonts w:cstheme="minorHAnsi"/>
              </w:rPr>
              <w:t>Integracja baz danych</w:t>
            </w:r>
          </w:p>
          <w:p w14:paraId="1F5E9814" w14:textId="69684F8D" w:rsidR="00C63C8A" w:rsidRPr="00C63C8A" w:rsidRDefault="00C63C8A" w:rsidP="00B063F0">
            <w:pPr>
              <w:pStyle w:val="elementgraficznytabela"/>
              <w:numPr>
                <w:ilvl w:val="0"/>
                <w:numId w:val="32"/>
              </w:numPr>
              <w:spacing w:after="240" w:line="259" w:lineRule="auto"/>
              <w:contextualSpacing/>
              <w:cnfStyle w:val="000000000000" w:firstRow="0" w:lastRow="0" w:firstColumn="0" w:lastColumn="0" w:oddVBand="0" w:evenVBand="0" w:oddHBand="0" w:evenHBand="0" w:firstRowFirstColumn="0" w:firstRowLastColumn="0" w:lastRowFirstColumn="0" w:lastRowLastColumn="0"/>
              <w:rPr>
                <w:rFonts w:cstheme="minorHAnsi"/>
              </w:rPr>
            </w:pPr>
            <w:r w:rsidRPr="00C63C8A">
              <w:rPr>
                <w:rFonts w:cstheme="minorHAnsi"/>
              </w:rPr>
              <w:t>Rozwój e-administracji</w:t>
            </w:r>
          </w:p>
        </w:tc>
      </w:tr>
    </w:tbl>
    <w:p w14:paraId="3EF081BD" w14:textId="77777777" w:rsidR="00761CB0" w:rsidRPr="00E473DC" w:rsidRDefault="00761CB0" w:rsidP="00733091">
      <w:pPr>
        <w:pStyle w:val="podpiselementu"/>
        <w:spacing w:after="240"/>
      </w:pPr>
      <w:r w:rsidRPr="00EE4DBD">
        <w:t>Źródło: opracowanie własne</w:t>
      </w:r>
      <w:r>
        <w:br/>
      </w:r>
    </w:p>
    <w:p w14:paraId="0C10AB0B" w14:textId="77777777" w:rsidR="00844583" w:rsidRDefault="00844583" w:rsidP="00733091">
      <w:pPr>
        <w:pStyle w:val="Nagwek2"/>
        <w:spacing w:before="120"/>
        <w:rPr>
          <w:lang w:val="pl-PL"/>
        </w:rPr>
      </w:pPr>
      <w:bookmarkStart w:id="177" w:name="_Toc69725457"/>
      <w:r>
        <w:rPr>
          <w:lang w:val="pl-PL"/>
        </w:rPr>
        <w:lastRenderedPageBreak/>
        <w:t>K</w:t>
      </w:r>
      <w:r w:rsidR="006B091D" w:rsidRPr="006B091D">
        <w:rPr>
          <w:lang w:val="pl-PL"/>
        </w:rPr>
        <w:t>ierunk</w:t>
      </w:r>
      <w:r>
        <w:rPr>
          <w:lang w:val="pl-PL"/>
        </w:rPr>
        <w:t>i</w:t>
      </w:r>
      <w:r w:rsidR="006B091D" w:rsidRPr="006B091D">
        <w:rPr>
          <w:lang w:val="pl-PL"/>
        </w:rPr>
        <w:t xml:space="preserve"> rozwojow</w:t>
      </w:r>
      <w:r>
        <w:rPr>
          <w:lang w:val="pl-PL"/>
        </w:rPr>
        <w:t>e</w:t>
      </w:r>
      <w:r w:rsidR="006B091D" w:rsidRPr="006B091D">
        <w:rPr>
          <w:lang w:val="pl-PL"/>
        </w:rPr>
        <w:t xml:space="preserve"> </w:t>
      </w:r>
      <w:r>
        <w:rPr>
          <w:lang w:val="pl-PL"/>
        </w:rPr>
        <w:t>Partnerstwa</w:t>
      </w:r>
      <w:bookmarkEnd w:id="177"/>
      <w:r>
        <w:rPr>
          <w:lang w:val="pl-PL"/>
        </w:rPr>
        <w:t xml:space="preserve"> </w:t>
      </w:r>
    </w:p>
    <w:p w14:paraId="1EC4A215" w14:textId="77777777" w:rsidR="00844583" w:rsidRPr="00176303" w:rsidRDefault="00844583" w:rsidP="007454E0">
      <w:pPr>
        <w:pStyle w:val="Nagwek3"/>
        <w:rPr>
          <w:lang w:val="pl-PL"/>
        </w:rPr>
      </w:pPr>
      <w:bookmarkStart w:id="178" w:name="_Toc69725458"/>
      <w:r w:rsidRPr="00176303">
        <w:rPr>
          <w:lang w:val="pl-PL"/>
        </w:rPr>
        <w:t>Potwierdzenie kierunków rozwojowych Partnerstwa przyjetych na etapie diagnozy</w:t>
      </w:r>
      <w:bookmarkEnd w:id="178"/>
      <w:r w:rsidRPr="00176303">
        <w:rPr>
          <w:lang w:val="pl-PL"/>
        </w:rPr>
        <w:t xml:space="preserve"> </w:t>
      </w:r>
    </w:p>
    <w:p w14:paraId="59EB9DDF" w14:textId="7D72F40D" w:rsidR="006B091D" w:rsidRDefault="006B091D" w:rsidP="00844583">
      <w:pPr>
        <w:pStyle w:val="Nagwek4"/>
        <w:numPr>
          <w:ilvl w:val="0"/>
          <w:numId w:val="0"/>
        </w:numPr>
        <w:ind w:left="851"/>
      </w:pPr>
      <w:r>
        <w:t xml:space="preserve"> </w:t>
      </w:r>
    </w:p>
    <w:p w14:paraId="3259A7AF" w14:textId="4E04629A" w:rsidR="00256F5F" w:rsidRPr="00256F5F" w:rsidRDefault="00256F5F" w:rsidP="00CA3C7E">
      <w:pPr>
        <w:rPr>
          <w:lang w:val="pl-PL"/>
        </w:rPr>
      </w:pPr>
      <w:r>
        <w:rPr>
          <w:lang w:val="pl-PL"/>
        </w:rPr>
        <w:t xml:space="preserve">Przeprowadzona diagnoza pogłębiona </w:t>
      </w:r>
      <w:r w:rsidR="00494C2D">
        <w:rPr>
          <w:lang w:val="pl-PL"/>
        </w:rPr>
        <w:t xml:space="preserve">obszaru Partnerstwa potwierdziła </w:t>
      </w:r>
      <w:r>
        <w:rPr>
          <w:lang w:val="pl-PL"/>
        </w:rPr>
        <w:t>zasadnoś</w:t>
      </w:r>
      <w:r w:rsidR="00494C2D">
        <w:rPr>
          <w:lang w:val="pl-PL"/>
        </w:rPr>
        <w:t>ć</w:t>
      </w:r>
      <w:r>
        <w:rPr>
          <w:lang w:val="pl-PL"/>
        </w:rPr>
        <w:t xml:space="preserve"> przyjętych </w:t>
      </w:r>
      <w:r w:rsidR="00494C2D">
        <w:rPr>
          <w:lang w:val="pl-PL"/>
        </w:rPr>
        <w:t>w początkowym etapie dialogu strategicznego kierunków rozwojowych. Przyjęte kierunki rozwojowe stanowią odpowiedź na większość zdiagnozowanych kluczowych problemów, wpływając bezpośrednio lub pośrednio na ich zniwelowanie. Ponadto ich realizacj</w:t>
      </w:r>
      <w:r w:rsidR="00CA3C7E">
        <w:rPr>
          <w:lang w:val="pl-PL"/>
        </w:rPr>
        <w:t xml:space="preserve">a </w:t>
      </w:r>
      <w:r w:rsidR="00494C2D">
        <w:rPr>
          <w:lang w:val="pl-PL"/>
        </w:rPr>
        <w:t>oprze się</w:t>
      </w:r>
      <w:r w:rsidR="00CA3C7E">
        <w:rPr>
          <w:lang w:val="pl-PL"/>
        </w:rPr>
        <w:t>/będzie wykorzystywać istniejące</w:t>
      </w:r>
      <w:r w:rsidR="00494C2D">
        <w:rPr>
          <w:lang w:val="pl-PL"/>
        </w:rPr>
        <w:t xml:space="preserve"> </w:t>
      </w:r>
      <w:r w:rsidR="00CA3C7E">
        <w:rPr>
          <w:lang w:val="pl-PL"/>
        </w:rPr>
        <w:t>potencjały (</w:t>
      </w:r>
      <w:r w:rsidR="005366A1">
        <w:rPr>
          <w:lang w:val="pl-PL"/>
        </w:rPr>
        <w:t xml:space="preserve">w tym </w:t>
      </w:r>
      <w:r w:rsidR="00CA3C7E">
        <w:rPr>
          <w:lang w:val="pl-PL"/>
        </w:rPr>
        <w:t>mocne strony)</w:t>
      </w:r>
      <w:r w:rsidR="005366A1">
        <w:rPr>
          <w:lang w:val="pl-PL"/>
        </w:rPr>
        <w:t xml:space="preserve"> Partnerstwa</w:t>
      </w:r>
      <w:r w:rsidR="00CA3C7E">
        <w:rPr>
          <w:lang w:val="pl-PL"/>
        </w:rPr>
        <w:t xml:space="preserve"> i szanse</w:t>
      </w:r>
      <w:r w:rsidR="005366A1">
        <w:rPr>
          <w:lang w:val="pl-PL"/>
        </w:rPr>
        <w:t xml:space="preserve"> (tabela poniżej).</w:t>
      </w:r>
      <w:r w:rsidR="00CA3C7E">
        <w:rPr>
          <w:lang w:val="pl-PL"/>
        </w:rPr>
        <w:t xml:space="preserve"> </w:t>
      </w:r>
      <w:r w:rsidR="00494C2D">
        <w:rPr>
          <w:lang w:val="pl-PL"/>
        </w:rPr>
        <w:t xml:space="preserve">  </w:t>
      </w:r>
    </w:p>
    <w:p w14:paraId="67C7599D" w14:textId="6AF96FEA" w:rsidR="00ED67FA" w:rsidRDefault="008004DC" w:rsidP="008004DC">
      <w:pPr>
        <w:pStyle w:val="Legenda"/>
        <w:rPr>
          <w:lang w:val="pl-PL"/>
        </w:rPr>
      </w:pPr>
      <w:bookmarkStart w:id="179" w:name="_Toc69723284"/>
      <w:r w:rsidRPr="00111213">
        <w:rPr>
          <w:lang w:val="pl-PL"/>
        </w:rPr>
        <w:t xml:space="preserve">Tabela </w:t>
      </w:r>
      <w:r>
        <w:fldChar w:fldCharType="begin"/>
      </w:r>
      <w:r w:rsidRPr="00111213">
        <w:rPr>
          <w:lang w:val="pl-PL"/>
        </w:rPr>
        <w:instrText xml:space="preserve"> SEQ Tabela \* ARABIC </w:instrText>
      </w:r>
      <w:r>
        <w:fldChar w:fldCharType="separate"/>
      </w:r>
      <w:r w:rsidR="00B14787">
        <w:rPr>
          <w:noProof/>
          <w:lang w:val="pl-PL"/>
        </w:rPr>
        <w:t>35</w:t>
      </w:r>
      <w:r>
        <w:rPr>
          <w:noProof/>
        </w:rPr>
        <w:fldChar w:fldCharType="end"/>
      </w:r>
      <w:r w:rsidRPr="00111213">
        <w:rPr>
          <w:lang w:val="pl-PL"/>
        </w:rPr>
        <w:t xml:space="preserve">: </w:t>
      </w:r>
      <w:r>
        <w:rPr>
          <w:lang w:val="pl-PL"/>
        </w:rPr>
        <w:t xml:space="preserve"> Zasadność przyjętych kierunków rozwojowych</w:t>
      </w:r>
      <w:bookmarkEnd w:id="179"/>
      <w:r>
        <w:rPr>
          <w:lang w:val="pl-PL"/>
        </w:rPr>
        <w:t xml:space="preserve"> </w:t>
      </w:r>
    </w:p>
    <w:tbl>
      <w:tblPr>
        <w:tblStyle w:val="CWD"/>
        <w:tblW w:w="8926" w:type="dxa"/>
        <w:tblLook w:val="04A0" w:firstRow="1" w:lastRow="0" w:firstColumn="1" w:lastColumn="0" w:noHBand="0" w:noVBand="1"/>
      </w:tblPr>
      <w:tblGrid>
        <w:gridCol w:w="1790"/>
        <w:gridCol w:w="3734"/>
        <w:gridCol w:w="3402"/>
      </w:tblGrid>
      <w:tr w:rsidR="002B3E61" w14:paraId="4DAEBFA2" w14:textId="77777777" w:rsidTr="002B3E61">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790" w:type="dxa"/>
          </w:tcPr>
          <w:p w14:paraId="165D8CFB" w14:textId="75E53980" w:rsidR="008004DC" w:rsidRDefault="008004DC" w:rsidP="006B091D">
            <w:pPr>
              <w:ind w:left="0"/>
              <w:rPr>
                <w:lang w:val="pl-PL"/>
              </w:rPr>
            </w:pPr>
            <w:r>
              <w:rPr>
                <w:lang w:val="pl-PL"/>
              </w:rPr>
              <w:t>Kierunek rozwojowy</w:t>
            </w:r>
          </w:p>
        </w:tc>
        <w:tc>
          <w:tcPr>
            <w:tcW w:w="3734" w:type="dxa"/>
          </w:tcPr>
          <w:p w14:paraId="1DF63428" w14:textId="0E1386FB" w:rsidR="008004DC" w:rsidRDefault="008004DC" w:rsidP="008004DC">
            <w:pPr>
              <w:ind w:left="0"/>
              <w:cnfStyle w:val="100000000000" w:firstRow="1" w:lastRow="0" w:firstColumn="0" w:lastColumn="0" w:oddVBand="0" w:evenVBand="0" w:oddHBand="0" w:evenHBand="0" w:firstRowFirstColumn="0" w:firstRowLastColumn="0" w:lastRowFirstColumn="0" w:lastRowLastColumn="0"/>
              <w:rPr>
                <w:lang w:val="pl-PL"/>
              </w:rPr>
            </w:pPr>
            <w:r>
              <w:rPr>
                <w:lang w:val="pl-PL"/>
              </w:rPr>
              <w:t xml:space="preserve">Problemy niwelowane </w:t>
            </w:r>
            <w:r w:rsidR="00BB034E">
              <w:rPr>
                <w:lang w:val="pl-PL"/>
              </w:rPr>
              <w:t xml:space="preserve">bezpośrednio lub pośrednio </w:t>
            </w:r>
            <w:r>
              <w:rPr>
                <w:lang w:val="pl-PL"/>
              </w:rPr>
              <w:t>poprzez realizację kierunków rozwojowych</w:t>
            </w:r>
          </w:p>
        </w:tc>
        <w:tc>
          <w:tcPr>
            <w:tcW w:w="3402" w:type="dxa"/>
          </w:tcPr>
          <w:p w14:paraId="093B9423" w14:textId="3F191A1E" w:rsidR="008004DC" w:rsidRDefault="008004DC" w:rsidP="008004DC">
            <w:pPr>
              <w:ind w:left="0"/>
              <w:cnfStyle w:val="100000000000" w:firstRow="1" w:lastRow="0" w:firstColumn="0" w:lastColumn="0" w:oddVBand="0" w:evenVBand="0" w:oddHBand="0" w:evenHBand="0" w:firstRowFirstColumn="0" w:firstRowLastColumn="0" w:lastRowFirstColumn="0" w:lastRowLastColumn="0"/>
              <w:rPr>
                <w:lang w:val="pl-PL"/>
              </w:rPr>
            </w:pPr>
            <w:r>
              <w:rPr>
                <w:lang w:val="pl-PL"/>
              </w:rPr>
              <w:t>Czynniki wspierające realizację kierunku</w:t>
            </w:r>
          </w:p>
        </w:tc>
      </w:tr>
      <w:tr w:rsidR="00844583" w:rsidRPr="00176303" w14:paraId="0DC318E3" w14:textId="77777777" w:rsidTr="002B3E61">
        <w:tc>
          <w:tcPr>
            <w:cnfStyle w:val="001000000000" w:firstRow="0" w:lastRow="0" w:firstColumn="1" w:lastColumn="0" w:oddVBand="0" w:evenVBand="0" w:oddHBand="0" w:evenHBand="0" w:firstRowFirstColumn="0" w:firstRowLastColumn="0" w:lastRowFirstColumn="0" w:lastRowLastColumn="0"/>
            <w:tcW w:w="1790" w:type="dxa"/>
          </w:tcPr>
          <w:p w14:paraId="7242F150" w14:textId="4C6371AE" w:rsidR="008004DC" w:rsidRDefault="008004DC" w:rsidP="006B091D">
            <w:pPr>
              <w:ind w:left="0"/>
              <w:rPr>
                <w:lang w:val="pl-PL"/>
              </w:rPr>
            </w:pPr>
            <w:r>
              <w:rPr>
                <w:lang w:val="pl-PL"/>
              </w:rPr>
              <w:t xml:space="preserve">Dostępny komunikacyjnie w wymiarze wewnętrznym i zewnętrznym obszar Partnerstwa </w:t>
            </w:r>
          </w:p>
        </w:tc>
        <w:tc>
          <w:tcPr>
            <w:tcW w:w="3734" w:type="dxa"/>
          </w:tcPr>
          <w:p w14:paraId="372CF65C" w14:textId="77777777" w:rsidR="00BB034E" w:rsidRPr="00BB034E" w:rsidRDefault="00BB034E" w:rsidP="00B063F0">
            <w:pPr>
              <w:pStyle w:val="elementgraficznytabela"/>
              <w:numPr>
                <w:ilvl w:val="0"/>
                <w:numId w:val="58"/>
              </w:numPr>
              <w:spacing w:after="240" w:line="259" w:lineRule="auto"/>
              <w:contextualSpacing/>
              <w:cnfStyle w:val="000000000000" w:firstRow="0" w:lastRow="0" w:firstColumn="0" w:lastColumn="0" w:oddVBand="0" w:evenVBand="0" w:oddHBand="0" w:evenHBand="0" w:firstRowFirstColumn="0" w:firstRowLastColumn="0" w:lastRowFirstColumn="0" w:lastRowLastColumn="0"/>
            </w:pPr>
            <w:r w:rsidRPr="00BB034E">
              <w:t>Niska dostępność komunikacyjna (w szczególności na obszarach peryferyjnych wewnętrznie)</w:t>
            </w:r>
          </w:p>
          <w:p w14:paraId="104E04EA" w14:textId="77777777" w:rsidR="00BB034E" w:rsidRPr="00BB034E" w:rsidRDefault="00BB034E" w:rsidP="00B063F0">
            <w:pPr>
              <w:pStyle w:val="elementgraficznytabela"/>
              <w:numPr>
                <w:ilvl w:val="0"/>
                <w:numId w:val="58"/>
              </w:numPr>
              <w:spacing w:after="240" w:line="259" w:lineRule="auto"/>
              <w:contextualSpacing/>
              <w:cnfStyle w:val="000000000000" w:firstRow="0" w:lastRow="0" w:firstColumn="0" w:lastColumn="0" w:oddVBand="0" w:evenVBand="0" w:oddHBand="0" w:evenHBand="0" w:firstRowFirstColumn="0" w:firstRowLastColumn="0" w:lastRowFirstColumn="0" w:lastRowLastColumn="0"/>
            </w:pPr>
            <w:r w:rsidRPr="00BB034E">
              <w:t>Niski poziom integracji mieszkańców</w:t>
            </w:r>
          </w:p>
          <w:p w14:paraId="19127536" w14:textId="094B7456" w:rsidR="00BB034E" w:rsidRPr="00BB034E" w:rsidRDefault="00BB034E" w:rsidP="00B063F0">
            <w:pPr>
              <w:pStyle w:val="elementgraficznytabela"/>
              <w:numPr>
                <w:ilvl w:val="0"/>
                <w:numId w:val="58"/>
              </w:numPr>
              <w:spacing w:after="240" w:line="259" w:lineRule="auto"/>
              <w:contextualSpacing/>
              <w:cnfStyle w:val="000000000000" w:firstRow="0" w:lastRow="0" w:firstColumn="0" w:lastColumn="0" w:oddVBand="0" w:evenVBand="0" w:oddHBand="0" w:evenHBand="0" w:firstRowFirstColumn="0" w:firstRowLastColumn="0" w:lastRowFirstColumn="0" w:lastRowLastColumn="0"/>
              <w:rPr>
                <w:rFonts w:cstheme="minorHAnsi"/>
              </w:rPr>
            </w:pPr>
            <w:r w:rsidRPr="00BB034E">
              <w:rPr>
                <w:rFonts w:cstheme="minorHAnsi"/>
              </w:rPr>
              <w:t xml:space="preserve">Brak synergii między rynkiem pracy a rynkiem edukacji </w:t>
            </w:r>
          </w:p>
          <w:p w14:paraId="75C33AEA" w14:textId="10960EA0" w:rsidR="00BB034E" w:rsidRDefault="00BB034E" w:rsidP="00B063F0">
            <w:pPr>
              <w:pStyle w:val="elementgraficznytabela"/>
              <w:numPr>
                <w:ilvl w:val="0"/>
                <w:numId w:val="58"/>
              </w:numPr>
              <w:spacing w:after="240" w:line="259" w:lineRule="auto"/>
              <w:contextualSpacing/>
              <w:cnfStyle w:val="000000000000" w:firstRow="0" w:lastRow="0" w:firstColumn="0" w:lastColumn="0" w:oddVBand="0" w:evenVBand="0" w:oddHBand="0" w:evenHBand="0" w:firstRowFirstColumn="0" w:firstRowLastColumn="0" w:lastRowFirstColumn="0" w:lastRowLastColumn="0"/>
            </w:pPr>
            <w:r w:rsidRPr="00BB034E">
              <w:t>Niepełne wykorzystanie uwarunkowań przyrodniczych dla prowadzenia działań rozwojowych</w:t>
            </w:r>
          </w:p>
          <w:p w14:paraId="0D308446" w14:textId="4DC6FD98" w:rsidR="008004DC" w:rsidRPr="002B3E61" w:rsidRDefault="00C11D0F" w:rsidP="00B063F0">
            <w:pPr>
              <w:pStyle w:val="elementgraficznytabela"/>
              <w:numPr>
                <w:ilvl w:val="0"/>
                <w:numId w:val="58"/>
              </w:numPr>
              <w:spacing w:after="240" w:line="259" w:lineRule="auto"/>
              <w:contextualSpacing/>
              <w:cnfStyle w:val="000000000000" w:firstRow="0" w:lastRow="0" w:firstColumn="0" w:lastColumn="0" w:oddVBand="0" w:evenVBand="0" w:oddHBand="0" w:evenHBand="0" w:firstRowFirstColumn="0" w:firstRowLastColumn="0" w:lastRowFirstColumn="0" w:lastRowLastColumn="0"/>
              <w:rPr>
                <w:rFonts w:cstheme="minorHAnsi"/>
              </w:rPr>
            </w:pPr>
            <w:r w:rsidRPr="00C11D0F">
              <w:rPr>
                <w:rFonts w:cstheme="minorHAnsi"/>
              </w:rPr>
              <w:t>Brak integracji usług publicznyc</w:t>
            </w:r>
            <w:r w:rsidR="002B3E61">
              <w:rPr>
                <w:rFonts w:cstheme="minorHAnsi"/>
              </w:rPr>
              <w:t>h</w:t>
            </w:r>
          </w:p>
        </w:tc>
        <w:tc>
          <w:tcPr>
            <w:tcW w:w="3402" w:type="dxa"/>
          </w:tcPr>
          <w:p w14:paraId="57002B09" w14:textId="026284A0" w:rsidR="008004DC" w:rsidRDefault="008004DC" w:rsidP="00B063F0">
            <w:pPr>
              <w:pStyle w:val="Akapitzlist"/>
              <w:numPr>
                <w:ilvl w:val="0"/>
                <w:numId w:val="59"/>
              </w:numPr>
              <w:ind w:left="179" w:firstLine="0"/>
              <w:cnfStyle w:val="000000000000" w:firstRow="0" w:lastRow="0" w:firstColumn="0" w:lastColumn="0" w:oddVBand="0" w:evenVBand="0" w:oddHBand="0" w:evenHBand="0" w:firstRowFirstColumn="0" w:firstRowLastColumn="0" w:lastRowFirstColumn="0" w:lastRowLastColumn="0"/>
              <w:rPr>
                <w:lang w:val="pl-PL"/>
              </w:rPr>
            </w:pPr>
            <w:r>
              <w:rPr>
                <w:lang w:val="pl-PL"/>
              </w:rPr>
              <w:t xml:space="preserve">Istniejąca infrastruktura drogowa </w:t>
            </w:r>
          </w:p>
          <w:p w14:paraId="1886AC05" w14:textId="7223D5B8" w:rsidR="002B3E61" w:rsidRDefault="002B3E61" w:rsidP="00B063F0">
            <w:pPr>
              <w:pStyle w:val="Akapitzlist"/>
              <w:numPr>
                <w:ilvl w:val="0"/>
                <w:numId w:val="59"/>
              </w:numPr>
              <w:ind w:left="179" w:firstLine="0"/>
              <w:cnfStyle w:val="000000000000" w:firstRow="0" w:lastRow="0" w:firstColumn="0" w:lastColumn="0" w:oddVBand="0" w:evenVBand="0" w:oddHBand="0" w:evenHBand="0" w:firstRowFirstColumn="0" w:firstRowLastColumn="0" w:lastRowFirstColumn="0" w:lastRowLastColumn="0"/>
              <w:rPr>
                <w:lang w:val="pl-PL"/>
              </w:rPr>
            </w:pPr>
            <w:r>
              <w:rPr>
                <w:lang w:val="pl-PL"/>
              </w:rPr>
              <w:t>Istniejąca infrastruktura wypoczynkowo-rekreacyjna (w tym scieżki rowerowe)</w:t>
            </w:r>
          </w:p>
          <w:p w14:paraId="43BEE4BC" w14:textId="060E2A42" w:rsidR="002B3E61" w:rsidRDefault="002B3E61" w:rsidP="00B063F0">
            <w:pPr>
              <w:pStyle w:val="Akapitzlist"/>
              <w:numPr>
                <w:ilvl w:val="0"/>
                <w:numId w:val="59"/>
              </w:numPr>
              <w:ind w:left="179" w:firstLine="0"/>
              <w:cnfStyle w:val="000000000000" w:firstRow="0" w:lastRow="0" w:firstColumn="0" w:lastColumn="0" w:oddVBand="0" w:evenVBand="0" w:oddHBand="0" w:evenHBand="0" w:firstRowFirstColumn="0" w:firstRowLastColumn="0" w:lastRowFirstColumn="0" w:lastRowLastColumn="0"/>
              <w:rPr>
                <w:lang w:val="pl-PL"/>
              </w:rPr>
            </w:pPr>
            <w:r>
              <w:rPr>
                <w:lang w:val="pl-PL"/>
              </w:rPr>
              <w:t>Połączenia komunikacyjne (sieć drogowa, lotnicze)</w:t>
            </w:r>
          </w:p>
          <w:p w14:paraId="6877D28F" w14:textId="0B5E63F8" w:rsidR="00937BF8" w:rsidRDefault="00937BF8" w:rsidP="00B063F0">
            <w:pPr>
              <w:pStyle w:val="Akapitzlist"/>
              <w:numPr>
                <w:ilvl w:val="0"/>
                <w:numId w:val="59"/>
              </w:numPr>
              <w:ind w:left="179" w:firstLine="0"/>
              <w:cnfStyle w:val="000000000000" w:firstRow="0" w:lastRow="0" w:firstColumn="0" w:lastColumn="0" w:oddVBand="0" w:evenVBand="0" w:oddHBand="0" w:evenHBand="0" w:firstRowFirstColumn="0" w:firstRowLastColumn="0" w:lastRowFirstColumn="0" w:lastRowLastColumn="0"/>
              <w:rPr>
                <w:lang w:val="pl-PL"/>
              </w:rPr>
            </w:pPr>
            <w:r>
              <w:rPr>
                <w:lang w:val="pl-PL"/>
              </w:rPr>
              <w:t xml:space="preserve">Dostępność środków zewnętrznych na finansowanie </w:t>
            </w:r>
            <w:r w:rsidR="005366A1">
              <w:rPr>
                <w:lang w:val="pl-PL"/>
              </w:rPr>
              <w:t xml:space="preserve">niektórych </w:t>
            </w:r>
            <w:r>
              <w:rPr>
                <w:lang w:val="pl-PL"/>
              </w:rPr>
              <w:t xml:space="preserve">zamierzeń </w:t>
            </w:r>
          </w:p>
          <w:p w14:paraId="194F2ECC" w14:textId="48F3E9A4" w:rsidR="008004DC" w:rsidRPr="008004DC" w:rsidRDefault="008004DC" w:rsidP="002B3E61">
            <w:pPr>
              <w:ind w:left="179"/>
              <w:cnfStyle w:val="000000000000" w:firstRow="0" w:lastRow="0" w:firstColumn="0" w:lastColumn="0" w:oddVBand="0" w:evenVBand="0" w:oddHBand="0" w:evenHBand="0" w:firstRowFirstColumn="0" w:firstRowLastColumn="0" w:lastRowFirstColumn="0" w:lastRowLastColumn="0"/>
              <w:rPr>
                <w:lang w:val="pl-PL"/>
              </w:rPr>
            </w:pPr>
            <w:r w:rsidRPr="008004DC">
              <w:rPr>
                <w:lang w:val="pl-PL"/>
              </w:rPr>
              <w:t xml:space="preserve"> </w:t>
            </w:r>
          </w:p>
        </w:tc>
      </w:tr>
      <w:tr w:rsidR="00844583" w:rsidRPr="00176303" w14:paraId="3D25FF70" w14:textId="77777777" w:rsidTr="002B3E61">
        <w:tc>
          <w:tcPr>
            <w:cnfStyle w:val="001000000000" w:firstRow="0" w:lastRow="0" w:firstColumn="1" w:lastColumn="0" w:oddVBand="0" w:evenVBand="0" w:oddHBand="0" w:evenHBand="0" w:firstRowFirstColumn="0" w:firstRowLastColumn="0" w:lastRowFirstColumn="0" w:lastRowLastColumn="0"/>
            <w:tcW w:w="1790" w:type="dxa"/>
          </w:tcPr>
          <w:p w14:paraId="204A64F9" w14:textId="4C8978A6" w:rsidR="008004DC" w:rsidRPr="008004DC" w:rsidRDefault="008004DC" w:rsidP="008004DC">
            <w:pPr>
              <w:ind w:left="0"/>
              <w:rPr>
                <w:bCs/>
                <w:lang w:val="pl-PL"/>
              </w:rPr>
            </w:pPr>
            <w:r w:rsidRPr="008004DC">
              <w:rPr>
                <w:bCs/>
                <w:lang w:val="pl-PL"/>
              </w:rPr>
              <w:lastRenderedPageBreak/>
              <w:t xml:space="preserve">Konkurencyjna gospodarka oparta na endogennych potencjałach Partnerstwa  </w:t>
            </w:r>
          </w:p>
          <w:p w14:paraId="109E689A" w14:textId="77777777" w:rsidR="008004DC" w:rsidRDefault="008004DC" w:rsidP="006B091D">
            <w:pPr>
              <w:ind w:left="0"/>
              <w:rPr>
                <w:lang w:val="pl-PL"/>
              </w:rPr>
            </w:pPr>
          </w:p>
        </w:tc>
        <w:tc>
          <w:tcPr>
            <w:tcW w:w="3734" w:type="dxa"/>
            <w:vAlign w:val="top"/>
          </w:tcPr>
          <w:p w14:paraId="633FF45A" w14:textId="77777777" w:rsidR="00BB034E" w:rsidRPr="00CA3C7E" w:rsidRDefault="00BB034E" w:rsidP="00B063F0">
            <w:pPr>
              <w:pStyle w:val="elementgraficznytabela"/>
              <w:numPr>
                <w:ilvl w:val="0"/>
                <w:numId w:val="60"/>
              </w:numPr>
              <w:spacing w:after="240" w:line="259" w:lineRule="auto"/>
              <w:contextualSpacing/>
              <w:cnfStyle w:val="000000000000" w:firstRow="0" w:lastRow="0" w:firstColumn="0" w:lastColumn="0" w:oddVBand="0" w:evenVBand="0" w:oddHBand="0" w:evenHBand="0" w:firstRowFirstColumn="0" w:firstRowLastColumn="0" w:lastRowFirstColumn="0" w:lastRowLastColumn="0"/>
              <w:rPr>
                <w:rFonts w:cstheme="minorHAnsi"/>
                <w:bCs/>
              </w:rPr>
            </w:pPr>
            <w:r w:rsidRPr="00CA3C7E">
              <w:rPr>
                <w:bCs/>
              </w:rPr>
              <w:t>Niski poziom aktywności mieszkanców</w:t>
            </w:r>
          </w:p>
          <w:p w14:paraId="278DFB96" w14:textId="77777777" w:rsidR="00BB034E" w:rsidRPr="00CA3C7E" w:rsidRDefault="00BB034E" w:rsidP="00B063F0">
            <w:pPr>
              <w:pStyle w:val="elementgraficznytabela"/>
              <w:numPr>
                <w:ilvl w:val="0"/>
                <w:numId w:val="60"/>
              </w:numPr>
              <w:spacing w:after="240" w:line="259" w:lineRule="auto"/>
              <w:contextualSpacing/>
              <w:cnfStyle w:val="000000000000" w:firstRow="0" w:lastRow="0" w:firstColumn="0" w:lastColumn="0" w:oddVBand="0" w:evenVBand="0" w:oddHBand="0" w:evenHBand="0" w:firstRowFirstColumn="0" w:firstRowLastColumn="0" w:lastRowFirstColumn="0" w:lastRowLastColumn="0"/>
              <w:rPr>
                <w:rFonts w:cstheme="minorHAnsi"/>
                <w:bCs/>
              </w:rPr>
            </w:pPr>
            <w:r w:rsidRPr="00CA3C7E">
              <w:rPr>
                <w:rFonts w:cstheme="minorHAnsi"/>
                <w:bCs/>
              </w:rPr>
              <w:t>Niski poziom przedsiębiorczości</w:t>
            </w:r>
          </w:p>
          <w:p w14:paraId="639877C1" w14:textId="539CF474" w:rsidR="00C11D0F" w:rsidRPr="00C11D0F" w:rsidRDefault="00BB034E" w:rsidP="00B063F0">
            <w:pPr>
              <w:pStyle w:val="elementgraficznytabela"/>
              <w:numPr>
                <w:ilvl w:val="0"/>
                <w:numId w:val="60"/>
              </w:numPr>
              <w:spacing w:after="240" w:line="259" w:lineRule="auto"/>
              <w:contextualSpacing/>
              <w:cnfStyle w:val="000000000000" w:firstRow="0" w:lastRow="0" w:firstColumn="0" w:lastColumn="0" w:oddVBand="0" w:evenVBand="0" w:oddHBand="0" w:evenHBand="0" w:firstRowFirstColumn="0" w:firstRowLastColumn="0" w:lastRowFirstColumn="0" w:lastRowLastColumn="0"/>
              <w:rPr>
                <w:rFonts w:cstheme="minorHAnsi"/>
                <w:bCs/>
              </w:rPr>
            </w:pPr>
            <w:r w:rsidRPr="00CA3C7E">
              <w:rPr>
                <w:bCs/>
              </w:rPr>
              <w:t>Niepełne wykorzystanie uwarunkowań przyrodniczych dla prowadzenia działań rozwojowych</w:t>
            </w:r>
            <w:r w:rsidRPr="00CA3C7E">
              <w:rPr>
                <w:rFonts w:cstheme="minorHAnsi"/>
                <w:bCs/>
              </w:rPr>
              <w:t xml:space="preserve"> </w:t>
            </w:r>
          </w:p>
          <w:p w14:paraId="62219884" w14:textId="77777777" w:rsidR="00C11D0F" w:rsidRDefault="00BB034E" w:rsidP="00B063F0">
            <w:pPr>
              <w:pStyle w:val="elementgraficznytabela"/>
              <w:numPr>
                <w:ilvl w:val="0"/>
                <w:numId w:val="60"/>
              </w:numPr>
              <w:spacing w:after="240" w:line="259" w:lineRule="auto"/>
              <w:contextualSpacing/>
              <w:cnfStyle w:val="000000000000" w:firstRow="0" w:lastRow="0" w:firstColumn="0" w:lastColumn="0" w:oddVBand="0" w:evenVBand="0" w:oddHBand="0" w:evenHBand="0" w:firstRowFirstColumn="0" w:firstRowLastColumn="0" w:lastRowFirstColumn="0" w:lastRowLastColumn="0"/>
              <w:rPr>
                <w:rFonts w:cstheme="minorHAnsi"/>
                <w:bCs/>
              </w:rPr>
            </w:pPr>
            <w:r w:rsidRPr="00CA3C7E">
              <w:rPr>
                <w:rFonts w:cstheme="minorHAnsi"/>
                <w:bCs/>
              </w:rPr>
              <w:t>Brak synergii między rynkiem pracy a rynkiem edukacji</w:t>
            </w:r>
          </w:p>
          <w:p w14:paraId="4B18AB9B" w14:textId="3739347B" w:rsidR="00BB034E" w:rsidRPr="00C11D0F" w:rsidRDefault="00C11D0F" w:rsidP="00B063F0">
            <w:pPr>
              <w:pStyle w:val="elementgraficznytabela"/>
              <w:numPr>
                <w:ilvl w:val="0"/>
                <w:numId w:val="60"/>
              </w:numPr>
              <w:spacing w:after="240" w:line="259" w:lineRule="auto"/>
              <w:contextualSpacing/>
              <w:cnfStyle w:val="000000000000" w:firstRow="0" w:lastRow="0" w:firstColumn="0" w:lastColumn="0" w:oddVBand="0" w:evenVBand="0" w:oddHBand="0" w:evenHBand="0" w:firstRowFirstColumn="0" w:firstRowLastColumn="0" w:lastRowFirstColumn="0" w:lastRowLastColumn="0"/>
              <w:rPr>
                <w:rFonts w:cstheme="minorHAnsi"/>
              </w:rPr>
            </w:pPr>
            <w:r w:rsidRPr="00C11D0F">
              <w:rPr>
                <w:rFonts w:cstheme="minorHAnsi"/>
              </w:rPr>
              <w:t>Brak integracji usług publicznych</w:t>
            </w:r>
            <w:r w:rsidR="00BB034E" w:rsidRPr="00C11D0F">
              <w:rPr>
                <w:rFonts w:cstheme="minorHAnsi"/>
              </w:rPr>
              <w:t xml:space="preserve"> </w:t>
            </w:r>
          </w:p>
          <w:p w14:paraId="2EDB0489" w14:textId="77777777" w:rsidR="00C11D0F" w:rsidRDefault="00BB034E" w:rsidP="00B063F0">
            <w:pPr>
              <w:pStyle w:val="elementgraficznytabela"/>
              <w:numPr>
                <w:ilvl w:val="0"/>
                <w:numId w:val="60"/>
              </w:numPr>
              <w:spacing w:after="240" w:line="259" w:lineRule="auto"/>
              <w:contextualSpacing/>
              <w:cnfStyle w:val="000000000000" w:firstRow="0" w:lastRow="0" w:firstColumn="0" w:lastColumn="0" w:oddVBand="0" w:evenVBand="0" w:oddHBand="0" w:evenHBand="0" w:firstRowFirstColumn="0" w:firstRowLastColumn="0" w:lastRowFirstColumn="0" w:lastRowLastColumn="0"/>
              <w:rPr>
                <w:rFonts w:cstheme="minorHAnsi"/>
                <w:bCs/>
              </w:rPr>
            </w:pPr>
            <w:r w:rsidRPr="00CA3C7E">
              <w:rPr>
                <w:rFonts w:cstheme="minorHAnsi"/>
                <w:bCs/>
              </w:rPr>
              <w:t>Nieodpowiadajacy oczekiwaniom pracowników rynek pracy</w:t>
            </w:r>
          </w:p>
          <w:p w14:paraId="5A3B6E0E" w14:textId="0599814E" w:rsidR="00C11D0F" w:rsidRPr="00C11D0F" w:rsidRDefault="00C11D0F" w:rsidP="00B063F0">
            <w:pPr>
              <w:pStyle w:val="elementgraficznytabela"/>
              <w:numPr>
                <w:ilvl w:val="0"/>
                <w:numId w:val="60"/>
              </w:numPr>
              <w:spacing w:after="240" w:line="259" w:lineRule="auto"/>
              <w:contextualSpacing/>
              <w:cnfStyle w:val="000000000000" w:firstRow="0" w:lastRow="0" w:firstColumn="0" w:lastColumn="0" w:oddVBand="0" w:evenVBand="0" w:oddHBand="0" w:evenHBand="0" w:firstRowFirstColumn="0" w:firstRowLastColumn="0" w:lastRowFirstColumn="0" w:lastRowLastColumn="0"/>
              <w:rPr>
                <w:rFonts w:cstheme="minorHAnsi"/>
              </w:rPr>
            </w:pPr>
            <w:r w:rsidRPr="00C11D0F">
              <w:rPr>
                <w:rFonts w:cstheme="minorHAnsi"/>
              </w:rPr>
              <w:t xml:space="preserve">Niekorzystny stan finansów publicznych </w:t>
            </w:r>
            <w:r w:rsidR="00BB034E" w:rsidRPr="00C11D0F">
              <w:rPr>
                <w:rFonts w:cstheme="minorHAnsi"/>
              </w:rPr>
              <w:t xml:space="preserve"> </w:t>
            </w:r>
          </w:p>
          <w:p w14:paraId="281F8EE6" w14:textId="429F4DAD" w:rsidR="008004DC" w:rsidRPr="002B3E61" w:rsidRDefault="00C11D0F" w:rsidP="00B063F0">
            <w:pPr>
              <w:pStyle w:val="elementgraficznytabela"/>
              <w:numPr>
                <w:ilvl w:val="0"/>
                <w:numId w:val="60"/>
              </w:numPr>
              <w:spacing w:after="240" w:line="259" w:lineRule="auto"/>
              <w:contextualSpacing/>
              <w:cnfStyle w:val="000000000000" w:firstRow="0" w:lastRow="0" w:firstColumn="0" w:lastColumn="0" w:oddVBand="0" w:evenVBand="0" w:oddHBand="0" w:evenHBand="0" w:firstRowFirstColumn="0" w:firstRowLastColumn="0" w:lastRowFirstColumn="0" w:lastRowLastColumn="0"/>
            </w:pPr>
            <w:r w:rsidRPr="00C11D0F">
              <w:t xml:space="preserve">Niski poziom </w:t>
            </w:r>
            <w:r>
              <w:t>potencjału</w:t>
            </w:r>
            <w:r w:rsidRPr="00C11D0F">
              <w:t xml:space="preserve"> ekonomiczne</w:t>
            </w:r>
            <w:r>
              <w:t>go</w:t>
            </w:r>
            <w:r w:rsidRPr="00C11D0F">
              <w:t xml:space="preserve"> mieszkańców</w:t>
            </w:r>
          </w:p>
        </w:tc>
        <w:tc>
          <w:tcPr>
            <w:tcW w:w="3402" w:type="dxa"/>
            <w:vAlign w:val="top"/>
          </w:tcPr>
          <w:p w14:paraId="13D9B154" w14:textId="2D86AE8D" w:rsidR="00C11D0F" w:rsidRDefault="00C11D0F" w:rsidP="00B063F0">
            <w:pPr>
              <w:pStyle w:val="elementgraficznytabela"/>
              <w:numPr>
                <w:ilvl w:val="0"/>
                <w:numId w:val="62"/>
              </w:numPr>
              <w:spacing w:after="240" w:line="259" w:lineRule="auto"/>
              <w:ind w:left="179" w:firstLine="0"/>
              <w:contextualSpacing/>
              <w:cnfStyle w:val="000000000000" w:firstRow="0" w:lastRow="0" w:firstColumn="0" w:lastColumn="0" w:oddVBand="0" w:evenVBand="0" w:oddHBand="0" w:evenHBand="0" w:firstRowFirstColumn="0" w:firstRowLastColumn="0" w:lastRowFirstColumn="0" w:lastRowLastColumn="0"/>
              <w:rPr>
                <w:rFonts w:cstheme="minorHAnsi"/>
                <w:szCs w:val="24"/>
              </w:rPr>
            </w:pPr>
            <w:r w:rsidRPr="004859BA">
              <w:rPr>
                <w:rFonts w:cstheme="minorHAnsi"/>
                <w:szCs w:val="24"/>
              </w:rPr>
              <w:t>Istniejące powiązania gospodarcze wewnątrz</w:t>
            </w:r>
            <w:r w:rsidR="002B3E61">
              <w:rPr>
                <w:rFonts w:cstheme="minorHAnsi"/>
                <w:szCs w:val="24"/>
              </w:rPr>
              <w:t xml:space="preserve"> </w:t>
            </w:r>
            <w:r w:rsidRPr="004859BA">
              <w:rPr>
                <w:rFonts w:cstheme="minorHAnsi"/>
                <w:szCs w:val="24"/>
              </w:rPr>
              <w:t>obszaru</w:t>
            </w:r>
          </w:p>
          <w:p w14:paraId="5B3D7926" w14:textId="3B618D54" w:rsidR="002B3E61" w:rsidRPr="00937BF8" w:rsidRDefault="002B3E61" w:rsidP="00B063F0">
            <w:pPr>
              <w:pStyle w:val="podpiselementu"/>
              <w:numPr>
                <w:ilvl w:val="0"/>
                <w:numId w:val="62"/>
              </w:numPr>
              <w:spacing w:after="240" w:line="259" w:lineRule="auto"/>
              <w:contextualSpacing/>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pl-PL"/>
              </w:rPr>
            </w:pPr>
            <w:r w:rsidRPr="00937BF8">
              <w:rPr>
                <w:rFonts w:asciiTheme="minorHAnsi" w:hAnsiTheme="minorHAnsi" w:cstheme="minorHAnsi"/>
                <w:lang w:val="pl-PL"/>
              </w:rPr>
              <w:t>Wielokulturowość i dziedzictwo Warmii i Mazur</w:t>
            </w:r>
          </w:p>
          <w:p w14:paraId="5E698848" w14:textId="77777777" w:rsidR="002B3E61" w:rsidRDefault="002B3E61" w:rsidP="00B063F0">
            <w:pPr>
              <w:pStyle w:val="Akapitzlist"/>
              <w:numPr>
                <w:ilvl w:val="0"/>
                <w:numId w:val="62"/>
              </w:numPr>
              <w:spacing w:line="259" w:lineRule="auto"/>
              <w:ind w:left="179" w:firstLine="0"/>
              <w:cnfStyle w:val="000000000000" w:firstRow="0" w:lastRow="0" w:firstColumn="0" w:lastColumn="0" w:oddVBand="0" w:evenVBand="0" w:oddHBand="0" w:evenHBand="0" w:firstRowFirstColumn="0" w:firstRowLastColumn="0" w:lastRowFirstColumn="0" w:lastRowLastColumn="0"/>
              <w:rPr>
                <w:lang w:val="pl-PL"/>
              </w:rPr>
            </w:pPr>
            <w:r>
              <w:rPr>
                <w:lang w:val="pl-PL"/>
              </w:rPr>
              <w:t xml:space="preserve">Zabytki i pomniki przyrody </w:t>
            </w:r>
          </w:p>
          <w:p w14:paraId="57EA6580" w14:textId="77777777" w:rsidR="002B3E61" w:rsidRDefault="002B3E61" w:rsidP="00B063F0">
            <w:pPr>
              <w:pStyle w:val="Akapitzlist"/>
              <w:numPr>
                <w:ilvl w:val="0"/>
                <w:numId w:val="62"/>
              </w:numPr>
              <w:spacing w:line="259" w:lineRule="auto"/>
              <w:ind w:left="179" w:firstLine="0"/>
              <w:cnfStyle w:val="000000000000" w:firstRow="0" w:lastRow="0" w:firstColumn="0" w:lastColumn="0" w:oddVBand="0" w:evenVBand="0" w:oddHBand="0" w:evenHBand="0" w:firstRowFirstColumn="0" w:firstRowLastColumn="0" w:lastRowFirstColumn="0" w:lastRowLastColumn="0"/>
              <w:rPr>
                <w:lang w:val="pl-PL"/>
              </w:rPr>
            </w:pPr>
            <w:r>
              <w:rPr>
                <w:lang w:val="pl-PL"/>
              </w:rPr>
              <w:t>Przestrzeń przyrodnicza i spędzania czasu wolnego</w:t>
            </w:r>
          </w:p>
          <w:p w14:paraId="7539D681" w14:textId="77777777" w:rsidR="002B3E61" w:rsidRDefault="002B3E61" w:rsidP="00B063F0">
            <w:pPr>
              <w:pStyle w:val="Akapitzlist"/>
              <w:numPr>
                <w:ilvl w:val="0"/>
                <w:numId w:val="62"/>
              </w:numPr>
              <w:spacing w:line="259" w:lineRule="auto"/>
              <w:ind w:left="179" w:firstLine="0"/>
              <w:cnfStyle w:val="000000000000" w:firstRow="0" w:lastRow="0" w:firstColumn="0" w:lastColumn="0" w:oddVBand="0" w:evenVBand="0" w:oddHBand="0" w:evenHBand="0" w:firstRowFirstColumn="0" w:firstRowLastColumn="0" w:lastRowFirstColumn="0" w:lastRowLastColumn="0"/>
              <w:rPr>
                <w:lang w:val="pl-PL"/>
              </w:rPr>
            </w:pPr>
            <w:r>
              <w:rPr>
                <w:lang w:val="pl-PL"/>
              </w:rPr>
              <w:t>Istniejaca infrastruktura wypoczynkowo-rekreacyjna</w:t>
            </w:r>
          </w:p>
          <w:p w14:paraId="0C65886E" w14:textId="77777777" w:rsidR="002B3E61" w:rsidRDefault="002B3E61" w:rsidP="00B063F0">
            <w:pPr>
              <w:pStyle w:val="Akapitzlist"/>
              <w:numPr>
                <w:ilvl w:val="0"/>
                <w:numId w:val="62"/>
              </w:numPr>
              <w:spacing w:line="259" w:lineRule="auto"/>
              <w:ind w:left="179" w:firstLine="0"/>
              <w:cnfStyle w:val="000000000000" w:firstRow="0" w:lastRow="0" w:firstColumn="0" w:lastColumn="0" w:oddVBand="0" w:evenVBand="0" w:oddHBand="0" w:evenHBand="0" w:firstRowFirstColumn="0" w:firstRowLastColumn="0" w:lastRowFirstColumn="0" w:lastRowLastColumn="0"/>
              <w:rPr>
                <w:lang w:val="pl-PL"/>
              </w:rPr>
            </w:pPr>
            <w:r>
              <w:rPr>
                <w:lang w:val="pl-PL"/>
              </w:rPr>
              <w:t xml:space="preserve">Duża powierzchnia terenów zielonych </w:t>
            </w:r>
          </w:p>
          <w:p w14:paraId="6C248EBA" w14:textId="77777777" w:rsidR="002B3E61" w:rsidRDefault="002B3E61" w:rsidP="00B063F0">
            <w:pPr>
              <w:pStyle w:val="Akapitzlist"/>
              <w:numPr>
                <w:ilvl w:val="0"/>
                <w:numId w:val="62"/>
              </w:numPr>
              <w:spacing w:line="259" w:lineRule="auto"/>
              <w:ind w:left="179" w:firstLine="0"/>
              <w:cnfStyle w:val="000000000000" w:firstRow="0" w:lastRow="0" w:firstColumn="0" w:lastColumn="0" w:oddVBand="0" w:evenVBand="0" w:oddHBand="0" w:evenHBand="0" w:firstRowFirstColumn="0" w:firstRowLastColumn="0" w:lastRowFirstColumn="0" w:lastRowLastColumn="0"/>
              <w:rPr>
                <w:lang w:val="pl-PL"/>
              </w:rPr>
            </w:pPr>
            <w:r>
              <w:rPr>
                <w:lang w:val="pl-PL"/>
              </w:rPr>
              <w:t>Istniejąca sieć hydrologiczna Dobry stan środowiska naturalnego</w:t>
            </w:r>
          </w:p>
          <w:p w14:paraId="0D25D89E" w14:textId="77777777" w:rsidR="002B3E61" w:rsidRDefault="002B3E61" w:rsidP="00B063F0">
            <w:pPr>
              <w:pStyle w:val="Akapitzlist"/>
              <w:numPr>
                <w:ilvl w:val="0"/>
                <w:numId w:val="62"/>
              </w:numPr>
              <w:spacing w:line="259" w:lineRule="auto"/>
              <w:ind w:left="179" w:firstLine="0"/>
              <w:cnfStyle w:val="000000000000" w:firstRow="0" w:lastRow="0" w:firstColumn="0" w:lastColumn="0" w:oddVBand="0" w:evenVBand="0" w:oddHBand="0" w:evenHBand="0" w:firstRowFirstColumn="0" w:firstRowLastColumn="0" w:lastRowFirstColumn="0" w:lastRowLastColumn="0"/>
              <w:rPr>
                <w:lang w:val="pl-PL"/>
              </w:rPr>
            </w:pPr>
            <w:r>
              <w:rPr>
                <w:lang w:val="pl-PL"/>
              </w:rPr>
              <w:t>Rozwiniety sektor usługowy (w tym rozwijający się sektor  turystyczny)</w:t>
            </w:r>
          </w:p>
          <w:p w14:paraId="55FB8020" w14:textId="77777777" w:rsidR="00937BF8" w:rsidRDefault="00937BF8" w:rsidP="00B063F0">
            <w:pPr>
              <w:pStyle w:val="Akapitzlist"/>
              <w:numPr>
                <w:ilvl w:val="0"/>
                <w:numId w:val="62"/>
              </w:numPr>
              <w:spacing w:line="259" w:lineRule="auto"/>
              <w:ind w:left="179" w:firstLine="0"/>
              <w:cnfStyle w:val="000000000000" w:firstRow="0" w:lastRow="0" w:firstColumn="0" w:lastColumn="0" w:oddVBand="0" w:evenVBand="0" w:oddHBand="0" w:evenHBand="0" w:firstRowFirstColumn="0" w:firstRowLastColumn="0" w:lastRowFirstColumn="0" w:lastRowLastColumn="0"/>
              <w:rPr>
                <w:lang w:val="pl-PL"/>
              </w:rPr>
            </w:pPr>
            <w:r>
              <w:rPr>
                <w:lang w:val="pl-PL"/>
              </w:rPr>
              <w:t>Aktywność zawodowa osób w wieku poprodukcyjnym</w:t>
            </w:r>
          </w:p>
          <w:p w14:paraId="67B70346" w14:textId="77777777" w:rsidR="00937BF8" w:rsidRDefault="00937BF8" w:rsidP="00B063F0">
            <w:pPr>
              <w:pStyle w:val="Akapitzlist"/>
              <w:numPr>
                <w:ilvl w:val="0"/>
                <w:numId w:val="62"/>
              </w:numPr>
              <w:spacing w:line="259" w:lineRule="auto"/>
              <w:ind w:left="179" w:firstLine="0"/>
              <w:cnfStyle w:val="000000000000" w:firstRow="0" w:lastRow="0" w:firstColumn="0" w:lastColumn="0" w:oddVBand="0" w:evenVBand="0" w:oddHBand="0" w:evenHBand="0" w:firstRowFirstColumn="0" w:firstRowLastColumn="0" w:lastRowFirstColumn="0" w:lastRowLastColumn="0"/>
              <w:rPr>
                <w:lang w:val="pl-PL"/>
              </w:rPr>
            </w:pPr>
            <w:r>
              <w:rPr>
                <w:lang w:val="pl-PL"/>
              </w:rPr>
              <w:t>Zjawisko „green office”</w:t>
            </w:r>
          </w:p>
          <w:p w14:paraId="42FCEC7C" w14:textId="77777777" w:rsidR="00937BF8" w:rsidRDefault="00937BF8" w:rsidP="00B063F0">
            <w:pPr>
              <w:pStyle w:val="Akapitzlist"/>
              <w:numPr>
                <w:ilvl w:val="0"/>
                <w:numId w:val="62"/>
              </w:numPr>
              <w:spacing w:line="259" w:lineRule="auto"/>
              <w:ind w:left="179" w:firstLine="0"/>
              <w:cnfStyle w:val="000000000000" w:firstRow="0" w:lastRow="0" w:firstColumn="0" w:lastColumn="0" w:oddVBand="0" w:evenVBand="0" w:oddHBand="0" w:evenHBand="0" w:firstRowFirstColumn="0" w:firstRowLastColumn="0" w:lastRowFirstColumn="0" w:lastRowLastColumn="0"/>
              <w:rPr>
                <w:lang w:val="pl-PL"/>
              </w:rPr>
            </w:pPr>
            <w:r>
              <w:rPr>
                <w:lang w:val="pl-PL"/>
              </w:rPr>
              <w:t>Rosnące zainteresowanie turystyką  kulturową, ekoturystyką</w:t>
            </w:r>
          </w:p>
          <w:p w14:paraId="5DB9D4CF" w14:textId="6BA07750" w:rsidR="00937BF8" w:rsidRPr="002B3E61" w:rsidRDefault="00937BF8" w:rsidP="00B063F0">
            <w:pPr>
              <w:pStyle w:val="Akapitzlist"/>
              <w:numPr>
                <w:ilvl w:val="0"/>
                <w:numId w:val="62"/>
              </w:numPr>
              <w:spacing w:line="259" w:lineRule="auto"/>
              <w:ind w:left="179" w:firstLine="0"/>
              <w:cnfStyle w:val="000000000000" w:firstRow="0" w:lastRow="0" w:firstColumn="0" w:lastColumn="0" w:oddVBand="0" w:evenVBand="0" w:oddHBand="0" w:evenHBand="0" w:firstRowFirstColumn="0" w:firstRowLastColumn="0" w:lastRowFirstColumn="0" w:lastRowLastColumn="0"/>
              <w:rPr>
                <w:lang w:val="pl-PL"/>
              </w:rPr>
            </w:pPr>
            <w:r>
              <w:rPr>
                <w:lang w:val="pl-PL"/>
              </w:rPr>
              <w:t xml:space="preserve">Moda na zdrowy tryb życia i aktywność fizyczną  </w:t>
            </w:r>
          </w:p>
        </w:tc>
      </w:tr>
      <w:tr w:rsidR="00844583" w:rsidRPr="00176303" w14:paraId="70FA88B5" w14:textId="77777777" w:rsidTr="002B3E61">
        <w:tc>
          <w:tcPr>
            <w:cnfStyle w:val="001000000000" w:firstRow="0" w:lastRow="0" w:firstColumn="1" w:lastColumn="0" w:oddVBand="0" w:evenVBand="0" w:oddHBand="0" w:evenHBand="0" w:firstRowFirstColumn="0" w:firstRowLastColumn="0" w:lastRowFirstColumn="0" w:lastRowLastColumn="0"/>
            <w:tcW w:w="1790" w:type="dxa"/>
          </w:tcPr>
          <w:p w14:paraId="44497567" w14:textId="77777777" w:rsidR="008004DC" w:rsidRPr="008004DC" w:rsidRDefault="008004DC" w:rsidP="008004DC">
            <w:pPr>
              <w:ind w:left="0"/>
              <w:rPr>
                <w:bCs/>
                <w:lang w:val="pl-PL"/>
              </w:rPr>
            </w:pPr>
            <w:r w:rsidRPr="008004DC">
              <w:rPr>
                <w:bCs/>
                <w:lang w:val="pl-PL"/>
              </w:rPr>
              <w:lastRenderedPageBreak/>
              <w:t>Wyspecjalizo-wane</w:t>
            </w:r>
            <w:r w:rsidRPr="008004DC">
              <w:rPr>
                <w:bCs/>
                <w:lang w:val="pl-PL"/>
              </w:rPr>
              <w:br/>
              <w:t xml:space="preserve"> i dostępne usługi społeczne na obszarze Partnerstwa</w:t>
            </w:r>
          </w:p>
          <w:p w14:paraId="75C5374A" w14:textId="77777777" w:rsidR="008004DC" w:rsidRDefault="008004DC" w:rsidP="006B091D">
            <w:pPr>
              <w:ind w:left="0"/>
              <w:rPr>
                <w:lang w:val="pl-PL"/>
              </w:rPr>
            </w:pPr>
          </w:p>
        </w:tc>
        <w:tc>
          <w:tcPr>
            <w:tcW w:w="3734" w:type="dxa"/>
            <w:vAlign w:val="top"/>
          </w:tcPr>
          <w:p w14:paraId="57DEC92F" w14:textId="77777777" w:rsidR="00BB034E" w:rsidRPr="00CA3C7E" w:rsidRDefault="00BB034E" w:rsidP="00B063F0">
            <w:pPr>
              <w:pStyle w:val="elementgraficznytabela"/>
              <w:numPr>
                <w:ilvl w:val="0"/>
                <w:numId w:val="35"/>
              </w:numPr>
              <w:spacing w:after="240" w:line="259" w:lineRule="auto"/>
              <w:contextualSpacing/>
              <w:cnfStyle w:val="000000000000" w:firstRow="0" w:lastRow="0" w:firstColumn="0" w:lastColumn="0" w:oddVBand="0" w:evenVBand="0" w:oddHBand="0" w:evenHBand="0" w:firstRowFirstColumn="0" w:firstRowLastColumn="0" w:lastRowFirstColumn="0" w:lastRowLastColumn="0"/>
              <w:rPr>
                <w:bCs/>
              </w:rPr>
            </w:pPr>
            <w:r w:rsidRPr="00CA3C7E">
              <w:rPr>
                <w:bCs/>
              </w:rPr>
              <w:t>Niski poziom integracji mieszkańców</w:t>
            </w:r>
          </w:p>
          <w:p w14:paraId="18D8F082" w14:textId="77777777" w:rsidR="00BB034E" w:rsidRPr="00CA3C7E" w:rsidRDefault="00BB034E" w:rsidP="00B063F0">
            <w:pPr>
              <w:pStyle w:val="elementgraficznytabela"/>
              <w:numPr>
                <w:ilvl w:val="0"/>
                <w:numId w:val="35"/>
              </w:numPr>
              <w:spacing w:after="240" w:line="259" w:lineRule="auto"/>
              <w:contextualSpacing/>
              <w:cnfStyle w:val="000000000000" w:firstRow="0" w:lastRow="0" w:firstColumn="0" w:lastColumn="0" w:oddVBand="0" w:evenVBand="0" w:oddHBand="0" w:evenHBand="0" w:firstRowFirstColumn="0" w:firstRowLastColumn="0" w:lastRowFirstColumn="0" w:lastRowLastColumn="0"/>
              <w:rPr>
                <w:bCs/>
              </w:rPr>
            </w:pPr>
            <w:r w:rsidRPr="00CA3C7E">
              <w:rPr>
                <w:bCs/>
              </w:rPr>
              <w:t>Niska aktywność społeczna mieszkańców</w:t>
            </w:r>
          </w:p>
          <w:p w14:paraId="58477DDB" w14:textId="77777777" w:rsidR="00CA3C7E" w:rsidRDefault="00BB034E" w:rsidP="00B063F0">
            <w:pPr>
              <w:pStyle w:val="elementgraficznytabela"/>
              <w:numPr>
                <w:ilvl w:val="0"/>
                <w:numId w:val="35"/>
              </w:numPr>
              <w:spacing w:after="240" w:line="259" w:lineRule="auto"/>
              <w:contextualSpacing/>
              <w:cnfStyle w:val="000000000000" w:firstRow="0" w:lastRow="0" w:firstColumn="0" w:lastColumn="0" w:oddVBand="0" w:evenVBand="0" w:oddHBand="0" w:evenHBand="0" w:firstRowFirstColumn="0" w:firstRowLastColumn="0" w:lastRowFirstColumn="0" w:lastRowLastColumn="0"/>
              <w:rPr>
                <w:bCs/>
              </w:rPr>
            </w:pPr>
            <w:r w:rsidRPr="00CA3C7E">
              <w:rPr>
                <w:bCs/>
              </w:rPr>
              <w:t xml:space="preserve">Niski poziom kapitału społecznego </w:t>
            </w:r>
          </w:p>
          <w:p w14:paraId="13E680E5" w14:textId="77777777" w:rsidR="00C11D0F" w:rsidRPr="00C11D0F" w:rsidRDefault="00BB034E" w:rsidP="00B063F0">
            <w:pPr>
              <w:pStyle w:val="elementgraficznytabela"/>
              <w:numPr>
                <w:ilvl w:val="0"/>
                <w:numId w:val="35"/>
              </w:numPr>
              <w:spacing w:after="240" w:line="259" w:lineRule="auto"/>
              <w:contextualSpacing/>
              <w:cnfStyle w:val="000000000000" w:firstRow="0" w:lastRow="0" w:firstColumn="0" w:lastColumn="0" w:oddVBand="0" w:evenVBand="0" w:oddHBand="0" w:evenHBand="0" w:firstRowFirstColumn="0" w:firstRowLastColumn="0" w:lastRowFirstColumn="0" w:lastRowLastColumn="0"/>
            </w:pPr>
            <w:r w:rsidRPr="00CA3C7E">
              <w:rPr>
                <w:bCs/>
              </w:rPr>
              <w:t>Niewystarczajaca jakość infrastruktury społecznej</w:t>
            </w:r>
            <w:r w:rsidR="00C11D0F" w:rsidRPr="00C63C8A">
              <w:rPr>
                <w:b/>
              </w:rPr>
              <w:t xml:space="preserve"> </w:t>
            </w:r>
          </w:p>
          <w:p w14:paraId="289F2927" w14:textId="77777777" w:rsidR="00C11D0F" w:rsidRPr="00C11D0F" w:rsidRDefault="00C11D0F" w:rsidP="00B063F0">
            <w:pPr>
              <w:pStyle w:val="elementgraficznytabela"/>
              <w:numPr>
                <w:ilvl w:val="0"/>
                <w:numId w:val="35"/>
              </w:numPr>
              <w:spacing w:after="240" w:line="259" w:lineRule="auto"/>
              <w:contextualSpacing/>
              <w:cnfStyle w:val="000000000000" w:firstRow="0" w:lastRow="0" w:firstColumn="0" w:lastColumn="0" w:oddVBand="0" w:evenVBand="0" w:oddHBand="0" w:evenHBand="0" w:firstRowFirstColumn="0" w:firstRowLastColumn="0" w:lastRowFirstColumn="0" w:lastRowLastColumn="0"/>
              <w:rPr>
                <w:rFonts w:cstheme="minorHAnsi"/>
              </w:rPr>
            </w:pPr>
            <w:r w:rsidRPr="00C11D0F">
              <w:rPr>
                <w:rFonts w:cstheme="minorHAnsi"/>
              </w:rPr>
              <w:t>Brak integracji usług publicznych</w:t>
            </w:r>
          </w:p>
          <w:p w14:paraId="4BCB9DAF" w14:textId="77777777" w:rsidR="00C11D0F" w:rsidRPr="00C11D0F" w:rsidRDefault="00C11D0F" w:rsidP="00B063F0">
            <w:pPr>
              <w:pStyle w:val="elementgraficznytabela"/>
              <w:numPr>
                <w:ilvl w:val="0"/>
                <w:numId w:val="35"/>
              </w:numPr>
              <w:spacing w:after="240" w:line="259" w:lineRule="auto"/>
              <w:contextualSpacing/>
              <w:cnfStyle w:val="000000000000" w:firstRow="0" w:lastRow="0" w:firstColumn="0" w:lastColumn="0" w:oddVBand="0" w:evenVBand="0" w:oddHBand="0" w:evenHBand="0" w:firstRowFirstColumn="0" w:firstRowLastColumn="0" w:lastRowFirstColumn="0" w:lastRowLastColumn="0"/>
              <w:rPr>
                <w:rFonts w:cstheme="minorHAnsi"/>
              </w:rPr>
            </w:pPr>
            <w:r w:rsidRPr="00C11D0F">
              <w:rPr>
                <w:rFonts w:cstheme="minorHAnsi"/>
              </w:rPr>
              <w:t xml:space="preserve">Niekorzystny stan finansów publicznych </w:t>
            </w:r>
          </w:p>
          <w:p w14:paraId="29E6F64A" w14:textId="5AA2BD6A" w:rsidR="008004DC" w:rsidRPr="00CA3C7E" w:rsidRDefault="008004DC" w:rsidP="002B3E61">
            <w:pPr>
              <w:pStyle w:val="elementgraficznytabela"/>
              <w:spacing w:after="240" w:line="259" w:lineRule="auto"/>
              <w:ind w:left="720"/>
              <w:contextualSpacing/>
              <w:cnfStyle w:val="000000000000" w:firstRow="0" w:lastRow="0" w:firstColumn="0" w:lastColumn="0" w:oddVBand="0" w:evenVBand="0" w:oddHBand="0" w:evenHBand="0" w:firstRowFirstColumn="0" w:firstRowLastColumn="0" w:lastRowFirstColumn="0" w:lastRowLastColumn="0"/>
              <w:rPr>
                <w:bCs/>
              </w:rPr>
            </w:pPr>
          </w:p>
        </w:tc>
        <w:tc>
          <w:tcPr>
            <w:tcW w:w="3402" w:type="dxa"/>
            <w:vAlign w:val="top"/>
          </w:tcPr>
          <w:p w14:paraId="0099E2A7" w14:textId="77777777" w:rsidR="002B3E61" w:rsidRPr="00937BF8" w:rsidRDefault="002B3E61" w:rsidP="00B063F0">
            <w:pPr>
              <w:pStyle w:val="elementgraficznytabela"/>
              <w:numPr>
                <w:ilvl w:val="0"/>
                <w:numId w:val="37"/>
              </w:numPr>
              <w:spacing w:after="240" w:line="259" w:lineRule="auto"/>
              <w:ind w:left="185" w:hanging="142"/>
              <w:contextualSpacing/>
              <w:cnfStyle w:val="000000000000" w:firstRow="0" w:lastRow="0" w:firstColumn="0" w:lastColumn="0" w:oddVBand="0" w:evenVBand="0" w:oddHBand="0" w:evenHBand="0" w:firstRowFirstColumn="0" w:firstRowLastColumn="0" w:lastRowFirstColumn="0" w:lastRowLastColumn="0"/>
            </w:pPr>
            <w:r w:rsidRPr="00937BF8">
              <w:t>Liczebność populacji Południowych Mazur</w:t>
            </w:r>
          </w:p>
          <w:p w14:paraId="310E2020" w14:textId="77777777" w:rsidR="002B3E61" w:rsidRDefault="002B3E61" w:rsidP="00B063F0">
            <w:pPr>
              <w:pStyle w:val="elementgraficznytabela"/>
              <w:numPr>
                <w:ilvl w:val="0"/>
                <w:numId w:val="37"/>
              </w:numPr>
              <w:spacing w:after="240" w:line="259" w:lineRule="auto"/>
              <w:ind w:left="185" w:hanging="142"/>
              <w:contextualSpacing/>
              <w:cnfStyle w:val="000000000000" w:firstRow="0" w:lastRow="0" w:firstColumn="0" w:lastColumn="0" w:oddVBand="0" w:evenVBand="0" w:oddHBand="0" w:evenHBand="0" w:firstRowFirstColumn="0" w:firstRowLastColumn="0" w:lastRowFirstColumn="0" w:lastRowLastColumn="0"/>
            </w:pPr>
            <w:r w:rsidRPr="002B3E61">
              <w:t xml:space="preserve">Istniejąca infrastruktura społeczna, w tym zdrowotna </w:t>
            </w:r>
          </w:p>
          <w:p w14:paraId="2B8355C5" w14:textId="77777777" w:rsidR="00937BF8" w:rsidRDefault="002B3E61" w:rsidP="00B063F0">
            <w:pPr>
              <w:pStyle w:val="elementgraficznytabela"/>
              <w:numPr>
                <w:ilvl w:val="0"/>
                <w:numId w:val="37"/>
              </w:numPr>
              <w:spacing w:after="240" w:line="259" w:lineRule="auto"/>
              <w:ind w:left="185" w:hanging="142"/>
              <w:contextualSpacing/>
              <w:cnfStyle w:val="000000000000" w:firstRow="0" w:lastRow="0" w:firstColumn="0" w:lastColumn="0" w:oddVBand="0" w:evenVBand="0" w:oddHBand="0" w:evenHBand="0" w:firstRowFirstColumn="0" w:firstRowLastColumn="0" w:lastRowFirstColumn="0" w:lastRowLastColumn="0"/>
            </w:pPr>
            <w:r w:rsidRPr="002B3E61">
              <w:t>Dobry stan środowiska naturalnego</w:t>
            </w:r>
          </w:p>
          <w:p w14:paraId="3C8B3B17" w14:textId="77777777" w:rsidR="00937BF8" w:rsidRDefault="00937BF8" w:rsidP="00B063F0">
            <w:pPr>
              <w:pStyle w:val="elementgraficznytabela"/>
              <w:numPr>
                <w:ilvl w:val="0"/>
                <w:numId w:val="37"/>
              </w:numPr>
              <w:spacing w:after="240" w:line="259" w:lineRule="auto"/>
              <w:ind w:left="185" w:hanging="142"/>
              <w:contextualSpacing/>
              <w:cnfStyle w:val="000000000000" w:firstRow="0" w:lastRow="0" w:firstColumn="0" w:lastColumn="0" w:oddVBand="0" w:evenVBand="0" w:oddHBand="0" w:evenHBand="0" w:firstRowFirstColumn="0" w:firstRowLastColumn="0" w:lastRowFirstColumn="0" w:lastRowLastColumn="0"/>
            </w:pPr>
            <w:r w:rsidRPr="00937BF8">
              <w:t>Istniejąca infrastruktura wypoczynkowo-rekreacyjna (w tym scie</w:t>
            </w:r>
            <w:r>
              <w:t>ż</w:t>
            </w:r>
            <w:r w:rsidRPr="00937BF8">
              <w:t>ki rowerowe</w:t>
            </w:r>
            <w:r>
              <w:t>)</w:t>
            </w:r>
          </w:p>
          <w:p w14:paraId="1E8F66AE" w14:textId="77777777" w:rsidR="00937BF8" w:rsidRDefault="00937BF8" w:rsidP="00B063F0">
            <w:pPr>
              <w:pStyle w:val="elementgraficznytabela"/>
              <w:numPr>
                <w:ilvl w:val="0"/>
                <w:numId w:val="37"/>
              </w:numPr>
              <w:spacing w:after="240" w:line="259" w:lineRule="auto"/>
              <w:ind w:left="185" w:hanging="142"/>
              <w:contextualSpacing/>
              <w:cnfStyle w:val="000000000000" w:firstRow="0" w:lastRow="0" w:firstColumn="0" w:lastColumn="0" w:oddVBand="0" w:evenVBand="0" w:oddHBand="0" w:evenHBand="0" w:firstRowFirstColumn="0" w:firstRowLastColumn="0" w:lastRowFirstColumn="0" w:lastRowLastColumn="0"/>
            </w:pPr>
            <w:r w:rsidRPr="00937BF8">
              <w:t>Rosnące zainteresowanie turystyką</w:t>
            </w:r>
            <w:r>
              <w:t xml:space="preserve"> zdrowotną</w:t>
            </w:r>
          </w:p>
          <w:p w14:paraId="7658C3F3" w14:textId="77777777" w:rsidR="008004DC" w:rsidRDefault="00937BF8" w:rsidP="00B063F0">
            <w:pPr>
              <w:pStyle w:val="elementgraficznytabela"/>
              <w:numPr>
                <w:ilvl w:val="0"/>
                <w:numId w:val="37"/>
              </w:numPr>
              <w:spacing w:after="240" w:line="259" w:lineRule="auto"/>
              <w:ind w:left="185" w:hanging="142"/>
              <w:contextualSpacing/>
              <w:cnfStyle w:val="000000000000" w:firstRow="0" w:lastRow="0" w:firstColumn="0" w:lastColumn="0" w:oddVBand="0" w:evenVBand="0" w:oddHBand="0" w:evenHBand="0" w:firstRowFirstColumn="0" w:firstRowLastColumn="0" w:lastRowFirstColumn="0" w:lastRowLastColumn="0"/>
            </w:pPr>
            <w:r>
              <w:t xml:space="preserve">Wzrastajaca średnia długość życia </w:t>
            </w:r>
          </w:p>
          <w:p w14:paraId="3547ED9F" w14:textId="65AA1E4F" w:rsidR="00937BF8" w:rsidRDefault="00937BF8" w:rsidP="00B063F0">
            <w:pPr>
              <w:pStyle w:val="Akapitzlist"/>
              <w:numPr>
                <w:ilvl w:val="0"/>
                <w:numId w:val="37"/>
              </w:numPr>
              <w:ind w:left="185" w:hanging="142"/>
              <w:cnfStyle w:val="000000000000" w:firstRow="0" w:lastRow="0" w:firstColumn="0" w:lastColumn="0" w:oddVBand="0" w:evenVBand="0" w:oddHBand="0" w:evenHBand="0" w:firstRowFirstColumn="0" w:firstRowLastColumn="0" w:lastRowFirstColumn="0" w:lastRowLastColumn="0"/>
              <w:rPr>
                <w:lang w:val="pl-PL"/>
              </w:rPr>
            </w:pPr>
            <w:r>
              <w:rPr>
                <w:lang w:val="pl-PL"/>
              </w:rPr>
              <w:t xml:space="preserve">Dostępność środków zewnętrznych na finansowanie </w:t>
            </w:r>
            <w:r w:rsidR="005366A1">
              <w:rPr>
                <w:lang w:val="pl-PL"/>
              </w:rPr>
              <w:t xml:space="preserve">niektórych </w:t>
            </w:r>
            <w:r>
              <w:rPr>
                <w:lang w:val="pl-PL"/>
              </w:rPr>
              <w:t>zamierzeń</w:t>
            </w:r>
          </w:p>
          <w:p w14:paraId="1C8337A5" w14:textId="7864AEFE" w:rsidR="00937BF8" w:rsidRPr="00937BF8" w:rsidRDefault="00937BF8" w:rsidP="00B063F0">
            <w:pPr>
              <w:pStyle w:val="Akapitzlist"/>
              <w:numPr>
                <w:ilvl w:val="0"/>
                <w:numId w:val="37"/>
              </w:numPr>
              <w:ind w:left="185" w:hanging="142"/>
              <w:cnfStyle w:val="000000000000" w:firstRow="0" w:lastRow="0" w:firstColumn="0" w:lastColumn="0" w:oddVBand="0" w:evenVBand="0" w:oddHBand="0" w:evenHBand="0" w:firstRowFirstColumn="0" w:firstRowLastColumn="0" w:lastRowFirstColumn="0" w:lastRowLastColumn="0"/>
              <w:rPr>
                <w:lang w:val="pl-PL"/>
              </w:rPr>
            </w:pPr>
            <w:r>
              <w:rPr>
                <w:lang w:val="pl-PL"/>
              </w:rPr>
              <w:t>Polityka socjalna Państwa (nowe rozwiazania umozliwiajace wsparcoe aktywności społecznej mieszkańców)</w:t>
            </w:r>
          </w:p>
        </w:tc>
      </w:tr>
      <w:tr w:rsidR="00844583" w:rsidRPr="00176303" w14:paraId="7EB79CFA" w14:textId="77777777" w:rsidTr="002B3E61">
        <w:tc>
          <w:tcPr>
            <w:cnfStyle w:val="001000000000" w:firstRow="0" w:lastRow="0" w:firstColumn="1" w:lastColumn="0" w:oddVBand="0" w:evenVBand="0" w:oddHBand="0" w:evenHBand="0" w:firstRowFirstColumn="0" w:firstRowLastColumn="0" w:lastRowFirstColumn="0" w:lastRowLastColumn="0"/>
            <w:tcW w:w="1790" w:type="dxa"/>
          </w:tcPr>
          <w:p w14:paraId="5846CFA2" w14:textId="4DB3B856" w:rsidR="008004DC" w:rsidRPr="008004DC" w:rsidRDefault="008004DC" w:rsidP="008004DC">
            <w:pPr>
              <w:ind w:left="0"/>
              <w:rPr>
                <w:bCs/>
                <w:lang w:val="pl-PL"/>
              </w:rPr>
            </w:pPr>
            <w:r w:rsidRPr="008004DC">
              <w:rPr>
                <w:bCs/>
                <w:lang w:val="pl-PL"/>
              </w:rPr>
              <w:t xml:space="preserve">Nowoczesna </w:t>
            </w:r>
            <w:r w:rsidRPr="008004DC">
              <w:rPr>
                <w:bCs/>
                <w:lang w:val="pl-PL"/>
              </w:rPr>
              <w:br/>
              <w:t xml:space="preserve">i zintegrowana   administracja Partnerstwa </w:t>
            </w:r>
          </w:p>
          <w:p w14:paraId="565B8ACD" w14:textId="77777777" w:rsidR="008004DC" w:rsidRDefault="008004DC" w:rsidP="006B091D">
            <w:pPr>
              <w:ind w:left="0"/>
              <w:rPr>
                <w:lang w:val="pl-PL"/>
              </w:rPr>
            </w:pPr>
          </w:p>
        </w:tc>
        <w:tc>
          <w:tcPr>
            <w:tcW w:w="3734" w:type="dxa"/>
            <w:vAlign w:val="top"/>
          </w:tcPr>
          <w:p w14:paraId="7749C666" w14:textId="78E68ADB" w:rsidR="00C11D0F" w:rsidRDefault="00C11D0F" w:rsidP="00B063F0">
            <w:pPr>
              <w:pStyle w:val="elementgraficznytabela"/>
              <w:numPr>
                <w:ilvl w:val="0"/>
                <w:numId w:val="61"/>
              </w:numPr>
              <w:spacing w:after="240" w:line="259" w:lineRule="auto"/>
              <w:contextualSpacing/>
              <w:cnfStyle w:val="000000000000" w:firstRow="0" w:lastRow="0" w:firstColumn="0" w:lastColumn="0" w:oddVBand="0" w:evenVBand="0" w:oddHBand="0" w:evenHBand="0" w:firstRowFirstColumn="0" w:firstRowLastColumn="0" w:lastRowFirstColumn="0" w:lastRowLastColumn="0"/>
              <w:rPr>
                <w:rFonts w:cstheme="minorHAnsi"/>
                <w:bCs/>
              </w:rPr>
            </w:pPr>
            <w:r w:rsidRPr="00CA3C7E">
              <w:rPr>
                <w:rFonts w:cstheme="minorHAnsi"/>
                <w:bCs/>
              </w:rPr>
              <w:t>Niewystarczajacy system wsparcia przedsiębiorczości</w:t>
            </w:r>
          </w:p>
          <w:p w14:paraId="066B67CD" w14:textId="77777777" w:rsidR="00C11D0F" w:rsidRDefault="00C11D0F" w:rsidP="00B063F0">
            <w:pPr>
              <w:pStyle w:val="elementgraficznytabela"/>
              <w:numPr>
                <w:ilvl w:val="0"/>
                <w:numId w:val="61"/>
              </w:numPr>
              <w:spacing w:after="240" w:line="259" w:lineRule="auto"/>
              <w:contextualSpacing/>
              <w:cnfStyle w:val="000000000000" w:firstRow="0" w:lastRow="0" w:firstColumn="0" w:lastColumn="0" w:oddVBand="0" w:evenVBand="0" w:oddHBand="0" w:evenHBand="0" w:firstRowFirstColumn="0" w:firstRowLastColumn="0" w:lastRowFirstColumn="0" w:lastRowLastColumn="0"/>
              <w:rPr>
                <w:rFonts w:cstheme="minorHAnsi"/>
                <w:bCs/>
              </w:rPr>
            </w:pPr>
            <w:r w:rsidRPr="00CA3C7E">
              <w:rPr>
                <w:rFonts w:cstheme="minorHAnsi"/>
                <w:bCs/>
              </w:rPr>
              <w:t>Brak synergii między rynkiem pracy a rynkiem edukacji</w:t>
            </w:r>
          </w:p>
          <w:p w14:paraId="1B56FD02" w14:textId="2E29A5E4" w:rsidR="00844583" w:rsidRPr="00C11D0F" w:rsidRDefault="00C11D0F" w:rsidP="00B063F0">
            <w:pPr>
              <w:pStyle w:val="elementgraficznytabela"/>
              <w:numPr>
                <w:ilvl w:val="0"/>
                <w:numId w:val="61"/>
              </w:numPr>
              <w:spacing w:after="240" w:line="259" w:lineRule="auto"/>
              <w:contextualSpacing/>
              <w:cnfStyle w:val="000000000000" w:firstRow="0" w:lastRow="0" w:firstColumn="0" w:lastColumn="0" w:oddVBand="0" w:evenVBand="0" w:oddHBand="0" w:evenHBand="0" w:firstRowFirstColumn="0" w:firstRowLastColumn="0" w:lastRowFirstColumn="0" w:lastRowLastColumn="0"/>
              <w:rPr>
                <w:rFonts w:cstheme="minorHAnsi"/>
              </w:rPr>
            </w:pPr>
            <w:r w:rsidRPr="00C11D0F">
              <w:rPr>
                <w:rFonts w:cstheme="minorHAnsi"/>
                <w:bCs/>
              </w:rPr>
              <w:t xml:space="preserve">Niewystarczająca efektywność Partnerstwa w </w:t>
            </w:r>
            <w:r w:rsidRPr="00C11D0F">
              <w:rPr>
                <w:rFonts w:cstheme="minorHAnsi"/>
                <w:bCs/>
              </w:rPr>
              <w:lastRenderedPageBreak/>
              <w:t>korzystaniu z pojawiających się szans rozwojowyc</w:t>
            </w:r>
            <w:r w:rsidR="00844583">
              <w:rPr>
                <w:rFonts w:cstheme="minorHAnsi"/>
                <w:bCs/>
              </w:rPr>
              <w:t>h</w:t>
            </w:r>
          </w:p>
          <w:p w14:paraId="66F77AAF" w14:textId="77777777" w:rsidR="00844583" w:rsidRDefault="00844583" w:rsidP="00B063F0">
            <w:pPr>
              <w:pStyle w:val="elementgraficznytabela"/>
              <w:numPr>
                <w:ilvl w:val="0"/>
                <w:numId w:val="61"/>
              </w:numPr>
              <w:spacing w:after="240" w:line="259" w:lineRule="auto"/>
              <w:contextualSpacing/>
              <w:cnfStyle w:val="000000000000" w:firstRow="0" w:lastRow="0" w:firstColumn="0" w:lastColumn="0" w:oddVBand="0" w:evenVBand="0" w:oddHBand="0" w:evenHBand="0" w:firstRowFirstColumn="0" w:firstRowLastColumn="0" w:lastRowFirstColumn="0" w:lastRowLastColumn="0"/>
              <w:rPr>
                <w:rFonts w:cstheme="minorHAnsi"/>
                <w:bCs/>
              </w:rPr>
            </w:pPr>
            <w:r>
              <w:rPr>
                <w:rFonts w:cstheme="minorHAnsi"/>
                <w:bCs/>
              </w:rPr>
              <w:t>Niekorzystny stan finansów publicznych</w:t>
            </w:r>
          </w:p>
          <w:p w14:paraId="53ADAE78" w14:textId="77777777" w:rsidR="00844583" w:rsidRPr="00CA3C7E" w:rsidRDefault="00844583" w:rsidP="00B063F0">
            <w:pPr>
              <w:pStyle w:val="elementgraficznytabela"/>
              <w:numPr>
                <w:ilvl w:val="0"/>
                <w:numId w:val="61"/>
              </w:numPr>
              <w:spacing w:after="240" w:line="259" w:lineRule="auto"/>
              <w:contextualSpacing/>
              <w:cnfStyle w:val="000000000000" w:firstRow="0" w:lastRow="0" w:firstColumn="0" w:lastColumn="0" w:oddVBand="0" w:evenVBand="0" w:oddHBand="0" w:evenHBand="0" w:firstRowFirstColumn="0" w:firstRowLastColumn="0" w:lastRowFirstColumn="0" w:lastRowLastColumn="0"/>
              <w:rPr>
                <w:bCs/>
              </w:rPr>
            </w:pPr>
            <w:r w:rsidRPr="00CA3C7E">
              <w:rPr>
                <w:bCs/>
              </w:rPr>
              <w:t>Niski poziom integracji mieszkańców</w:t>
            </w:r>
          </w:p>
          <w:p w14:paraId="10E8CED7" w14:textId="152D8CF6" w:rsidR="00844583" w:rsidRPr="00844583" w:rsidRDefault="00844583" w:rsidP="00B063F0">
            <w:pPr>
              <w:pStyle w:val="elementgraficznytabela"/>
              <w:numPr>
                <w:ilvl w:val="0"/>
                <w:numId w:val="61"/>
              </w:numPr>
              <w:spacing w:after="240" w:line="259" w:lineRule="auto"/>
              <w:contextualSpacing/>
              <w:cnfStyle w:val="000000000000" w:firstRow="0" w:lastRow="0" w:firstColumn="0" w:lastColumn="0" w:oddVBand="0" w:evenVBand="0" w:oddHBand="0" w:evenHBand="0" w:firstRowFirstColumn="0" w:firstRowLastColumn="0" w:lastRowFirstColumn="0" w:lastRowLastColumn="0"/>
              <w:rPr>
                <w:bCs/>
              </w:rPr>
            </w:pPr>
            <w:r w:rsidRPr="00CA3C7E">
              <w:rPr>
                <w:bCs/>
              </w:rPr>
              <w:t>Niska aktywność społeczna mieszkańców</w:t>
            </w:r>
          </w:p>
        </w:tc>
        <w:tc>
          <w:tcPr>
            <w:tcW w:w="3402" w:type="dxa"/>
            <w:vAlign w:val="top"/>
          </w:tcPr>
          <w:p w14:paraId="777B966D" w14:textId="77777777" w:rsidR="008004DC" w:rsidRDefault="00937BF8" w:rsidP="00B063F0">
            <w:pPr>
              <w:pStyle w:val="Akapitzlist"/>
              <w:numPr>
                <w:ilvl w:val="0"/>
                <w:numId w:val="63"/>
              </w:numPr>
              <w:spacing w:line="259" w:lineRule="auto"/>
              <w:ind w:hanging="142"/>
              <w:cnfStyle w:val="000000000000" w:firstRow="0" w:lastRow="0" w:firstColumn="0" w:lastColumn="0" w:oddVBand="0" w:evenVBand="0" w:oddHBand="0" w:evenHBand="0" w:firstRowFirstColumn="0" w:firstRowLastColumn="0" w:lastRowFirstColumn="0" w:lastRowLastColumn="0"/>
              <w:rPr>
                <w:lang w:val="pl-PL"/>
              </w:rPr>
            </w:pPr>
            <w:r>
              <w:rPr>
                <w:lang w:val="pl-PL"/>
              </w:rPr>
              <w:lastRenderedPageBreak/>
              <w:t>Silne przywództwo</w:t>
            </w:r>
          </w:p>
          <w:p w14:paraId="6A0DE95B" w14:textId="77777777" w:rsidR="00937BF8" w:rsidRDefault="00937BF8" w:rsidP="00B063F0">
            <w:pPr>
              <w:pStyle w:val="Akapitzlist"/>
              <w:numPr>
                <w:ilvl w:val="0"/>
                <w:numId w:val="63"/>
              </w:numPr>
              <w:spacing w:line="259" w:lineRule="auto"/>
              <w:ind w:hanging="142"/>
              <w:cnfStyle w:val="000000000000" w:firstRow="0" w:lastRow="0" w:firstColumn="0" w:lastColumn="0" w:oddVBand="0" w:evenVBand="0" w:oddHBand="0" w:evenHBand="0" w:firstRowFirstColumn="0" w:firstRowLastColumn="0" w:lastRowFirstColumn="0" w:lastRowLastColumn="0"/>
              <w:rPr>
                <w:lang w:val="pl-PL"/>
              </w:rPr>
            </w:pPr>
            <w:r>
              <w:rPr>
                <w:lang w:val="pl-PL"/>
              </w:rPr>
              <w:t xml:space="preserve">Zdolność do współpracy </w:t>
            </w:r>
          </w:p>
          <w:p w14:paraId="2FEE7CB0" w14:textId="77777777" w:rsidR="00937BF8" w:rsidRDefault="00937BF8" w:rsidP="00B063F0">
            <w:pPr>
              <w:pStyle w:val="Akapitzlist"/>
              <w:numPr>
                <w:ilvl w:val="0"/>
                <w:numId w:val="63"/>
              </w:numPr>
              <w:spacing w:line="259" w:lineRule="auto"/>
              <w:ind w:hanging="142"/>
              <w:cnfStyle w:val="000000000000" w:firstRow="0" w:lastRow="0" w:firstColumn="0" w:lastColumn="0" w:oddVBand="0" w:evenVBand="0" w:oddHBand="0" w:evenHBand="0" w:firstRowFirstColumn="0" w:firstRowLastColumn="0" w:lastRowFirstColumn="0" w:lastRowLastColumn="0"/>
              <w:rPr>
                <w:lang w:val="pl-PL"/>
              </w:rPr>
            </w:pPr>
            <w:r>
              <w:rPr>
                <w:lang w:val="pl-PL"/>
              </w:rPr>
              <w:t>Otwartość na zmiany</w:t>
            </w:r>
          </w:p>
          <w:p w14:paraId="1DE1C0C2" w14:textId="77777777" w:rsidR="00937BF8" w:rsidRDefault="00937BF8" w:rsidP="00B063F0">
            <w:pPr>
              <w:pStyle w:val="Akapitzlist"/>
              <w:numPr>
                <w:ilvl w:val="0"/>
                <w:numId w:val="63"/>
              </w:numPr>
              <w:spacing w:line="259" w:lineRule="auto"/>
              <w:ind w:hanging="142"/>
              <w:cnfStyle w:val="000000000000" w:firstRow="0" w:lastRow="0" w:firstColumn="0" w:lastColumn="0" w:oddVBand="0" w:evenVBand="0" w:oddHBand="0" w:evenHBand="0" w:firstRowFirstColumn="0" w:firstRowLastColumn="0" w:lastRowFirstColumn="0" w:lastRowLastColumn="0"/>
              <w:rPr>
                <w:lang w:val="pl-PL"/>
              </w:rPr>
            </w:pPr>
            <w:r>
              <w:rPr>
                <w:lang w:val="pl-PL"/>
              </w:rPr>
              <w:t xml:space="preserve">Stabilność polityczna </w:t>
            </w:r>
          </w:p>
          <w:p w14:paraId="554F52A1" w14:textId="52FD604C" w:rsidR="00937BF8" w:rsidRDefault="00937BF8" w:rsidP="00B063F0">
            <w:pPr>
              <w:pStyle w:val="Akapitzlist"/>
              <w:numPr>
                <w:ilvl w:val="0"/>
                <w:numId w:val="63"/>
              </w:numPr>
              <w:ind w:hanging="142"/>
              <w:cnfStyle w:val="000000000000" w:firstRow="0" w:lastRow="0" w:firstColumn="0" w:lastColumn="0" w:oddVBand="0" w:evenVBand="0" w:oddHBand="0" w:evenHBand="0" w:firstRowFirstColumn="0" w:firstRowLastColumn="0" w:lastRowFirstColumn="0" w:lastRowLastColumn="0"/>
              <w:rPr>
                <w:lang w:val="pl-PL"/>
              </w:rPr>
            </w:pPr>
            <w:r>
              <w:rPr>
                <w:lang w:val="pl-PL"/>
              </w:rPr>
              <w:t xml:space="preserve">Dostępność środków zewnętrznych na finansowanie </w:t>
            </w:r>
            <w:r w:rsidR="005366A1">
              <w:rPr>
                <w:lang w:val="pl-PL"/>
              </w:rPr>
              <w:t xml:space="preserve">niektórych </w:t>
            </w:r>
            <w:r>
              <w:rPr>
                <w:lang w:val="pl-PL"/>
              </w:rPr>
              <w:t xml:space="preserve">zamierzeń </w:t>
            </w:r>
          </w:p>
          <w:p w14:paraId="4E53C4F4" w14:textId="28F28B77" w:rsidR="00937BF8" w:rsidRPr="00937BF8" w:rsidRDefault="00937BF8" w:rsidP="00B063F0">
            <w:pPr>
              <w:pStyle w:val="Akapitzlist"/>
              <w:numPr>
                <w:ilvl w:val="0"/>
                <w:numId w:val="63"/>
              </w:numPr>
              <w:ind w:hanging="142"/>
              <w:cnfStyle w:val="000000000000" w:firstRow="0" w:lastRow="0" w:firstColumn="0" w:lastColumn="0" w:oddVBand="0" w:evenVBand="0" w:oddHBand="0" w:evenHBand="0" w:firstRowFirstColumn="0" w:firstRowLastColumn="0" w:lastRowFirstColumn="0" w:lastRowLastColumn="0"/>
              <w:rPr>
                <w:lang w:val="pl-PL"/>
              </w:rPr>
            </w:pPr>
            <w:r>
              <w:rPr>
                <w:lang w:val="pl-PL"/>
              </w:rPr>
              <w:lastRenderedPageBreak/>
              <w:t>Polityka socjalna Państwa (nowe rozwiazania umozliwiające zwiększeni lokalnej skutecznści instytucjonalnej w zakresie wspierania in</w:t>
            </w:r>
            <w:r w:rsidR="00844583">
              <w:rPr>
                <w:lang w:val="pl-PL"/>
              </w:rPr>
              <w:t xml:space="preserve">tegracji i aktywnosci społecznej </w:t>
            </w:r>
            <w:r>
              <w:rPr>
                <w:lang w:val="pl-PL"/>
              </w:rPr>
              <w:t>mieszkańców)</w:t>
            </w:r>
          </w:p>
        </w:tc>
      </w:tr>
    </w:tbl>
    <w:p w14:paraId="51F0713A" w14:textId="4A711804" w:rsidR="006B091D" w:rsidRDefault="008004DC" w:rsidP="008004DC">
      <w:pPr>
        <w:pStyle w:val="podpiselementu"/>
        <w:spacing w:after="240"/>
      </w:pPr>
      <w:r w:rsidRPr="00761CB0">
        <w:lastRenderedPageBreak/>
        <w:t>Źródło: opracowanie własne</w:t>
      </w:r>
    </w:p>
    <w:p w14:paraId="6FB33E2C" w14:textId="4A650D54" w:rsidR="00844583" w:rsidRDefault="00844583" w:rsidP="00844583">
      <w:pPr>
        <w:ind w:left="0"/>
      </w:pPr>
    </w:p>
    <w:p w14:paraId="3E8223C3" w14:textId="585CDC6B" w:rsidR="008004DC" w:rsidRDefault="00844583" w:rsidP="00844583">
      <w:pPr>
        <w:pStyle w:val="Nagwek3"/>
        <w:rPr>
          <w:lang w:val="pl-PL"/>
        </w:rPr>
      </w:pPr>
      <w:bookmarkStart w:id="180" w:name="_Toc69725459"/>
      <w:r w:rsidRPr="00844583">
        <w:rPr>
          <w:lang w:val="pl-PL"/>
        </w:rPr>
        <w:t>Spójność przyjetych kierunków rozwojowych z</w:t>
      </w:r>
      <w:r>
        <w:rPr>
          <w:lang w:val="pl-PL"/>
        </w:rPr>
        <w:t xml:space="preserve"> celami strategicznymi JST wchodzącymi w skład Partnerstwa</w:t>
      </w:r>
      <w:bookmarkEnd w:id="180"/>
      <w:r>
        <w:rPr>
          <w:lang w:val="pl-PL"/>
        </w:rPr>
        <w:t xml:space="preserve"> </w:t>
      </w:r>
    </w:p>
    <w:p w14:paraId="1470105B" w14:textId="77777777" w:rsidR="009938EA" w:rsidRDefault="009938EA" w:rsidP="009938EA">
      <w:pPr>
        <w:rPr>
          <w:lang w:val="pl-PL"/>
        </w:rPr>
      </w:pPr>
    </w:p>
    <w:p w14:paraId="3CB7E924" w14:textId="5370C036" w:rsidR="005366A1" w:rsidRDefault="009938EA" w:rsidP="00C929FE">
      <w:pPr>
        <w:rPr>
          <w:color w:val="000000" w:themeColor="text1"/>
          <w:lang w:val="pl-PL"/>
        </w:rPr>
      </w:pPr>
      <w:r w:rsidRPr="00733091">
        <w:rPr>
          <w:lang w:val="pl-PL"/>
        </w:rPr>
        <w:t xml:space="preserve">Analiza celów strategicznych JST wynikających z ostatnio obowiązujących </w:t>
      </w:r>
      <w:r w:rsidR="00056471">
        <w:rPr>
          <w:lang w:val="pl-PL"/>
        </w:rPr>
        <w:br/>
      </w:r>
      <w:r w:rsidRPr="00733091">
        <w:rPr>
          <w:lang w:val="pl-PL"/>
        </w:rPr>
        <w:t xml:space="preserve">i aktualnych </w:t>
      </w:r>
      <w:r>
        <w:rPr>
          <w:lang w:val="pl-PL"/>
        </w:rPr>
        <w:t>polityk (</w:t>
      </w:r>
      <w:r w:rsidRPr="00733091">
        <w:rPr>
          <w:lang w:val="pl-PL"/>
        </w:rPr>
        <w:t>strategii</w:t>
      </w:r>
      <w:r>
        <w:rPr>
          <w:lang w:val="pl-PL"/>
        </w:rPr>
        <w:t>)</w:t>
      </w:r>
      <w:r w:rsidRPr="00733091">
        <w:rPr>
          <w:lang w:val="pl-PL"/>
        </w:rPr>
        <w:t xml:space="preserve"> wykazała istnienie kierunków strategicznych wspólnych dla wszystkich lub większości gmin z obszaru Partnerstwa (wykres poniżej). </w:t>
      </w:r>
      <w:r w:rsidRPr="00733091">
        <w:rPr>
          <w:color w:val="000000" w:themeColor="text1"/>
          <w:lang w:val="pl-PL"/>
        </w:rPr>
        <w:t>Kierunkami (zawierającymi zdefiniowane w różny sposób cele), które zostały ujęte w strategiach wszystkich respondentów były: rozwój przedsiębiorczości i ochrona środowiska naturalnego, a większości przypadków - poprawa dostępności komunikacyjnej, rozwój turystyki i infrastruktury wypoczynkowo-rekreacyjnej</w:t>
      </w:r>
      <w:r w:rsidR="00C929FE">
        <w:rPr>
          <w:color w:val="000000" w:themeColor="text1"/>
          <w:lang w:val="pl-PL"/>
        </w:rPr>
        <w:t xml:space="preserve"> (wykres poniżej). </w:t>
      </w:r>
    </w:p>
    <w:p w14:paraId="14D2E0FA" w14:textId="278AAFE2" w:rsidR="009938EA" w:rsidRPr="009938EA" w:rsidRDefault="009938EA" w:rsidP="009938EA">
      <w:pPr>
        <w:rPr>
          <w:b/>
          <w:bCs/>
          <w:lang w:val="pl-PL"/>
        </w:rPr>
      </w:pPr>
      <w:r>
        <w:rPr>
          <w:color w:val="000000" w:themeColor="text1"/>
          <w:lang w:val="pl-PL"/>
        </w:rPr>
        <w:t xml:space="preserve">Cele </w:t>
      </w:r>
      <w:r w:rsidR="005366A1">
        <w:rPr>
          <w:color w:val="000000" w:themeColor="text1"/>
          <w:lang w:val="pl-PL"/>
        </w:rPr>
        <w:t>ujęte w aktualnych strategiach</w:t>
      </w:r>
      <w:r>
        <w:rPr>
          <w:color w:val="000000" w:themeColor="text1"/>
          <w:lang w:val="pl-PL"/>
        </w:rPr>
        <w:t xml:space="preserve"> są spójne z przyjętymi kierunkami rozwojowymi Partnerstwa w szczególności z kierunkiem „</w:t>
      </w:r>
      <w:r w:rsidR="008004DC" w:rsidRPr="008004DC">
        <w:rPr>
          <w:lang w:val="pl-PL"/>
        </w:rPr>
        <w:t>Konkurencyjna gospodarka oparta na endogennych potencjałach Partnerstwa</w:t>
      </w:r>
      <w:r w:rsidRPr="00056471">
        <w:rPr>
          <w:color w:val="000000" w:themeColor="text1"/>
          <w:lang w:val="pl-PL"/>
        </w:rPr>
        <w:t>” (rozwój</w:t>
      </w:r>
      <w:r w:rsidRPr="00733091">
        <w:rPr>
          <w:color w:val="000000" w:themeColor="text1"/>
          <w:lang w:val="pl-PL"/>
        </w:rPr>
        <w:t xml:space="preserve"> przedsiębiorczości</w:t>
      </w:r>
      <w:r>
        <w:rPr>
          <w:color w:val="000000" w:themeColor="text1"/>
          <w:lang w:val="pl-PL"/>
        </w:rPr>
        <w:t xml:space="preserve">, </w:t>
      </w:r>
      <w:r w:rsidRPr="00733091">
        <w:rPr>
          <w:color w:val="000000" w:themeColor="text1"/>
          <w:lang w:val="pl-PL"/>
        </w:rPr>
        <w:t>ochrona środowiska naturalnego</w:t>
      </w:r>
      <w:r w:rsidR="00056471">
        <w:rPr>
          <w:color w:val="000000" w:themeColor="text1"/>
          <w:lang w:val="pl-PL"/>
        </w:rPr>
        <w:t xml:space="preserve">, </w:t>
      </w:r>
      <w:r w:rsidR="00056471" w:rsidRPr="00733091">
        <w:rPr>
          <w:color w:val="000000" w:themeColor="text1"/>
          <w:lang w:val="pl-PL"/>
        </w:rPr>
        <w:t xml:space="preserve">rozwój turystyki </w:t>
      </w:r>
      <w:r w:rsidR="00C929FE">
        <w:rPr>
          <w:color w:val="000000" w:themeColor="text1"/>
          <w:lang w:val="pl-PL"/>
        </w:rPr>
        <w:br/>
      </w:r>
      <w:r w:rsidR="00056471" w:rsidRPr="00733091">
        <w:rPr>
          <w:color w:val="000000" w:themeColor="text1"/>
          <w:lang w:val="pl-PL"/>
        </w:rPr>
        <w:t>i infrastruktury wypoczynkowo-rekreacyjnej</w:t>
      </w:r>
      <w:r>
        <w:rPr>
          <w:color w:val="000000" w:themeColor="text1"/>
          <w:lang w:val="pl-PL"/>
        </w:rPr>
        <w:t xml:space="preserve">) i </w:t>
      </w:r>
      <w:r w:rsidR="00056471">
        <w:rPr>
          <w:color w:val="000000" w:themeColor="text1"/>
          <w:lang w:val="pl-PL"/>
        </w:rPr>
        <w:t>kierunkiem „</w:t>
      </w:r>
      <w:r w:rsidR="00056471">
        <w:rPr>
          <w:lang w:val="pl-PL"/>
        </w:rPr>
        <w:t>Dostępny komunikacyjnie w wymiarze wewnętrznym i zewnętrznym obszar Partnerstwa</w:t>
      </w:r>
      <w:r w:rsidR="00056471">
        <w:rPr>
          <w:color w:val="000000" w:themeColor="text1"/>
          <w:lang w:val="pl-PL"/>
        </w:rPr>
        <w:t>” (</w:t>
      </w:r>
      <w:r w:rsidR="00056471" w:rsidRPr="00733091">
        <w:rPr>
          <w:color w:val="000000" w:themeColor="text1"/>
          <w:lang w:val="pl-PL"/>
        </w:rPr>
        <w:t>poprawa dostępności komunikacyjnej</w:t>
      </w:r>
      <w:r w:rsidR="00056471">
        <w:rPr>
          <w:color w:val="000000" w:themeColor="text1"/>
          <w:lang w:val="pl-PL"/>
        </w:rPr>
        <w:t>).</w:t>
      </w:r>
    </w:p>
    <w:p w14:paraId="02613475" w14:textId="1878F33B" w:rsidR="009938EA" w:rsidRPr="00733091" w:rsidRDefault="009938EA" w:rsidP="009938EA">
      <w:pPr>
        <w:pStyle w:val="Legenda"/>
        <w:rPr>
          <w:lang w:val="pl-PL"/>
        </w:rPr>
      </w:pPr>
      <w:bookmarkStart w:id="181" w:name="_Toc69723212"/>
      <w:r w:rsidRPr="00733091">
        <w:rPr>
          <w:lang w:val="pl-PL"/>
        </w:rPr>
        <w:lastRenderedPageBreak/>
        <w:t xml:space="preserve">Wykres </w:t>
      </w:r>
      <w:r>
        <w:fldChar w:fldCharType="begin"/>
      </w:r>
      <w:r w:rsidRPr="00733091">
        <w:rPr>
          <w:lang w:val="pl-PL"/>
        </w:rPr>
        <w:instrText xml:space="preserve"> SEQ Wykres \* ARABIC </w:instrText>
      </w:r>
      <w:r>
        <w:fldChar w:fldCharType="separate"/>
      </w:r>
      <w:r w:rsidR="00B14787">
        <w:rPr>
          <w:noProof/>
          <w:lang w:val="pl-PL"/>
        </w:rPr>
        <w:t>54</w:t>
      </w:r>
      <w:r>
        <w:rPr>
          <w:noProof/>
        </w:rPr>
        <w:fldChar w:fldCharType="end"/>
      </w:r>
      <w:r w:rsidRPr="00733091">
        <w:rPr>
          <w:lang w:val="pl-PL"/>
        </w:rPr>
        <w:t>: Wspólne kierunki strategiczne w dokumentach strategicznych Partnerstwa</w:t>
      </w:r>
      <w:bookmarkEnd w:id="181"/>
    </w:p>
    <w:p w14:paraId="66261916" w14:textId="77777777" w:rsidR="009938EA" w:rsidRPr="00733091" w:rsidRDefault="009938EA" w:rsidP="009938EA">
      <w:pPr>
        <w:pStyle w:val="podpiselementu"/>
        <w:spacing w:after="240"/>
        <w:rPr>
          <w:lang w:val="pl-PL" w:eastAsia="pl-PL"/>
        </w:rPr>
      </w:pPr>
      <w:r>
        <w:rPr>
          <w:noProof/>
        </w:rPr>
        <w:drawing>
          <wp:inline distT="0" distB="0" distL="0" distR="0" wp14:anchorId="32C38360" wp14:editId="1193BDC3">
            <wp:extent cx="5707380" cy="2751152"/>
            <wp:effectExtent l="0" t="0" r="7620" b="11430"/>
            <wp:docPr id="130" name="Wykres 130" descr="wykres słupkowy wskazujący stopień realizacji kierunków strategicznych – od góry - poprawę dostępności komunikacyjnej, rozwój infrastruktury wypoczynkowo-rekreacyjnej, ochronę środowiska naturalnego, dostosowanie oferty edukacyjnej do potrzeb rynku pracy, poprawę dostępności lub jakości usług zdrowotnych, rozwój przedsiębiorczości, rozwój turystyki">
              <a:extLst xmlns:a="http://schemas.openxmlformats.org/drawingml/2006/main">
                <a:ext uri="{FF2B5EF4-FFF2-40B4-BE49-F238E27FC236}">
                  <a16:creationId xmlns:a16="http://schemas.microsoft.com/office/drawing/2014/main" id="{47888B88-1132-4A90-956A-CC4D236803C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1"/>
              </a:graphicData>
            </a:graphic>
          </wp:inline>
        </w:drawing>
      </w:r>
      <w:r w:rsidRPr="00733091">
        <w:rPr>
          <w:lang w:val="pl-PL"/>
        </w:rPr>
        <w:t>Źródło: opracowanie własne na</w:t>
      </w:r>
      <w:r w:rsidRPr="00733091">
        <w:rPr>
          <w:lang w:val="pl-PL" w:eastAsia="pl-PL"/>
        </w:rPr>
        <w:t xml:space="preserve"> podstawie badania członków Partnerstwa</w:t>
      </w:r>
    </w:p>
    <w:p w14:paraId="51570102" w14:textId="34390D3E" w:rsidR="009938EA" w:rsidRPr="00111213" w:rsidRDefault="009938EA" w:rsidP="009938EA">
      <w:pPr>
        <w:rPr>
          <w:lang w:val="pl-PL"/>
        </w:rPr>
      </w:pPr>
      <w:r w:rsidRPr="00733091">
        <w:rPr>
          <w:lang w:val="pl-PL"/>
        </w:rPr>
        <w:t>Większość Partnerów - od 60% do 80% w zależności od kierunków- zrealizowała przyjęte w ramach kierunków cele strategiczne w niepełnym zakresie (wykres poniżej).</w:t>
      </w:r>
    </w:p>
    <w:p w14:paraId="11CE9926" w14:textId="2DE45DC8" w:rsidR="009938EA" w:rsidRPr="00733091" w:rsidRDefault="009938EA" w:rsidP="009938EA">
      <w:pPr>
        <w:pStyle w:val="Legenda"/>
        <w:rPr>
          <w:lang w:val="pl-PL"/>
        </w:rPr>
      </w:pPr>
      <w:bookmarkStart w:id="182" w:name="_Toc69723213"/>
      <w:r w:rsidRPr="00733091">
        <w:rPr>
          <w:lang w:val="pl-PL"/>
        </w:rPr>
        <w:t xml:space="preserve">Wykres </w:t>
      </w:r>
      <w:r>
        <w:fldChar w:fldCharType="begin"/>
      </w:r>
      <w:r w:rsidRPr="00733091">
        <w:rPr>
          <w:lang w:val="pl-PL"/>
        </w:rPr>
        <w:instrText xml:space="preserve"> SEQ Wykres \* ARABIC </w:instrText>
      </w:r>
      <w:r>
        <w:fldChar w:fldCharType="separate"/>
      </w:r>
      <w:r w:rsidR="00B14787">
        <w:rPr>
          <w:noProof/>
          <w:lang w:val="pl-PL"/>
        </w:rPr>
        <w:t>55</w:t>
      </w:r>
      <w:r>
        <w:rPr>
          <w:noProof/>
        </w:rPr>
        <w:fldChar w:fldCharType="end"/>
      </w:r>
      <w:r w:rsidRPr="00733091">
        <w:rPr>
          <w:lang w:val="pl-PL"/>
        </w:rPr>
        <w:t>: Realizacja celów strategicznych</w:t>
      </w:r>
      <w:bookmarkEnd w:id="182"/>
    </w:p>
    <w:p w14:paraId="3DD5FE1A" w14:textId="77777777" w:rsidR="009938EA" w:rsidRPr="00733091" w:rsidRDefault="009938EA" w:rsidP="009938EA">
      <w:pPr>
        <w:pStyle w:val="podpiselementu"/>
        <w:spacing w:after="240"/>
        <w:rPr>
          <w:lang w:val="pl-PL"/>
        </w:rPr>
      </w:pPr>
      <w:r>
        <w:rPr>
          <w:noProof/>
        </w:rPr>
        <w:drawing>
          <wp:inline distT="0" distB="0" distL="0" distR="0" wp14:anchorId="6BE3AB0B" wp14:editId="1825B099">
            <wp:extent cx="5699760" cy="2989691"/>
            <wp:effectExtent l="0" t="0" r="15240" b="1270"/>
            <wp:docPr id="131" name="Wykres 131" descr="wykres słupkowy wskazujący stopień realizacji celów strategicznych przez JST partnerstwa w latach  2015-2019; niebieski kolor oznacza zrealizowanie celów, pomarańczowy brak realizacji celów, szary niepełna realizację celów. Kolor żółty oznacza, że pytanie nie dotyczyło respondenta  ">
              <a:extLst xmlns:a="http://schemas.openxmlformats.org/drawingml/2006/main">
                <a:ext uri="{FF2B5EF4-FFF2-40B4-BE49-F238E27FC236}">
                  <a16:creationId xmlns:a16="http://schemas.microsoft.com/office/drawing/2014/main" id="{97217C70-786A-4BAF-8A4B-252E508D301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2"/>
              </a:graphicData>
            </a:graphic>
          </wp:inline>
        </w:drawing>
      </w:r>
      <w:r w:rsidRPr="00733091">
        <w:rPr>
          <w:rStyle w:val="podpiselementuZnak"/>
          <w:lang w:val="pl-PL"/>
        </w:rPr>
        <w:t>Źródło: opracowanie własne na podstawie badania członków Partnerstwa</w:t>
      </w:r>
    </w:p>
    <w:p w14:paraId="5582073B" w14:textId="77777777" w:rsidR="009938EA" w:rsidRPr="00733091" w:rsidRDefault="009938EA" w:rsidP="009938EA">
      <w:pPr>
        <w:contextualSpacing/>
        <w:rPr>
          <w:rFonts w:cstheme="minorHAnsi"/>
          <w:color w:val="000000" w:themeColor="text1"/>
          <w:lang w:val="pl-PL"/>
        </w:rPr>
      </w:pPr>
    </w:p>
    <w:p w14:paraId="785C4FD3" w14:textId="77777777" w:rsidR="009938EA" w:rsidRPr="00733091" w:rsidRDefault="009938EA" w:rsidP="009938EA">
      <w:pPr>
        <w:rPr>
          <w:lang w:val="pl-PL"/>
        </w:rPr>
      </w:pPr>
      <w:r w:rsidRPr="00733091">
        <w:rPr>
          <w:lang w:val="pl-PL"/>
        </w:rPr>
        <w:t xml:space="preserve">Główną przyczyną uniemożliwiającą lub utrudniającą pełną realizację celów był brak środków finansowych na realizację zadań rozwojowych, który jest </w:t>
      </w:r>
      <w:r w:rsidRPr="00733091">
        <w:rPr>
          <w:b/>
          <w:bCs/>
          <w:lang w:val="pl-PL"/>
        </w:rPr>
        <w:t>konsekwencją istnienia barier rozwojowych</w:t>
      </w:r>
      <w:r w:rsidRPr="00733091">
        <w:rPr>
          <w:lang w:val="pl-PL"/>
        </w:rPr>
        <w:t xml:space="preserve"> oraz </w:t>
      </w:r>
      <w:r w:rsidRPr="00733091">
        <w:rPr>
          <w:b/>
          <w:bCs/>
          <w:lang w:val="pl-PL"/>
        </w:rPr>
        <w:t xml:space="preserve">niepełnego wykorzystania </w:t>
      </w:r>
      <w:r w:rsidRPr="00733091">
        <w:rPr>
          <w:b/>
          <w:bCs/>
          <w:lang w:val="pl-PL"/>
        </w:rPr>
        <w:lastRenderedPageBreak/>
        <w:t>potencjału instytucjonalnego Partnerstwa</w:t>
      </w:r>
      <w:r w:rsidRPr="00733091">
        <w:rPr>
          <w:lang w:val="pl-PL"/>
        </w:rPr>
        <w:t xml:space="preserve"> w zakresie pozyskiwania zewnętrznych źródeł finansowania</w:t>
      </w:r>
      <w:r>
        <w:rPr>
          <w:rStyle w:val="Odwoanieprzypisudolnego"/>
          <w:rFonts w:cstheme="minorHAnsi"/>
          <w:color w:val="000000" w:themeColor="text1"/>
        </w:rPr>
        <w:footnoteReference w:id="118"/>
      </w:r>
      <w:r w:rsidRPr="00733091">
        <w:rPr>
          <w:lang w:val="pl-PL"/>
        </w:rPr>
        <w:t>.</w:t>
      </w:r>
    </w:p>
    <w:p w14:paraId="189FCF00" w14:textId="53BB9C96" w:rsidR="00844583" w:rsidRPr="00844583" w:rsidRDefault="009938EA" w:rsidP="00056471">
      <w:pPr>
        <w:rPr>
          <w:lang w:val="pl-PL"/>
        </w:rPr>
      </w:pPr>
      <w:r w:rsidRPr="00733091">
        <w:rPr>
          <w:lang w:val="pl-PL"/>
        </w:rPr>
        <w:t>Współpraca w ramach Partnerstwa, wykorzystująca zasoby wiedzy i doświadczenia członków Partnerstwa zwiększy prawdopodobieństwo realizacji zamierzeń strategicznych w całości lub większym zakresie niż dotychczas.</w:t>
      </w:r>
    </w:p>
    <w:p w14:paraId="2664B0A7" w14:textId="24DD53FC" w:rsidR="00E035C6" w:rsidRPr="00690E7F" w:rsidRDefault="00AE14D7" w:rsidP="00733091">
      <w:pPr>
        <w:pStyle w:val="Nagwek2"/>
        <w:spacing w:before="120"/>
        <w:rPr>
          <w:lang w:val="en-US"/>
        </w:rPr>
      </w:pPr>
      <w:bookmarkStart w:id="183" w:name="_Toc69725460"/>
      <w:r w:rsidRPr="00AE14D7">
        <w:rPr>
          <w:lang w:val="en-US"/>
        </w:rPr>
        <w:t>Determinanty rozwoju Partnerstwa</w:t>
      </w:r>
      <w:bookmarkEnd w:id="183"/>
    </w:p>
    <w:p w14:paraId="234E2128" w14:textId="6C9F2ABB" w:rsidR="00761CB0" w:rsidRPr="00111213" w:rsidRDefault="00761CB0" w:rsidP="00111213">
      <w:pPr>
        <w:rPr>
          <w:b/>
          <w:bCs/>
          <w:lang w:val="pl-PL"/>
        </w:rPr>
      </w:pPr>
      <w:bookmarkStart w:id="184" w:name="_Hlk66205221"/>
      <w:r w:rsidRPr="00733091">
        <w:rPr>
          <w:lang w:val="pl-PL"/>
        </w:rPr>
        <w:t>Po przeanalizowaniu słabych i mocnych stron oraz szans i zagrożeń</w:t>
      </w:r>
      <w:r w:rsidR="006B091D">
        <w:rPr>
          <w:lang w:val="pl-PL"/>
        </w:rPr>
        <w:t xml:space="preserve"> </w:t>
      </w:r>
      <w:r w:rsidRPr="00733091">
        <w:rPr>
          <w:lang w:val="pl-PL"/>
        </w:rPr>
        <w:t xml:space="preserve">wybrano </w:t>
      </w:r>
      <w:r w:rsidRPr="00733091">
        <w:rPr>
          <w:b/>
          <w:bCs/>
          <w:lang w:val="pl-PL"/>
        </w:rPr>
        <w:t xml:space="preserve">determinanty rozwoju Partnerstwa, czyli czynniki, które warunkują zrealizowanie </w:t>
      </w:r>
      <w:r w:rsidR="00ED67FA">
        <w:rPr>
          <w:b/>
          <w:bCs/>
          <w:lang w:val="pl-PL"/>
        </w:rPr>
        <w:t xml:space="preserve">wybranych na początkowym etapie, a następnie potwierdzonych diagnozą </w:t>
      </w:r>
      <w:r w:rsidRPr="00733091">
        <w:rPr>
          <w:b/>
          <w:bCs/>
          <w:lang w:val="pl-PL"/>
        </w:rPr>
        <w:t>kierunków</w:t>
      </w:r>
      <w:r w:rsidR="006B091D">
        <w:rPr>
          <w:b/>
          <w:bCs/>
          <w:lang w:val="pl-PL"/>
        </w:rPr>
        <w:t xml:space="preserve"> rozwojowych</w:t>
      </w:r>
      <w:r w:rsidR="00ED67FA">
        <w:rPr>
          <w:b/>
          <w:bCs/>
          <w:lang w:val="pl-PL"/>
        </w:rPr>
        <w:t xml:space="preserve"> Partnerstwa.</w:t>
      </w:r>
      <w:r w:rsidR="00970E36">
        <w:rPr>
          <w:b/>
          <w:bCs/>
          <w:lang w:val="pl-PL"/>
        </w:rPr>
        <w:t xml:space="preserve"> </w:t>
      </w:r>
    </w:p>
    <w:p w14:paraId="075AD11A" w14:textId="1EC087BB" w:rsidR="00761CB0" w:rsidRPr="00733091" w:rsidRDefault="00761CB0" w:rsidP="00733091">
      <w:pPr>
        <w:rPr>
          <w:lang w:val="pl-PL"/>
        </w:rPr>
      </w:pPr>
      <w:r w:rsidRPr="00733091">
        <w:rPr>
          <w:lang w:val="pl-PL"/>
        </w:rPr>
        <w:t xml:space="preserve">Tabela poniżej wskazuje determinanty, a także powiązane z nimi wyzwania rozwojowe (działania, które </w:t>
      </w:r>
      <w:r w:rsidR="00970E36">
        <w:rPr>
          <w:lang w:val="pl-PL"/>
        </w:rPr>
        <w:t>ograniczają/niwelują skutki problemów) i bez podjęcia których</w:t>
      </w:r>
      <w:r w:rsidRPr="00733091">
        <w:rPr>
          <w:lang w:val="pl-PL"/>
        </w:rPr>
        <w:t xml:space="preserve"> determinanta </w:t>
      </w:r>
      <w:r w:rsidR="00970E36">
        <w:rPr>
          <w:lang w:val="pl-PL"/>
        </w:rPr>
        <w:t xml:space="preserve">nie zaistnieje. </w:t>
      </w:r>
    </w:p>
    <w:p w14:paraId="1212D669" w14:textId="57C9197C" w:rsidR="00111213" w:rsidRPr="00733091" w:rsidRDefault="00761CB0" w:rsidP="002E5B76">
      <w:pPr>
        <w:rPr>
          <w:lang w:val="pl-PL"/>
        </w:rPr>
      </w:pPr>
      <w:r w:rsidRPr="00733091">
        <w:rPr>
          <w:lang w:val="pl-PL"/>
        </w:rPr>
        <w:t xml:space="preserve">Determinanty i wyzwania rozwojowe Partnerstwa oraz wpływ determinanty na </w:t>
      </w:r>
      <w:r w:rsidR="00970E36">
        <w:rPr>
          <w:lang w:val="pl-PL"/>
        </w:rPr>
        <w:t>rozwój</w:t>
      </w:r>
      <w:r w:rsidRPr="00733091">
        <w:rPr>
          <w:lang w:val="pl-PL"/>
        </w:rPr>
        <w:t xml:space="preserve"> Partnerstwa pr</w:t>
      </w:r>
      <w:r w:rsidR="00970E36">
        <w:rPr>
          <w:lang w:val="pl-PL"/>
        </w:rPr>
        <w:t xml:space="preserve">ezentuje </w:t>
      </w:r>
      <w:r w:rsidRPr="00733091">
        <w:rPr>
          <w:lang w:val="pl-PL"/>
        </w:rPr>
        <w:t>poniższa tabela.</w:t>
      </w:r>
    </w:p>
    <w:p w14:paraId="0180A80E" w14:textId="2DD75D65" w:rsidR="0085103A" w:rsidRDefault="00761CB0" w:rsidP="002E24A9">
      <w:pPr>
        <w:pStyle w:val="Legenda"/>
      </w:pPr>
      <w:bookmarkStart w:id="185" w:name="_Toc69723285"/>
      <w:bookmarkEnd w:id="184"/>
      <w:r>
        <w:t xml:space="preserve">Tabela </w:t>
      </w:r>
      <w:r w:rsidR="00733091">
        <w:fldChar w:fldCharType="begin"/>
      </w:r>
      <w:r w:rsidR="00733091">
        <w:instrText xml:space="preserve"> SEQ Tabela \* ARABIC </w:instrText>
      </w:r>
      <w:r w:rsidR="00733091">
        <w:fldChar w:fldCharType="separate"/>
      </w:r>
      <w:r w:rsidR="00B14787">
        <w:rPr>
          <w:noProof/>
        </w:rPr>
        <w:t>36</w:t>
      </w:r>
      <w:r w:rsidR="00733091">
        <w:rPr>
          <w:noProof/>
        </w:rPr>
        <w:fldChar w:fldCharType="end"/>
      </w:r>
      <w:r>
        <w:t>: Determinanty rozwojowe</w:t>
      </w:r>
      <w:bookmarkEnd w:id="185"/>
    </w:p>
    <w:tbl>
      <w:tblPr>
        <w:tblStyle w:val="CWD"/>
        <w:tblW w:w="9067" w:type="dxa"/>
        <w:tblLook w:val="04A0" w:firstRow="1" w:lastRow="0" w:firstColumn="1" w:lastColumn="0" w:noHBand="0" w:noVBand="1"/>
      </w:tblPr>
      <w:tblGrid>
        <w:gridCol w:w="2405"/>
        <w:gridCol w:w="3686"/>
        <w:gridCol w:w="2976"/>
      </w:tblGrid>
      <w:tr w:rsidR="003E270F" w14:paraId="6E0FDBD4" w14:textId="77777777" w:rsidTr="003E270F">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405" w:type="dxa"/>
          </w:tcPr>
          <w:p w14:paraId="6EC0E952" w14:textId="2FC35FB7" w:rsidR="003E270F" w:rsidRDefault="003E270F" w:rsidP="009E4562">
            <w:pPr>
              <w:spacing w:line="259" w:lineRule="auto"/>
              <w:ind w:left="0"/>
              <w:contextualSpacing/>
            </w:pPr>
            <w:r w:rsidRPr="00CC5394">
              <w:rPr>
                <w:rFonts w:cstheme="minorHAnsi"/>
                <w:szCs w:val="24"/>
              </w:rPr>
              <w:br/>
              <w:t>Determinanty</w:t>
            </w:r>
          </w:p>
        </w:tc>
        <w:tc>
          <w:tcPr>
            <w:tcW w:w="3686" w:type="dxa"/>
          </w:tcPr>
          <w:p w14:paraId="79C3D3DD" w14:textId="753BC9EA" w:rsidR="003E270F" w:rsidRPr="003E270F" w:rsidRDefault="003E270F" w:rsidP="009E4562">
            <w:pPr>
              <w:spacing w:line="259" w:lineRule="auto"/>
              <w:ind w:left="0"/>
              <w:contextualSpacing/>
              <w:cnfStyle w:val="100000000000" w:firstRow="1" w:lastRow="0" w:firstColumn="0" w:lastColumn="0" w:oddVBand="0" w:evenVBand="0" w:oddHBand="0" w:evenHBand="0" w:firstRowFirstColumn="0" w:firstRowLastColumn="0" w:lastRowFirstColumn="0" w:lastRowLastColumn="0"/>
              <w:rPr>
                <w:lang w:val="pl-PL"/>
              </w:rPr>
            </w:pPr>
            <w:r w:rsidRPr="003E270F">
              <w:rPr>
                <w:rFonts w:cstheme="minorHAnsi"/>
                <w:szCs w:val="24"/>
                <w:lang w:val="pl-PL"/>
              </w:rPr>
              <w:t>Wpływ determinanty na rozwój obszaru</w:t>
            </w:r>
          </w:p>
        </w:tc>
        <w:tc>
          <w:tcPr>
            <w:tcW w:w="2976" w:type="dxa"/>
          </w:tcPr>
          <w:p w14:paraId="68A3C6D6" w14:textId="11BE1F6E" w:rsidR="003E270F" w:rsidRDefault="003E270F" w:rsidP="009E4562">
            <w:pPr>
              <w:spacing w:line="259" w:lineRule="auto"/>
              <w:ind w:left="0"/>
              <w:contextualSpacing/>
              <w:cnfStyle w:val="100000000000" w:firstRow="1" w:lastRow="0" w:firstColumn="0" w:lastColumn="0" w:oddVBand="0" w:evenVBand="0" w:oddHBand="0" w:evenHBand="0" w:firstRowFirstColumn="0" w:firstRowLastColumn="0" w:lastRowFirstColumn="0" w:lastRowLastColumn="0"/>
            </w:pPr>
            <w:r w:rsidRPr="003E270F">
              <w:rPr>
                <w:rFonts w:cstheme="minorHAnsi"/>
                <w:szCs w:val="24"/>
                <w:lang w:val="pl-PL"/>
              </w:rPr>
              <w:br/>
              <w:t xml:space="preserve"> </w:t>
            </w:r>
            <w:r w:rsidRPr="00CC5394">
              <w:rPr>
                <w:rFonts w:cstheme="minorHAnsi"/>
                <w:szCs w:val="24"/>
              </w:rPr>
              <w:t>Wyzwania rozwojowe</w:t>
            </w:r>
          </w:p>
        </w:tc>
      </w:tr>
      <w:tr w:rsidR="003E270F" w14:paraId="17CC0149" w14:textId="77777777" w:rsidTr="003E270F">
        <w:tc>
          <w:tcPr>
            <w:cnfStyle w:val="001000000000" w:firstRow="0" w:lastRow="0" w:firstColumn="1" w:lastColumn="0" w:oddVBand="0" w:evenVBand="0" w:oddHBand="0" w:evenHBand="0" w:firstRowFirstColumn="0" w:firstRowLastColumn="0" w:lastRowFirstColumn="0" w:lastRowLastColumn="0"/>
            <w:tcW w:w="2405" w:type="dxa"/>
          </w:tcPr>
          <w:p w14:paraId="717136EB" w14:textId="398E3315" w:rsidR="003E270F" w:rsidRDefault="003E270F" w:rsidP="009E4562">
            <w:pPr>
              <w:spacing w:line="259" w:lineRule="auto"/>
              <w:ind w:left="0"/>
              <w:contextualSpacing/>
            </w:pPr>
            <w:r w:rsidRPr="00CC5394">
              <w:rPr>
                <w:rFonts w:cstheme="minorHAnsi"/>
                <w:szCs w:val="24"/>
              </w:rPr>
              <w:t>Dostępność komunikacyjna i cyfrowa</w:t>
            </w:r>
          </w:p>
        </w:tc>
        <w:tc>
          <w:tcPr>
            <w:tcW w:w="3686" w:type="dxa"/>
          </w:tcPr>
          <w:p w14:paraId="2AE338AF" w14:textId="312420E0" w:rsidR="003E270F" w:rsidRDefault="003E270F" w:rsidP="009E4562">
            <w:pPr>
              <w:pStyle w:val="elementgraficznytabela"/>
              <w:spacing w:after="240" w:line="259" w:lineRule="auto"/>
              <w:contextualSpacing/>
              <w:cnfStyle w:val="000000000000" w:firstRow="0" w:lastRow="0" w:firstColumn="0" w:lastColumn="0" w:oddVBand="0" w:evenVBand="0" w:oddHBand="0" w:evenHBand="0" w:firstRowFirstColumn="0" w:firstRowLastColumn="0" w:lastRowFirstColumn="0" w:lastRowLastColumn="0"/>
              <w:rPr>
                <w:rFonts w:cstheme="minorHAnsi"/>
                <w:szCs w:val="24"/>
              </w:rPr>
            </w:pPr>
            <w:r w:rsidRPr="00CC5394">
              <w:rPr>
                <w:rFonts w:cstheme="minorHAnsi"/>
                <w:szCs w:val="24"/>
              </w:rPr>
              <w:t xml:space="preserve">Poprawa dostępności komunikacyjnej i cyfrowej jest warunkiem wzmocnienia powiązań funkcjonalnych wewnątrz obszaru Partnerstwa i przyczyni się do </w:t>
            </w:r>
            <w:r w:rsidRPr="00EB6192">
              <w:rPr>
                <w:rFonts w:cstheme="minorHAnsi"/>
                <w:szCs w:val="24"/>
              </w:rPr>
              <w:t>stworzenia policentrycznego obszaru funkcjonalnego</w:t>
            </w:r>
            <w:r w:rsidRPr="00CC5394">
              <w:rPr>
                <w:rFonts w:cstheme="minorHAnsi"/>
                <w:szCs w:val="24"/>
              </w:rPr>
              <w:t>.</w:t>
            </w:r>
            <w:r>
              <w:rPr>
                <w:rFonts w:cstheme="minorHAnsi"/>
                <w:szCs w:val="24"/>
              </w:rPr>
              <w:t xml:space="preserve"> </w:t>
            </w:r>
          </w:p>
          <w:p w14:paraId="1F54CC96" w14:textId="621DC389" w:rsidR="003E270F" w:rsidRPr="003E270F" w:rsidRDefault="003E270F" w:rsidP="009E4562">
            <w:pPr>
              <w:pStyle w:val="elementgraficznytabela"/>
              <w:spacing w:after="240" w:line="259" w:lineRule="auto"/>
              <w:contextualSpacing/>
              <w:cnfStyle w:val="000000000000" w:firstRow="0" w:lastRow="0" w:firstColumn="0" w:lastColumn="0" w:oddVBand="0" w:evenVBand="0" w:oddHBand="0" w:evenHBand="0" w:firstRowFirstColumn="0" w:firstRowLastColumn="0" w:lastRowFirstColumn="0" w:lastRowLastColumn="0"/>
              <w:rPr>
                <w:rFonts w:cstheme="minorHAnsi"/>
                <w:szCs w:val="24"/>
              </w:rPr>
            </w:pPr>
            <w:r w:rsidRPr="003E270F">
              <w:rPr>
                <w:rFonts w:cstheme="minorHAnsi"/>
                <w:szCs w:val="24"/>
              </w:rPr>
              <w:t xml:space="preserve">Ułatwi ona specjalizację usług edukacyjnych, społecznych i zdrowotnych. Efektem poprawy dostępności komunikacyjnej obszaru będzie podniesienie jakości życia mieszkańców, rozwój przedsiębiorczości (szczególnie turystyki), zmniejszenie dysproporcji w poziomie rozwoju </w:t>
            </w:r>
            <w:r w:rsidRPr="003E270F">
              <w:rPr>
                <w:rFonts w:cstheme="minorHAnsi"/>
                <w:szCs w:val="24"/>
              </w:rPr>
              <w:lastRenderedPageBreak/>
              <w:t>społeczno-gospodarczego gmin wchodzących w skład Partnerstwa oraz zwiększenie konkurencyjności obszaru.</w:t>
            </w:r>
          </w:p>
        </w:tc>
        <w:tc>
          <w:tcPr>
            <w:tcW w:w="2976" w:type="dxa"/>
          </w:tcPr>
          <w:p w14:paraId="0C9E439B" w14:textId="634F2858" w:rsidR="003E270F" w:rsidRPr="00CC5394" w:rsidRDefault="00EB6192" w:rsidP="00B063F0">
            <w:pPr>
              <w:pStyle w:val="elementgraficznytabela"/>
              <w:numPr>
                <w:ilvl w:val="0"/>
                <w:numId w:val="41"/>
              </w:numPr>
              <w:spacing w:after="240" w:line="259" w:lineRule="auto"/>
              <w:contextualSpacing/>
              <w:cnfStyle w:val="000000000000" w:firstRow="0" w:lastRow="0" w:firstColumn="0" w:lastColumn="0" w:oddVBand="0" w:evenVBand="0" w:oddHBand="0" w:evenHBand="0" w:firstRowFirstColumn="0" w:firstRowLastColumn="0" w:lastRowFirstColumn="0" w:lastRowLastColumn="0"/>
              <w:rPr>
                <w:rFonts w:cstheme="minorHAnsi"/>
                <w:szCs w:val="24"/>
              </w:rPr>
            </w:pPr>
            <w:r>
              <w:rPr>
                <w:rFonts w:cstheme="minorHAnsi"/>
                <w:szCs w:val="24"/>
              </w:rPr>
              <w:lastRenderedPageBreak/>
              <w:t>Tworzenie</w:t>
            </w:r>
            <w:r w:rsidR="003E270F" w:rsidRPr="00CC5394">
              <w:rPr>
                <w:rFonts w:cstheme="minorHAnsi"/>
                <w:szCs w:val="24"/>
              </w:rPr>
              <w:t xml:space="preserve"> nowych</w:t>
            </w:r>
            <w:r>
              <w:rPr>
                <w:rFonts w:cstheme="minorHAnsi"/>
                <w:szCs w:val="24"/>
              </w:rPr>
              <w:t xml:space="preserve"> lub </w:t>
            </w:r>
            <w:r w:rsidR="003E270F" w:rsidRPr="00CC5394">
              <w:rPr>
                <w:rFonts w:cstheme="minorHAnsi"/>
                <w:szCs w:val="24"/>
              </w:rPr>
              <w:t>modernizacj</w:t>
            </w:r>
            <w:r>
              <w:rPr>
                <w:rFonts w:cstheme="minorHAnsi"/>
                <w:szCs w:val="24"/>
              </w:rPr>
              <w:t>a</w:t>
            </w:r>
            <w:r w:rsidR="003E270F" w:rsidRPr="00CC5394">
              <w:rPr>
                <w:rFonts w:cstheme="minorHAnsi"/>
                <w:szCs w:val="24"/>
              </w:rPr>
              <w:t xml:space="preserve"> połączeń komunikacyjne wewnątrz obszaru i z otoczeniem zewnętrznym)</w:t>
            </w:r>
          </w:p>
          <w:p w14:paraId="26934780" w14:textId="77777777" w:rsidR="003E270F" w:rsidRDefault="003E270F" w:rsidP="00B063F0">
            <w:pPr>
              <w:pStyle w:val="elementgraficznytabela"/>
              <w:numPr>
                <w:ilvl w:val="0"/>
                <w:numId w:val="41"/>
              </w:numPr>
              <w:spacing w:after="240" w:line="259" w:lineRule="auto"/>
              <w:contextualSpacing/>
              <w:cnfStyle w:val="000000000000" w:firstRow="0" w:lastRow="0" w:firstColumn="0" w:lastColumn="0" w:oddVBand="0" w:evenVBand="0" w:oddHBand="0" w:evenHBand="0" w:firstRowFirstColumn="0" w:firstRowLastColumn="0" w:lastRowFirstColumn="0" w:lastRowLastColumn="0"/>
              <w:rPr>
                <w:rFonts w:cstheme="minorHAnsi"/>
                <w:szCs w:val="24"/>
              </w:rPr>
            </w:pPr>
            <w:r w:rsidRPr="00CC5394">
              <w:rPr>
                <w:rFonts w:cstheme="minorHAnsi"/>
                <w:szCs w:val="24"/>
              </w:rPr>
              <w:t>Poprawa jakości dróg lokalnych</w:t>
            </w:r>
          </w:p>
          <w:p w14:paraId="133949AC" w14:textId="4293438D" w:rsidR="003E270F" w:rsidRPr="003E270F" w:rsidRDefault="003E270F" w:rsidP="00B063F0">
            <w:pPr>
              <w:pStyle w:val="elementgraficznytabela"/>
              <w:numPr>
                <w:ilvl w:val="0"/>
                <w:numId w:val="41"/>
              </w:numPr>
              <w:spacing w:after="240" w:line="259" w:lineRule="auto"/>
              <w:contextualSpacing/>
              <w:cnfStyle w:val="000000000000" w:firstRow="0" w:lastRow="0" w:firstColumn="0" w:lastColumn="0" w:oddVBand="0" w:evenVBand="0" w:oddHBand="0" w:evenHBand="0" w:firstRowFirstColumn="0" w:firstRowLastColumn="0" w:lastRowFirstColumn="0" w:lastRowLastColumn="0"/>
              <w:rPr>
                <w:rFonts w:cstheme="minorHAnsi"/>
                <w:szCs w:val="24"/>
              </w:rPr>
            </w:pPr>
            <w:r w:rsidRPr="003E270F">
              <w:rPr>
                <w:rFonts w:cstheme="minorHAnsi"/>
                <w:szCs w:val="24"/>
              </w:rPr>
              <w:t>Poprawa systemu komunikacji publicznej</w:t>
            </w:r>
          </w:p>
        </w:tc>
      </w:tr>
      <w:tr w:rsidR="003E270F" w:rsidRPr="00176303" w14:paraId="58AE83F9" w14:textId="77777777" w:rsidTr="003E270F">
        <w:tc>
          <w:tcPr>
            <w:cnfStyle w:val="001000000000" w:firstRow="0" w:lastRow="0" w:firstColumn="1" w:lastColumn="0" w:oddVBand="0" w:evenVBand="0" w:oddHBand="0" w:evenHBand="0" w:firstRowFirstColumn="0" w:firstRowLastColumn="0" w:lastRowFirstColumn="0" w:lastRowLastColumn="0"/>
            <w:tcW w:w="2405" w:type="dxa"/>
          </w:tcPr>
          <w:p w14:paraId="39591B3A" w14:textId="77777777" w:rsidR="003E270F" w:rsidRPr="00CC5394" w:rsidRDefault="003E270F" w:rsidP="009E4562">
            <w:pPr>
              <w:pStyle w:val="elementgraficznytabela"/>
              <w:spacing w:after="240" w:line="259" w:lineRule="auto"/>
              <w:contextualSpacing/>
              <w:rPr>
                <w:rFonts w:cstheme="minorHAnsi"/>
                <w:szCs w:val="24"/>
              </w:rPr>
            </w:pPr>
            <w:r w:rsidRPr="00CC5394">
              <w:rPr>
                <w:rFonts w:cstheme="minorHAnsi"/>
                <w:szCs w:val="24"/>
              </w:rPr>
              <w:t>Aktywni i zintegrowani mieszkańcy</w:t>
            </w:r>
          </w:p>
          <w:p w14:paraId="085A1109" w14:textId="77777777" w:rsidR="003E270F" w:rsidRDefault="003E270F" w:rsidP="009E4562">
            <w:pPr>
              <w:spacing w:line="259" w:lineRule="auto"/>
              <w:ind w:left="0"/>
              <w:contextualSpacing/>
            </w:pPr>
          </w:p>
        </w:tc>
        <w:tc>
          <w:tcPr>
            <w:tcW w:w="3686" w:type="dxa"/>
          </w:tcPr>
          <w:p w14:paraId="024C2CA3" w14:textId="2A7652A5" w:rsidR="003E270F" w:rsidRPr="003E270F" w:rsidRDefault="003E270F" w:rsidP="009E4562">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sidRPr="003E270F">
              <w:rPr>
                <w:rFonts w:cstheme="minorHAnsi"/>
                <w:szCs w:val="24"/>
                <w:lang w:val="pl-PL"/>
              </w:rPr>
              <w:t>Zwiększenie integracji i aktywności, zarówno społecznej, jak i gospodarczej mieszkańców będzie oddziaływać na ograniczenie zjawiska migracji i  oraz pozytywnie wpłynie na poprawę stanu gospodarki obszaru.</w:t>
            </w:r>
          </w:p>
        </w:tc>
        <w:tc>
          <w:tcPr>
            <w:tcW w:w="2976" w:type="dxa"/>
          </w:tcPr>
          <w:p w14:paraId="184D3DDD" w14:textId="15EB5B23" w:rsidR="003E270F" w:rsidRPr="00CC5394" w:rsidRDefault="00ED67FA" w:rsidP="00B063F0">
            <w:pPr>
              <w:pStyle w:val="elementgraficznytabela"/>
              <w:numPr>
                <w:ilvl w:val="0"/>
                <w:numId w:val="41"/>
              </w:numPr>
              <w:spacing w:after="240" w:line="259" w:lineRule="auto"/>
              <w:contextualSpacing/>
              <w:cnfStyle w:val="000000000000" w:firstRow="0" w:lastRow="0" w:firstColumn="0" w:lastColumn="0" w:oddVBand="0" w:evenVBand="0" w:oddHBand="0" w:evenHBand="0" w:firstRowFirstColumn="0" w:firstRowLastColumn="0" w:lastRowFirstColumn="0" w:lastRowLastColumn="0"/>
              <w:rPr>
                <w:rFonts w:cstheme="minorHAnsi"/>
                <w:szCs w:val="24"/>
              </w:rPr>
            </w:pPr>
            <w:r>
              <w:rPr>
                <w:rFonts w:cstheme="minorHAnsi"/>
                <w:szCs w:val="24"/>
              </w:rPr>
              <w:t>T</w:t>
            </w:r>
            <w:r w:rsidR="003E270F" w:rsidRPr="00CC5394">
              <w:rPr>
                <w:rFonts w:cstheme="minorHAnsi"/>
                <w:szCs w:val="24"/>
              </w:rPr>
              <w:t>worzenie warunków do rozwoju przedsiębiorczości</w:t>
            </w:r>
          </w:p>
          <w:p w14:paraId="664B0A6B" w14:textId="77777777" w:rsidR="003E270F" w:rsidRPr="00CC5394" w:rsidRDefault="003E270F" w:rsidP="00B063F0">
            <w:pPr>
              <w:pStyle w:val="elementgraficznytabela"/>
              <w:numPr>
                <w:ilvl w:val="0"/>
                <w:numId w:val="41"/>
              </w:numPr>
              <w:spacing w:after="240" w:line="259" w:lineRule="auto"/>
              <w:contextualSpacing/>
              <w:cnfStyle w:val="000000000000" w:firstRow="0" w:lastRow="0" w:firstColumn="0" w:lastColumn="0" w:oddVBand="0" w:evenVBand="0" w:oddHBand="0" w:evenHBand="0" w:firstRowFirstColumn="0" w:firstRowLastColumn="0" w:lastRowFirstColumn="0" w:lastRowLastColumn="0"/>
              <w:rPr>
                <w:rFonts w:cstheme="minorHAnsi"/>
                <w:szCs w:val="24"/>
              </w:rPr>
            </w:pPr>
            <w:r w:rsidRPr="00CC5394">
              <w:rPr>
                <w:rFonts w:cstheme="minorHAnsi"/>
                <w:szCs w:val="24"/>
              </w:rPr>
              <w:t>Skorelowanie rynku edukacji i potrzeb pracodawców</w:t>
            </w:r>
          </w:p>
          <w:p w14:paraId="32303222" w14:textId="77777777" w:rsidR="00A33A7C" w:rsidRDefault="003E270F" w:rsidP="00B063F0">
            <w:pPr>
              <w:pStyle w:val="elementgraficznytabela"/>
              <w:numPr>
                <w:ilvl w:val="0"/>
                <w:numId w:val="41"/>
              </w:numPr>
              <w:spacing w:after="240" w:line="259" w:lineRule="auto"/>
              <w:contextualSpacing/>
              <w:cnfStyle w:val="000000000000" w:firstRow="0" w:lastRow="0" w:firstColumn="0" w:lastColumn="0" w:oddVBand="0" w:evenVBand="0" w:oddHBand="0" w:evenHBand="0" w:firstRowFirstColumn="0" w:firstRowLastColumn="0" w:lastRowFirstColumn="0" w:lastRowLastColumn="0"/>
              <w:rPr>
                <w:rFonts w:cstheme="minorHAnsi"/>
                <w:szCs w:val="24"/>
              </w:rPr>
            </w:pPr>
            <w:r w:rsidRPr="00CC5394">
              <w:rPr>
                <w:rFonts w:cstheme="minorHAnsi"/>
                <w:szCs w:val="24"/>
              </w:rPr>
              <w:t>Rozwój/poprawa stanu infrastruktury wypoczynkowo-rekreacyjnej</w:t>
            </w:r>
          </w:p>
          <w:p w14:paraId="3F591CB1" w14:textId="22B26DEF" w:rsidR="003E270F" w:rsidRPr="00A33A7C" w:rsidRDefault="003E270F" w:rsidP="00B063F0">
            <w:pPr>
              <w:pStyle w:val="elementgraficznytabela"/>
              <w:numPr>
                <w:ilvl w:val="0"/>
                <w:numId w:val="41"/>
              </w:numPr>
              <w:spacing w:after="240" w:line="259" w:lineRule="auto"/>
              <w:contextualSpacing/>
              <w:cnfStyle w:val="000000000000" w:firstRow="0" w:lastRow="0" w:firstColumn="0" w:lastColumn="0" w:oddVBand="0" w:evenVBand="0" w:oddHBand="0" w:evenHBand="0" w:firstRowFirstColumn="0" w:firstRowLastColumn="0" w:lastRowFirstColumn="0" w:lastRowLastColumn="0"/>
              <w:rPr>
                <w:rFonts w:cstheme="minorHAnsi"/>
                <w:szCs w:val="24"/>
              </w:rPr>
            </w:pPr>
            <w:r w:rsidRPr="00A33A7C">
              <w:rPr>
                <w:rFonts w:cstheme="minorHAnsi"/>
                <w:szCs w:val="24"/>
              </w:rPr>
              <w:t>Rozwój/poprawa stanu infrastruktury społecznej, w tym medycznej</w:t>
            </w:r>
          </w:p>
        </w:tc>
      </w:tr>
      <w:tr w:rsidR="003E270F" w:rsidRPr="00176303" w14:paraId="59BFAF1E" w14:textId="77777777" w:rsidTr="003E270F">
        <w:tc>
          <w:tcPr>
            <w:cnfStyle w:val="001000000000" w:firstRow="0" w:lastRow="0" w:firstColumn="1" w:lastColumn="0" w:oddVBand="0" w:evenVBand="0" w:oddHBand="0" w:evenHBand="0" w:firstRowFirstColumn="0" w:firstRowLastColumn="0" w:lastRowFirstColumn="0" w:lastRowLastColumn="0"/>
            <w:tcW w:w="2405" w:type="dxa"/>
          </w:tcPr>
          <w:p w14:paraId="3A09D7DA" w14:textId="6D92F3C9" w:rsidR="003E270F" w:rsidRPr="003E270F" w:rsidRDefault="003E270F" w:rsidP="009E4562">
            <w:pPr>
              <w:spacing w:line="259" w:lineRule="auto"/>
              <w:ind w:left="0"/>
              <w:contextualSpacing/>
              <w:rPr>
                <w:lang w:val="pl-PL"/>
              </w:rPr>
            </w:pPr>
            <w:r w:rsidRPr="003E270F">
              <w:rPr>
                <w:rFonts w:cstheme="minorHAnsi"/>
                <w:color w:val="000000"/>
                <w:szCs w:val="24"/>
                <w:lang w:val="pl-PL"/>
              </w:rPr>
              <w:t>Integracja i specjalizacja usług publicznych</w:t>
            </w:r>
          </w:p>
        </w:tc>
        <w:tc>
          <w:tcPr>
            <w:tcW w:w="3686" w:type="dxa"/>
          </w:tcPr>
          <w:p w14:paraId="26AA8B5B" w14:textId="399F5118" w:rsidR="003E270F" w:rsidRPr="003E270F" w:rsidRDefault="003E270F" w:rsidP="009E4562">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sidRPr="003E270F">
              <w:rPr>
                <w:rFonts w:cstheme="minorHAnsi"/>
                <w:szCs w:val="24"/>
                <w:lang w:val="pl-PL"/>
              </w:rPr>
              <w:t>Integracja i specjalizacja usług publicznych</w:t>
            </w:r>
            <w:r w:rsidRPr="003E270F">
              <w:rPr>
                <w:rFonts w:cstheme="minorHAnsi"/>
                <w:b/>
                <w:szCs w:val="24"/>
                <w:lang w:val="pl-PL"/>
              </w:rPr>
              <w:t xml:space="preserve"> </w:t>
            </w:r>
            <w:r w:rsidRPr="003E270F">
              <w:rPr>
                <w:rFonts w:cstheme="minorHAnsi"/>
                <w:szCs w:val="24"/>
                <w:lang w:val="pl-PL"/>
              </w:rPr>
              <w:t>(zdrowotnych, społecznych, edukacyjnych – szczebla ponadpodstawowego) oraz przedstawienie spójnej oferty dla mieszkańców w tym zakresie będzie skutkować wzrostem efektywności usług w wymiarze ekonomicznym, jak i wykorzystania istniejących zasobów. Integracja usług przyczyni się do wzmocnienia powiązań funkcjonalnych wewnątrz obszaru Partnerstwa.</w:t>
            </w:r>
          </w:p>
        </w:tc>
        <w:tc>
          <w:tcPr>
            <w:tcW w:w="2976" w:type="dxa"/>
          </w:tcPr>
          <w:p w14:paraId="2FF6CEED" w14:textId="77777777" w:rsidR="003E270F" w:rsidRPr="00CC5394" w:rsidRDefault="003E270F" w:rsidP="00B063F0">
            <w:pPr>
              <w:pStyle w:val="elementgraficznytabela"/>
              <w:numPr>
                <w:ilvl w:val="0"/>
                <w:numId w:val="41"/>
              </w:numPr>
              <w:spacing w:after="240" w:line="259" w:lineRule="auto"/>
              <w:contextualSpacing/>
              <w:cnfStyle w:val="000000000000" w:firstRow="0" w:lastRow="0" w:firstColumn="0" w:lastColumn="0" w:oddVBand="0" w:evenVBand="0" w:oddHBand="0" w:evenHBand="0" w:firstRowFirstColumn="0" w:firstRowLastColumn="0" w:lastRowFirstColumn="0" w:lastRowLastColumn="0"/>
              <w:rPr>
                <w:rFonts w:cstheme="minorHAnsi"/>
                <w:szCs w:val="24"/>
              </w:rPr>
            </w:pPr>
            <w:r w:rsidRPr="00CC5394">
              <w:rPr>
                <w:rFonts w:cstheme="minorHAnsi"/>
                <w:szCs w:val="24"/>
              </w:rPr>
              <w:t>Współpraca publiczno-publiczna</w:t>
            </w:r>
          </w:p>
          <w:p w14:paraId="2A6D1F55" w14:textId="77777777" w:rsidR="003E270F" w:rsidRPr="00CC5394" w:rsidRDefault="003E270F" w:rsidP="00B063F0">
            <w:pPr>
              <w:pStyle w:val="elementgraficznytabela"/>
              <w:numPr>
                <w:ilvl w:val="0"/>
                <w:numId w:val="41"/>
              </w:numPr>
              <w:spacing w:after="240" w:line="259" w:lineRule="auto"/>
              <w:contextualSpacing/>
              <w:cnfStyle w:val="000000000000" w:firstRow="0" w:lastRow="0" w:firstColumn="0" w:lastColumn="0" w:oddVBand="0" w:evenVBand="0" w:oddHBand="0" w:evenHBand="0" w:firstRowFirstColumn="0" w:firstRowLastColumn="0" w:lastRowFirstColumn="0" w:lastRowLastColumn="0"/>
              <w:rPr>
                <w:rFonts w:cstheme="minorHAnsi"/>
                <w:szCs w:val="24"/>
              </w:rPr>
            </w:pPr>
            <w:r w:rsidRPr="00CC5394">
              <w:rPr>
                <w:rFonts w:cstheme="minorHAnsi"/>
                <w:szCs w:val="24"/>
              </w:rPr>
              <w:t>Rozwój e-administracji</w:t>
            </w:r>
          </w:p>
          <w:p w14:paraId="3757D36D" w14:textId="77777777" w:rsidR="003E270F" w:rsidRPr="00CC5394" w:rsidRDefault="003E270F" w:rsidP="00B063F0">
            <w:pPr>
              <w:pStyle w:val="elementgraficznytabela"/>
              <w:numPr>
                <w:ilvl w:val="0"/>
                <w:numId w:val="41"/>
              </w:numPr>
              <w:spacing w:after="240" w:line="259" w:lineRule="auto"/>
              <w:contextualSpacing/>
              <w:cnfStyle w:val="000000000000" w:firstRow="0" w:lastRow="0" w:firstColumn="0" w:lastColumn="0" w:oddVBand="0" w:evenVBand="0" w:oddHBand="0" w:evenHBand="0" w:firstRowFirstColumn="0" w:firstRowLastColumn="0" w:lastRowFirstColumn="0" w:lastRowLastColumn="0"/>
              <w:rPr>
                <w:rFonts w:cstheme="minorHAnsi"/>
                <w:szCs w:val="24"/>
              </w:rPr>
            </w:pPr>
            <w:r w:rsidRPr="00CC5394">
              <w:rPr>
                <w:rFonts w:cstheme="minorHAnsi"/>
                <w:szCs w:val="24"/>
              </w:rPr>
              <w:t>Adaptacyjność Partnerstwa do zmieniających się uwarunkowań zewnętrznych</w:t>
            </w:r>
          </w:p>
          <w:p w14:paraId="182D1D89" w14:textId="77777777" w:rsidR="003E270F" w:rsidRDefault="003E270F" w:rsidP="00B063F0">
            <w:pPr>
              <w:pStyle w:val="elementgraficznytabela"/>
              <w:numPr>
                <w:ilvl w:val="0"/>
                <w:numId w:val="41"/>
              </w:numPr>
              <w:spacing w:after="240" w:line="259" w:lineRule="auto"/>
              <w:contextualSpacing/>
              <w:cnfStyle w:val="000000000000" w:firstRow="0" w:lastRow="0" w:firstColumn="0" w:lastColumn="0" w:oddVBand="0" w:evenVBand="0" w:oddHBand="0" w:evenHBand="0" w:firstRowFirstColumn="0" w:firstRowLastColumn="0" w:lastRowFirstColumn="0" w:lastRowLastColumn="0"/>
              <w:rPr>
                <w:rFonts w:cstheme="minorHAnsi"/>
                <w:szCs w:val="24"/>
              </w:rPr>
            </w:pPr>
            <w:r w:rsidRPr="00CC5394">
              <w:rPr>
                <w:rFonts w:cstheme="minorHAnsi"/>
                <w:szCs w:val="24"/>
              </w:rPr>
              <w:t>Rozwój/poprawa stanu infrastruktury społecznej, w tym medycznej</w:t>
            </w:r>
          </w:p>
          <w:p w14:paraId="77B0EEA2" w14:textId="5F674774" w:rsidR="003E270F" w:rsidRPr="003E270F" w:rsidRDefault="003E270F" w:rsidP="00B063F0">
            <w:pPr>
              <w:pStyle w:val="elementgraficznytabela"/>
              <w:numPr>
                <w:ilvl w:val="0"/>
                <w:numId w:val="41"/>
              </w:numPr>
              <w:spacing w:after="240" w:line="259" w:lineRule="auto"/>
              <w:contextualSpacing/>
              <w:cnfStyle w:val="000000000000" w:firstRow="0" w:lastRow="0" w:firstColumn="0" w:lastColumn="0" w:oddVBand="0" w:evenVBand="0" w:oddHBand="0" w:evenHBand="0" w:firstRowFirstColumn="0" w:firstRowLastColumn="0" w:lastRowFirstColumn="0" w:lastRowLastColumn="0"/>
              <w:rPr>
                <w:rFonts w:cstheme="minorHAnsi"/>
                <w:szCs w:val="24"/>
              </w:rPr>
            </w:pPr>
            <w:r w:rsidRPr="003E270F">
              <w:rPr>
                <w:rFonts w:cstheme="minorHAnsi"/>
                <w:color w:val="000000"/>
                <w:szCs w:val="24"/>
              </w:rPr>
              <w:t>Zapewnienie odpowiadających potrzebom rynku pracy kadr</w:t>
            </w:r>
          </w:p>
        </w:tc>
      </w:tr>
      <w:tr w:rsidR="003E270F" w:rsidRPr="00176303" w14:paraId="361E1EB3" w14:textId="77777777" w:rsidTr="003E270F">
        <w:tc>
          <w:tcPr>
            <w:cnfStyle w:val="001000000000" w:firstRow="0" w:lastRow="0" w:firstColumn="1" w:lastColumn="0" w:oddVBand="0" w:evenVBand="0" w:oddHBand="0" w:evenHBand="0" w:firstRowFirstColumn="0" w:firstRowLastColumn="0" w:lastRowFirstColumn="0" w:lastRowLastColumn="0"/>
            <w:tcW w:w="2405" w:type="dxa"/>
          </w:tcPr>
          <w:p w14:paraId="0A99EB2A" w14:textId="77777777" w:rsidR="003E270F" w:rsidRPr="00CC5394" w:rsidRDefault="003E270F" w:rsidP="009E4562">
            <w:pPr>
              <w:pStyle w:val="elementgraficznytabela"/>
              <w:spacing w:after="240" w:line="259" w:lineRule="auto"/>
              <w:contextualSpacing/>
              <w:rPr>
                <w:rFonts w:cstheme="minorHAnsi"/>
                <w:szCs w:val="24"/>
              </w:rPr>
            </w:pPr>
            <w:r w:rsidRPr="00CC5394">
              <w:rPr>
                <w:rFonts w:cstheme="minorHAnsi"/>
                <w:color w:val="000000"/>
                <w:szCs w:val="24"/>
              </w:rPr>
              <w:lastRenderedPageBreak/>
              <w:t>Wysokiej jakości infrastruktura społeczna (w tym zdrowotna)</w:t>
            </w:r>
          </w:p>
          <w:p w14:paraId="29ADEBE4" w14:textId="77777777" w:rsidR="003E270F" w:rsidRPr="003E270F" w:rsidRDefault="003E270F" w:rsidP="009E4562">
            <w:pPr>
              <w:spacing w:line="259" w:lineRule="auto"/>
              <w:ind w:left="0"/>
              <w:contextualSpacing/>
              <w:rPr>
                <w:lang w:val="pl-PL"/>
              </w:rPr>
            </w:pPr>
          </w:p>
        </w:tc>
        <w:tc>
          <w:tcPr>
            <w:tcW w:w="3686" w:type="dxa"/>
          </w:tcPr>
          <w:p w14:paraId="103F4314" w14:textId="4DDF6AEC" w:rsidR="003E270F" w:rsidRPr="003E270F" w:rsidRDefault="003E270F" w:rsidP="009E4562">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sidRPr="003E270F">
              <w:rPr>
                <w:rFonts w:cstheme="minorHAnsi"/>
                <w:szCs w:val="24"/>
                <w:lang w:val="pl-PL"/>
              </w:rPr>
              <w:t>Zapewnienie wysokiej jakości infrastruktury społecznej (w tym zdrowotnej) jest warunkiem podniesienia poziomu jakości życia mieszkańców oraz sprzyja rozwojowi gospodarczemu obszaru (poprzez powiązanie turystyki z ofertą w zakresie ochrony zdrowia, w szczególności osób starszych). Rozwój usług społecznych i zdrowotnych zależy m.in. od jakości infrastruktury.</w:t>
            </w:r>
          </w:p>
        </w:tc>
        <w:tc>
          <w:tcPr>
            <w:tcW w:w="2976" w:type="dxa"/>
          </w:tcPr>
          <w:p w14:paraId="0F15B036" w14:textId="77777777" w:rsidR="003E270F" w:rsidRPr="00CC5394" w:rsidRDefault="003E270F" w:rsidP="00B063F0">
            <w:pPr>
              <w:pStyle w:val="elementgraficznytabela"/>
              <w:numPr>
                <w:ilvl w:val="0"/>
                <w:numId w:val="41"/>
              </w:numPr>
              <w:spacing w:after="240" w:line="259" w:lineRule="auto"/>
              <w:contextualSpacing/>
              <w:cnfStyle w:val="000000000000" w:firstRow="0" w:lastRow="0" w:firstColumn="0" w:lastColumn="0" w:oddVBand="0" w:evenVBand="0" w:oddHBand="0" w:evenHBand="0" w:firstRowFirstColumn="0" w:firstRowLastColumn="0" w:lastRowFirstColumn="0" w:lastRowLastColumn="0"/>
              <w:rPr>
                <w:rFonts w:cstheme="minorHAnsi"/>
                <w:szCs w:val="24"/>
              </w:rPr>
            </w:pPr>
            <w:r w:rsidRPr="00CC5394">
              <w:rPr>
                <w:rFonts w:cstheme="minorHAnsi"/>
                <w:szCs w:val="24"/>
              </w:rPr>
              <w:t>Współpraca publiczno-publiczna</w:t>
            </w:r>
          </w:p>
          <w:p w14:paraId="4E15BE3D" w14:textId="77777777" w:rsidR="003E270F" w:rsidRPr="00CC5394" w:rsidRDefault="003E270F" w:rsidP="00B063F0">
            <w:pPr>
              <w:pStyle w:val="elementgraficznytabela"/>
              <w:numPr>
                <w:ilvl w:val="0"/>
                <w:numId w:val="41"/>
              </w:numPr>
              <w:spacing w:after="240" w:line="259" w:lineRule="auto"/>
              <w:contextualSpacing/>
              <w:cnfStyle w:val="000000000000" w:firstRow="0" w:lastRow="0" w:firstColumn="0" w:lastColumn="0" w:oddVBand="0" w:evenVBand="0" w:oddHBand="0" w:evenHBand="0" w:firstRowFirstColumn="0" w:firstRowLastColumn="0" w:lastRowFirstColumn="0" w:lastRowLastColumn="0"/>
              <w:rPr>
                <w:rFonts w:cstheme="minorHAnsi"/>
                <w:szCs w:val="24"/>
              </w:rPr>
            </w:pPr>
            <w:r w:rsidRPr="00CC5394">
              <w:rPr>
                <w:rFonts w:cstheme="minorHAnsi"/>
                <w:szCs w:val="24"/>
              </w:rPr>
              <w:t>Rozwój e-administracji</w:t>
            </w:r>
          </w:p>
          <w:p w14:paraId="333013F6" w14:textId="77777777" w:rsidR="003E270F" w:rsidRPr="00CC5394" w:rsidRDefault="003E270F" w:rsidP="00B063F0">
            <w:pPr>
              <w:pStyle w:val="elementgraficznytabela"/>
              <w:numPr>
                <w:ilvl w:val="0"/>
                <w:numId w:val="41"/>
              </w:numPr>
              <w:spacing w:after="240" w:line="259" w:lineRule="auto"/>
              <w:contextualSpacing/>
              <w:cnfStyle w:val="000000000000" w:firstRow="0" w:lastRow="0" w:firstColumn="0" w:lastColumn="0" w:oddVBand="0" w:evenVBand="0" w:oddHBand="0" w:evenHBand="0" w:firstRowFirstColumn="0" w:firstRowLastColumn="0" w:lastRowFirstColumn="0" w:lastRowLastColumn="0"/>
              <w:rPr>
                <w:rFonts w:cstheme="minorHAnsi"/>
                <w:szCs w:val="24"/>
              </w:rPr>
            </w:pPr>
            <w:r w:rsidRPr="00CC5394">
              <w:rPr>
                <w:rFonts w:cstheme="minorHAnsi"/>
                <w:szCs w:val="24"/>
              </w:rPr>
              <w:t>Adaptacyjność Partnerstwa do zmieniających się uwarunkowań zewnętrznych</w:t>
            </w:r>
          </w:p>
          <w:p w14:paraId="2AC851C8" w14:textId="77777777" w:rsidR="00A33A7C" w:rsidRDefault="003E270F" w:rsidP="00B063F0">
            <w:pPr>
              <w:pStyle w:val="elementgraficznytabela"/>
              <w:numPr>
                <w:ilvl w:val="0"/>
                <w:numId w:val="41"/>
              </w:numPr>
              <w:spacing w:after="240" w:line="259" w:lineRule="auto"/>
              <w:contextualSpacing/>
              <w:cnfStyle w:val="000000000000" w:firstRow="0" w:lastRow="0" w:firstColumn="0" w:lastColumn="0" w:oddVBand="0" w:evenVBand="0" w:oddHBand="0" w:evenHBand="0" w:firstRowFirstColumn="0" w:firstRowLastColumn="0" w:lastRowFirstColumn="0" w:lastRowLastColumn="0"/>
              <w:rPr>
                <w:rFonts w:cstheme="minorHAnsi"/>
                <w:szCs w:val="24"/>
              </w:rPr>
            </w:pPr>
            <w:r w:rsidRPr="00CC5394">
              <w:rPr>
                <w:rFonts w:cstheme="minorHAnsi"/>
                <w:szCs w:val="24"/>
              </w:rPr>
              <w:t>Rozwój/poprawa stanu infrastruktury społecznej, w tym medycznej</w:t>
            </w:r>
          </w:p>
          <w:p w14:paraId="65FD010C" w14:textId="4FB340C3" w:rsidR="003E270F" w:rsidRPr="00A33A7C" w:rsidRDefault="003E270F" w:rsidP="00B063F0">
            <w:pPr>
              <w:pStyle w:val="elementgraficznytabela"/>
              <w:numPr>
                <w:ilvl w:val="0"/>
                <w:numId w:val="41"/>
              </w:numPr>
              <w:spacing w:after="240" w:line="259" w:lineRule="auto"/>
              <w:contextualSpacing/>
              <w:cnfStyle w:val="000000000000" w:firstRow="0" w:lastRow="0" w:firstColumn="0" w:lastColumn="0" w:oddVBand="0" w:evenVBand="0" w:oddHBand="0" w:evenHBand="0" w:firstRowFirstColumn="0" w:firstRowLastColumn="0" w:lastRowFirstColumn="0" w:lastRowLastColumn="0"/>
              <w:rPr>
                <w:rFonts w:cstheme="minorHAnsi"/>
                <w:szCs w:val="24"/>
              </w:rPr>
            </w:pPr>
            <w:r w:rsidRPr="00A33A7C">
              <w:rPr>
                <w:rFonts w:cstheme="minorHAnsi"/>
                <w:color w:val="000000"/>
                <w:szCs w:val="24"/>
              </w:rPr>
              <w:t>Zapewnienie odpowiadających potrzebom rynku pracy kadr</w:t>
            </w:r>
          </w:p>
        </w:tc>
      </w:tr>
      <w:tr w:rsidR="003E270F" w:rsidRPr="00176303" w14:paraId="2A9330D5" w14:textId="77777777" w:rsidTr="003E270F">
        <w:tc>
          <w:tcPr>
            <w:cnfStyle w:val="001000000000" w:firstRow="0" w:lastRow="0" w:firstColumn="1" w:lastColumn="0" w:oddVBand="0" w:evenVBand="0" w:oddHBand="0" w:evenHBand="0" w:firstRowFirstColumn="0" w:firstRowLastColumn="0" w:lastRowFirstColumn="0" w:lastRowLastColumn="0"/>
            <w:tcW w:w="2405" w:type="dxa"/>
          </w:tcPr>
          <w:p w14:paraId="63BC0ACA" w14:textId="77777777" w:rsidR="003E270F" w:rsidRPr="00CC5394" w:rsidRDefault="003E270F" w:rsidP="009E4562">
            <w:pPr>
              <w:pStyle w:val="elementgraficznytabela"/>
              <w:spacing w:after="240" w:line="259" w:lineRule="auto"/>
              <w:contextualSpacing/>
              <w:rPr>
                <w:rFonts w:cstheme="minorHAnsi"/>
                <w:szCs w:val="24"/>
              </w:rPr>
            </w:pPr>
            <w:r w:rsidRPr="00CC5394">
              <w:rPr>
                <w:rFonts w:cstheme="minorHAnsi"/>
                <w:szCs w:val="24"/>
              </w:rPr>
              <w:t>Wysokiej jakości infrastruktura wypoczynkowo-rekreacyjna</w:t>
            </w:r>
          </w:p>
          <w:p w14:paraId="3C8C7DBD" w14:textId="77777777" w:rsidR="003E270F" w:rsidRDefault="003E270F" w:rsidP="009E4562">
            <w:pPr>
              <w:spacing w:line="259" w:lineRule="auto"/>
              <w:ind w:left="0"/>
              <w:contextualSpacing/>
            </w:pPr>
          </w:p>
        </w:tc>
        <w:tc>
          <w:tcPr>
            <w:tcW w:w="3686" w:type="dxa"/>
          </w:tcPr>
          <w:p w14:paraId="74C084CA" w14:textId="3FF6C44B" w:rsidR="003E270F" w:rsidRDefault="003E270F" w:rsidP="009E4562">
            <w:pPr>
              <w:spacing w:line="259" w:lineRule="auto"/>
              <w:ind w:left="0"/>
              <w:contextualSpacing/>
              <w:cnfStyle w:val="000000000000" w:firstRow="0" w:lastRow="0" w:firstColumn="0" w:lastColumn="0" w:oddVBand="0" w:evenVBand="0" w:oddHBand="0" w:evenHBand="0" w:firstRowFirstColumn="0" w:firstRowLastColumn="0" w:lastRowFirstColumn="0" w:lastRowLastColumn="0"/>
            </w:pPr>
            <w:r w:rsidRPr="003E270F">
              <w:rPr>
                <w:rFonts w:cstheme="minorHAnsi"/>
                <w:szCs w:val="24"/>
                <w:lang w:val="pl-PL"/>
              </w:rPr>
              <w:t xml:space="preserve">Zapewnienie wysokiej jakości infrastruktury wypoczynkowo-rekreacyjnej jest warunkiem rozwoju gospodarczego obszaru opartego na endogennych potencjałach (turystyka kulturowa, ekoturystyka, turystyka zdrowotna). </w:t>
            </w:r>
            <w:r w:rsidRPr="00CC5394">
              <w:rPr>
                <w:rFonts w:cstheme="minorHAnsi"/>
                <w:szCs w:val="24"/>
              </w:rPr>
              <w:t>Jednocześnie wysoka jakość infrastruktury sprzyja podniesieniu jakości życia mieszkańców.</w:t>
            </w:r>
          </w:p>
        </w:tc>
        <w:tc>
          <w:tcPr>
            <w:tcW w:w="2976" w:type="dxa"/>
          </w:tcPr>
          <w:p w14:paraId="78D55413" w14:textId="77777777" w:rsidR="003E270F" w:rsidRPr="00CC5394" w:rsidRDefault="003E270F" w:rsidP="00B063F0">
            <w:pPr>
              <w:pStyle w:val="elementgraficznytabela"/>
              <w:numPr>
                <w:ilvl w:val="0"/>
                <w:numId w:val="41"/>
              </w:numPr>
              <w:spacing w:after="240" w:line="259" w:lineRule="auto"/>
              <w:contextualSpacing/>
              <w:cnfStyle w:val="000000000000" w:firstRow="0" w:lastRow="0" w:firstColumn="0" w:lastColumn="0" w:oddVBand="0" w:evenVBand="0" w:oddHBand="0" w:evenHBand="0" w:firstRowFirstColumn="0" w:firstRowLastColumn="0" w:lastRowFirstColumn="0" w:lastRowLastColumn="0"/>
              <w:rPr>
                <w:rFonts w:cstheme="minorHAnsi"/>
                <w:szCs w:val="24"/>
              </w:rPr>
            </w:pPr>
            <w:r w:rsidRPr="00CC5394">
              <w:rPr>
                <w:rFonts w:cstheme="minorHAnsi"/>
                <w:szCs w:val="24"/>
              </w:rPr>
              <w:t>Współpraca publiczno-publiczna</w:t>
            </w:r>
          </w:p>
          <w:p w14:paraId="2B074D26" w14:textId="77777777" w:rsidR="003E270F" w:rsidRPr="00CC5394" w:rsidRDefault="003E270F" w:rsidP="00B063F0">
            <w:pPr>
              <w:pStyle w:val="elementgraficznytabela"/>
              <w:numPr>
                <w:ilvl w:val="0"/>
                <w:numId w:val="41"/>
              </w:numPr>
              <w:spacing w:after="240" w:line="259" w:lineRule="auto"/>
              <w:contextualSpacing/>
              <w:cnfStyle w:val="000000000000" w:firstRow="0" w:lastRow="0" w:firstColumn="0" w:lastColumn="0" w:oddVBand="0" w:evenVBand="0" w:oddHBand="0" w:evenHBand="0" w:firstRowFirstColumn="0" w:firstRowLastColumn="0" w:lastRowFirstColumn="0" w:lastRowLastColumn="0"/>
              <w:rPr>
                <w:rFonts w:cstheme="minorHAnsi"/>
                <w:szCs w:val="24"/>
              </w:rPr>
            </w:pPr>
            <w:r w:rsidRPr="00CC5394">
              <w:rPr>
                <w:rFonts w:cstheme="minorHAnsi"/>
                <w:szCs w:val="24"/>
              </w:rPr>
              <w:t>Adaptacyjność Partnerstwa do zmieniających się uwarunkowań zewnętrznych</w:t>
            </w:r>
          </w:p>
          <w:p w14:paraId="54512420" w14:textId="77777777" w:rsidR="003E270F" w:rsidRDefault="003E270F" w:rsidP="00B063F0">
            <w:pPr>
              <w:pStyle w:val="elementgraficznytabela"/>
              <w:numPr>
                <w:ilvl w:val="0"/>
                <w:numId w:val="41"/>
              </w:numPr>
              <w:spacing w:after="240" w:line="259" w:lineRule="auto"/>
              <w:contextualSpacing/>
              <w:cnfStyle w:val="000000000000" w:firstRow="0" w:lastRow="0" w:firstColumn="0" w:lastColumn="0" w:oddVBand="0" w:evenVBand="0" w:oddHBand="0" w:evenHBand="0" w:firstRowFirstColumn="0" w:firstRowLastColumn="0" w:lastRowFirstColumn="0" w:lastRowLastColumn="0"/>
              <w:rPr>
                <w:rFonts w:cstheme="minorHAnsi"/>
                <w:szCs w:val="24"/>
              </w:rPr>
            </w:pPr>
            <w:r w:rsidRPr="00CC5394">
              <w:rPr>
                <w:rFonts w:cstheme="minorHAnsi"/>
                <w:szCs w:val="24"/>
              </w:rPr>
              <w:t>Rozwój/poprawa stanu infrastruktury wypoczynkowo-rekreacyjnej</w:t>
            </w:r>
          </w:p>
          <w:p w14:paraId="18B31E04" w14:textId="7FB16A8A" w:rsidR="003E270F" w:rsidRPr="003E270F" w:rsidRDefault="003E270F" w:rsidP="00B063F0">
            <w:pPr>
              <w:pStyle w:val="elementgraficznytabela"/>
              <w:numPr>
                <w:ilvl w:val="0"/>
                <w:numId w:val="41"/>
              </w:numPr>
              <w:spacing w:after="240" w:line="259" w:lineRule="auto"/>
              <w:contextualSpacing/>
              <w:cnfStyle w:val="000000000000" w:firstRow="0" w:lastRow="0" w:firstColumn="0" w:lastColumn="0" w:oddVBand="0" w:evenVBand="0" w:oddHBand="0" w:evenHBand="0" w:firstRowFirstColumn="0" w:firstRowLastColumn="0" w:lastRowFirstColumn="0" w:lastRowLastColumn="0"/>
              <w:rPr>
                <w:rFonts w:cstheme="minorHAnsi"/>
                <w:szCs w:val="24"/>
              </w:rPr>
            </w:pPr>
            <w:r w:rsidRPr="003E270F">
              <w:rPr>
                <w:rFonts w:cstheme="minorHAnsi"/>
                <w:color w:val="000000"/>
                <w:szCs w:val="24"/>
              </w:rPr>
              <w:t>Zapewnienie odpowiadających potrzebom rynku pracy kadr</w:t>
            </w:r>
          </w:p>
        </w:tc>
      </w:tr>
      <w:tr w:rsidR="003E270F" w:rsidRPr="00176303" w14:paraId="0729F68C" w14:textId="77777777" w:rsidTr="003E270F">
        <w:tc>
          <w:tcPr>
            <w:cnfStyle w:val="001000000000" w:firstRow="0" w:lastRow="0" w:firstColumn="1" w:lastColumn="0" w:oddVBand="0" w:evenVBand="0" w:oddHBand="0" w:evenHBand="0" w:firstRowFirstColumn="0" w:firstRowLastColumn="0" w:lastRowFirstColumn="0" w:lastRowLastColumn="0"/>
            <w:tcW w:w="2405" w:type="dxa"/>
          </w:tcPr>
          <w:p w14:paraId="0D5E3DB9" w14:textId="77777777" w:rsidR="003E270F" w:rsidRPr="00CC5394" w:rsidRDefault="003E270F" w:rsidP="009E4562">
            <w:pPr>
              <w:pStyle w:val="elementgraficznytabela"/>
              <w:spacing w:after="240" w:line="259" w:lineRule="auto"/>
              <w:contextualSpacing/>
              <w:rPr>
                <w:rFonts w:cstheme="minorHAnsi"/>
                <w:szCs w:val="24"/>
              </w:rPr>
            </w:pPr>
            <w:r w:rsidRPr="00CC5394">
              <w:rPr>
                <w:rFonts w:cstheme="minorHAnsi"/>
                <w:color w:val="000000"/>
                <w:szCs w:val="24"/>
              </w:rPr>
              <w:lastRenderedPageBreak/>
              <w:t>Wysoka jakość środowiska naturalnego</w:t>
            </w:r>
          </w:p>
          <w:p w14:paraId="6BC529C0" w14:textId="77777777" w:rsidR="003E270F" w:rsidRDefault="003E270F" w:rsidP="009E4562">
            <w:pPr>
              <w:spacing w:line="259" w:lineRule="auto"/>
              <w:ind w:left="0"/>
              <w:contextualSpacing/>
            </w:pPr>
          </w:p>
        </w:tc>
        <w:tc>
          <w:tcPr>
            <w:tcW w:w="3686" w:type="dxa"/>
          </w:tcPr>
          <w:p w14:paraId="05DFAACE" w14:textId="73729D8C" w:rsidR="003E270F" w:rsidRPr="003E270F" w:rsidRDefault="003E270F" w:rsidP="009E4562">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sidRPr="003E270F">
              <w:rPr>
                <w:rFonts w:cstheme="minorHAnsi"/>
                <w:szCs w:val="24"/>
                <w:lang w:val="pl-PL"/>
              </w:rPr>
              <w:t>Zachowanie wysokiej jakości środowiska naturalnego (poprzez ograniczenie niskiej emisji i zniwelowanie degradacji środowiska naturalnego) jest warunkiem rozwoju gospodarczego obszaru opartego na endogennych potencjałach (turystyka kulturowa, ekoturystyka, turystyka zdrowotna)</w:t>
            </w:r>
          </w:p>
        </w:tc>
        <w:tc>
          <w:tcPr>
            <w:tcW w:w="2976" w:type="dxa"/>
          </w:tcPr>
          <w:p w14:paraId="0F12FEAC" w14:textId="77777777" w:rsidR="003E270F" w:rsidRPr="00CC5394" w:rsidRDefault="003E270F" w:rsidP="00B063F0">
            <w:pPr>
              <w:pStyle w:val="elementgraficznytabela"/>
              <w:numPr>
                <w:ilvl w:val="0"/>
                <w:numId w:val="41"/>
              </w:numPr>
              <w:spacing w:after="240" w:line="259" w:lineRule="auto"/>
              <w:contextualSpacing/>
              <w:cnfStyle w:val="000000000000" w:firstRow="0" w:lastRow="0" w:firstColumn="0" w:lastColumn="0" w:oddVBand="0" w:evenVBand="0" w:oddHBand="0" w:evenHBand="0" w:firstRowFirstColumn="0" w:firstRowLastColumn="0" w:lastRowFirstColumn="0" w:lastRowLastColumn="0"/>
              <w:rPr>
                <w:rFonts w:cstheme="minorHAnsi"/>
                <w:szCs w:val="24"/>
              </w:rPr>
            </w:pPr>
            <w:r w:rsidRPr="00CC5394">
              <w:rPr>
                <w:rFonts w:cstheme="minorHAnsi"/>
                <w:szCs w:val="24"/>
              </w:rPr>
              <w:t>Współpraca publiczno-publiczna</w:t>
            </w:r>
          </w:p>
          <w:p w14:paraId="66C0B4DE" w14:textId="77777777" w:rsidR="003E270F" w:rsidRPr="00CC5394" w:rsidRDefault="003E270F" w:rsidP="00B063F0">
            <w:pPr>
              <w:pStyle w:val="elementgraficznytabela"/>
              <w:numPr>
                <w:ilvl w:val="0"/>
                <w:numId w:val="41"/>
              </w:numPr>
              <w:spacing w:after="240" w:line="259" w:lineRule="auto"/>
              <w:contextualSpacing/>
              <w:cnfStyle w:val="000000000000" w:firstRow="0" w:lastRow="0" w:firstColumn="0" w:lastColumn="0" w:oddVBand="0" w:evenVBand="0" w:oddHBand="0" w:evenHBand="0" w:firstRowFirstColumn="0" w:firstRowLastColumn="0" w:lastRowFirstColumn="0" w:lastRowLastColumn="0"/>
              <w:rPr>
                <w:rFonts w:cstheme="minorHAnsi"/>
                <w:szCs w:val="24"/>
              </w:rPr>
            </w:pPr>
            <w:r w:rsidRPr="00CC5394">
              <w:rPr>
                <w:rFonts w:cstheme="minorHAnsi"/>
                <w:szCs w:val="24"/>
              </w:rPr>
              <w:t>Rozwój e-administracji</w:t>
            </w:r>
          </w:p>
          <w:p w14:paraId="09E7A52F" w14:textId="77777777" w:rsidR="003E270F" w:rsidRPr="00CC5394" w:rsidRDefault="003E270F" w:rsidP="00B063F0">
            <w:pPr>
              <w:pStyle w:val="elementgraficznytabela"/>
              <w:numPr>
                <w:ilvl w:val="0"/>
                <w:numId w:val="41"/>
              </w:numPr>
              <w:spacing w:after="240" w:line="259" w:lineRule="auto"/>
              <w:contextualSpacing/>
              <w:cnfStyle w:val="000000000000" w:firstRow="0" w:lastRow="0" w:firstColumn="0" w:lastColumn="0" w:oddVBand="0" w:evenVBand="0" w:oddHBand="0" w:evenHBand="0" w:firstRowFirstColumn="0" w:firstRowLastColumn="0" w:lastRowFirstColumn="0" w:lastRowLastColumn="0"/>
              <w:rPr>
                <w:rFonts w:cstheme="minorHAnsi"/>
                <w:szCs w:val="24"/>
              </w:rPr>
            </w:pPr>
            <w:r w:rsidRPr="00CC5394">
              <w:rPr>
                <w:rFonts w:cstheme="minorHAnsi"/>
                <w:szCs w:val="24"/>
              </w:rPr>
              <w:t>Integracja baz danych</w:t>
            </w:r>
          </w:p>
          <w:p w14:paraId="5EA2169C" w14:textId="77777777" w:rsidR="003E270F" w:rsidRDefault="003E270F" w:rsidP="00B063F0">
            <w:pPr>
              <w:pStyle w:val="elementgraficznytabela"/>
              <w:numPr>
                <w:ilvl w:val="0"/>
                <w:numId w:val="41"/>
              </w:numPr>
              <w:spacing w:after="240" w:line="259" w:lineRule="auto"/>
              <w:contextualSpacing/>
              <w:cnfStyle w:val="000000000000" w:firstRow="0" w:lastRow="0" w:firstColumn="0" w:lastColumn="0" w:oddVBand="0" w:evenVBand="0" w:oddHBand="0" w:evenHBand="0" w:firstRowFirstColumn="0" w:firstRowLastColumn="0" w:lastRowFirstColumn="0" w:lastRowLastColumn="0"/>
              <w:rPr>
                <w:rFonts w:cstheme="minorHAnsi"/>
                <w:szCs w:val="24"/>
              </w:rPr>
            </w:pPr>
            <w:r w:rsidRPr="00CC5394">
              <w:rPr>
                <w:rFonts w:cstheme="minorHAnsi"/>
                <w:szCs w:val="24"/>
              </w:rPr>
              <w:t>Wykorzystanie istniejących uwarunkowań</w:t>
            </w:r>
          </w:p>
          <w:p w14:paraId="70A864A5" w14:textId="037946E9" w:rsidR="003E270F" w:rsidRPr="003E270F" w:rsidRDefault="003E270F" w:rsidP="00B063F0">
            <w:pPr>
              <w:pStyle w:val="elementgraficznytabela"/>
              <w:numPr>
                <w:ilvl w:val="0"/>
                <w:numId w:val="41"/>
              </w:numPr>
              <w:spacing w:after="240" w:line="259" w:lineRule="auto"/>
              <w:contextualSpacing/>
              <w:cnfStyle w:val="000000000000" w:firstRow="0" w:lastRow="0" w:firstColumn="0" w:lastColumn="0" w:oddVBand="0" w:evenVBand="0" w:oddHBand="0" w:evenHBand="0" w:firstRowFirstColumn="0" w:firstRowLastColumn="0" w:lastRowFirstColumn="0" w:lastRowLastColumn="0"/>
              <w:rPr>
                <w:rFonts w:cstheme="minorHAnsi"/>
                <w:szCs w:val="24"/>
              </w:rPr>
            </w:pPr>
            <w:r w:rsidRPr="003E270F">
              <w:rPr>
                <w:rFonts w:cstheme="minorHAnsi"/>
                <w:szCs w:val="24"/>
              </w:rPr>
              <w:t>Podejmowanie działań ograniczających niską emisję i dewastację terenów naturalnych</w:t>
            </w:r>
          </w:p>
        </w:tc>
      </w:tr>
      <w:tr w:rsidR="003E270F" w14:paraId="0C977C6B" w14:textId="77777777" w:rsidTr="003E270F">
        <w:tc>
          <w:tcPr>
            <w:cnfStyle w:val="001000000000" w:firstRow="0" w:lastRow="0" w:firstColumn="1" w:lastColumn="0" w:oddVBand="0" w:evenVBand="0" w:oddHBand="0" w:evenHBand="0" w:firstRowFirstColumn="0" w:firstRowLastColumn="0" w:lastRowFirstColumn="0" w:lastRowLastColumn="0"/>
            <w:tcW w:w="2405" w:type="dxa"/>
          </w:tcPr>
          <w:p w14:paraId="6FE3FBD9" w14:textId="45B07DEC" w:rsidR="003E270F" w:rsidRPr="003E270F" w:rsidRDefault="003E270F" w:rsidP="009E4562">
            <w:pPr>
              <w:spacing w:line="259" w:lineRule="auto"/>
              <w:ind w:left="0"/>
              <w:contextualSpacing/>
              <w:rPr>
                <w:lang w:val="pl-PL"/>
              </w:rPr>
            </w:pPr>
            <w:r w:rsidRPr="003E270F">
              <w:rPr>
                <w:rFonts w:cstheme="minorHAnsi"/>
                <w:color w:val="000000"/>
                <w:szCs w:val="24"/>
                <w:lang w:val="pl-PL"/>
              </w:rPr>
              <w:t>Dostępność odpowiadających potrzebom rynku pracy pracowników</w:t>
            </w:r>
          </w:p>
        </w:tc>
        <w:tc>
          <w:tcPr>
            <w:tcW w:w="3686" w:type="dxa"/>
          </w:tcPr>
          <w:p w14:paraId="1841AD5E" w14:textId="520DF2C9" w:rsidR="003E270F" w:rsidRPr="003E270F" w:rsidRDefault="003E270F" w:rsidP="009E4562">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sidRPr="003E270F">
              <w:rPr>
                <w:rFonts w:cstheme="minorHAnsi"/>
                <w:szCs w:val="24"/>
                <w:lang w:val="pl-PL"/>
              </w:rPr>
              <w:t>Dostępność odpowiadających potrzebom rynków pracy pracowników jest warunkiem utrzymania/wzrostu poziomu gospodarczego obszaru. Wpływa ona również – pośrednio – na podniesienie jakości życia mieszkańców, a także zahamowanie lub ograniczenie zjawiska migracji.</w:t>
            </w:r>
          </w:p>
        </w:tc>
        <w:tc>
          <w:tcPr>
            <w:tcW w:w="2976" w:type="dxa"/>
          </w:tcPr>
          <w:p w14:paraId="6B6C9068" w14:textId="77777777" w:rsidR="003E270F" w:rsidRPr="00CC5394" w:rsidRDefault="003E270F" w:rsidP="00B063F0">
            <w:pPr>
              <w:pStyle w:val="elementgraficznytabela"/>
              <w:numPr>
                <w:ilvl w:val="0"/>
                <w:numId w:val="41"/>
              </w:numPr>
              <w:spacing w:after="240" w:line="259" w:lineRule="auto"/>
              <w:contextualSpacing/>
              <w:cnfStyle w:val="000000000000" w:firstRow="0" w:lastRow="0" w:firstColumn="0" w:lastColumn="0" w:oddVBand="0" w:evenVBand="0" w:oddHBand="0" w:evenHBand="0" w:firstRowFirstColumn="0" w:firstRowLastColumn="0" w:lastRowFirstColumn="0" w:lastRowLastColumn="0"/>
              <w:rPr>
                <w:rFonts w:cstheme="minorHAnsi"/>
                <w:szCs w:val="24"/>
              </w:rPr>
            </w:pPr>
            <w:r w:rsidRPr="00CC5394">
              <w:rPr>
                <w:rFonts w:cstheme="minorHAnsi"/>
                <w:szCs w:val="24"/>
              </w:rPr>
              <w:t>Skorelowanie rynku edukacji i potrzeb pracodawców</w:t>
            </w:r>
          </w:p>
          <w:p w14:paraId="3EECDDF7" w14:textId="77777777" w:rsidR="003E270F" w:rsidRPr="00CC5394" w:rsidRDefault="003E270F" w:rsidP="00B063F0">
            <w:pPr>
              <w:pStyle w:val="elementgraficznytabela"/>
              <w:numPr>
                <w:ilvl w:val="0"/>
                <w:numId w:val="41"/>
              </w:numPr>
              <w:spacing w:after="240" w:line="259" w:lineRule="auto"/>
              <w:contextualSpacing/>
              <w:cnfStyle w:val="000000000000" w:firstRow="0" w:lastRow="0" w:firstColumn="0" w:lastColumn="0" w:oddVBand="0" w:evenVBand="0" w:oddHBand="0" w:evenHBand="0" w:firstRowFirstColumn="0" w:firstRowLastColumn="0" w:lastRowFirstColumn="0" w:lastRowLastColumn="0"/>
              <w:rPr>
                <w:rFonts w:cstheme="minorHAnsi"/>
                <w:szCs w:val="24"/>
              </w:rPr>
            </w:pPr>
            <w:r w:rsidRPr="00CC5394">
              <w:rPr>
                <w:rFonts w:cstheme="minorHAnsi"/>
                <w:szCs w:val="24"/>
              </w:rPr>
              <w:t>Specjalizacja usług edukacyjnych</w:t>
            </w:r>
          </w:p>
          <w:p w14:paraId="4A185D90" w14:textId="77777777" w:rsidR="003E270F" w:rsidRDefault="003E270F" w:rsidP="00B063F0">
            <w:pPr>
              <w:pStyle w:val="elementgraficznytabela"/>
              <w:numPr>
                <w:ilvl w:val="0"/>
                <w:numId w:val="41"/>
              </w:numPr>
              <w:spacing w:after="240" w:line="259" w:lineRule="auto"/>
              <w:contextualSpacing/>
              <w:cnfStyle w:val="000000000000" w:firstRow="0" w:lastRow="0" w:firstColumn="0" w:lastColumn="0" w:oddVBand="0" w:evenVBand="0" w:oddHBand="0" w:evenHBand="0" w:firstRowFirstColumn="0" w:firstRowLastColumn="0" w:lastRowFirstColumn="0" w:lastRowLastColumn="0"/>
              <w:rPr>
                <w:rFonts w:cstheme="minorHAnsi"/>
                <w:szCs w:val="24"/>
              </w:rPr>
            </w:pPr>
            <w:r w:rsidRPr="00CC5394">
              <w:rPr>
                <w:rFonts w:cstheme="minorHAnsi"/>
                <w:szCs w:val="24"/>
              </w:rPr>
              <w:t>Współpraca publiczno-publiczna</w:t>
            </w:r>
          </w:p>
          <w:p w14:paraId="2AA4BA9A" w14:textId="3A397A5F" w:rsidR="003E270F" w:rsidRPr="003E270F" w:rsidRDefault="003E270F" w:rsidP="00B063F0">
            <w:pPr>
              <w:pStyle w:val="elementgraficznytabela"/>
              <w:numPr>
                <w:ilvl w:val="0"/>
                <w:numId w:val="41"/>
              </w:numPr>
              <w:spacing w:after="240" w:line="259" w:lineRule="auto"/>
              <w:contextualSpacing/>
              <w:cnfStyle w:val="000000000000" w:firstRow="0" w:lastRow="0" w:firstColumn="0" w:lastColumn="0" w:oddVBand="0" w:evenVBand="0" w:oddHBand="0" w:evenHBand="0" w:firstRowFirstColumn="0" w:firstRowLastColumn="0" w:lastRowFirstColumn="0" w:lastRowLastColumn="0"/>
              <w:rPr>
                <w:rFonts w:cstheme="minorHAnsi"/>
                <w:szCs w:val="24"/>
              </w:rPr>
            </w:pPr>
            <w:r w:rsidRPr="003E270F">
              <w:rPr>
                <w:rFonts w:cstheme="minorHAnsi"/>
                <w:szCs w:val="24"/>
              </w:rPr>
              <w:t xml:space="preserve">Podniesienie jakości kształcenia </w:t>
            </w:r>
          </w:p>
        </w:tc>
      </w:tr>
      <w:tr w:rsidR="003E270F" w14:paraId="67C7A543" w14:textId="77777777" w:rsidTr="003E270F">
        <w:tc>
          <w:tcPr>
            <w:cnfStyle w:val="001000000000" w:firstRow="0" w:lastRow="0" w:firstColumn="1" w:lastColumn="0" w:oddVBand="0" w:evenVBand="0" w:oddHBand="0" w:evenHBand="0" w:firstRowFirstColumn="0" w:firstRowLastColumn="0" w:lastRowFirstColumn="0" w:lastRowLastColumn="0"/>
            <w:tcW w:w="2405" w:type="dxa"/>
          </w:tcPr>
          <w:p w14:paraId="2A8CB983" w14:textId="224913D4" w:rsidR="003E270F" w:rsidRDefault="003E270F" w:rsidP="009E4562">
            <w:pPr>
              <w:spacing w:line="259" w:lineRule="auto"/>
              <w:ind w:left="0"/>
              <w:contextualSpacing/>
            </w:pPr>
            <w:r w:rsidRPr="00CC5394">
              <w:rPr>
                <w:rFonts w:cstheme="minorHAnsi"/>
                <w:szCs w:val="24"/>
              </w:rPr>
              <w:t>Współpraca między członkami Partnerstwa</w:t>
            </w:r>
          </w:p>
        </w:tc>
        <w:tc>
          <w:tcPr>
            <w:tcW w:w="3686" w:type="dxa"/>
          </w:tcPr>
          <w:p w14:paraId="73B5A99C" w14:textId="688A70F3" w:rsidR="003E270F" w:rsidRPr="003E270F" w:rsidRDefault="003E270F" w:rsidP="009E4562">
            <w:pPr>
              <w:spacing w:line="259" w:lineRule="auto"/>
              <w:ind w:left="0"/>
              <w:contextualSpacing/>
              <w:cnfStyle w:val="000000000000" w:firstRow="0" w:lastRow="0" w:firstColumn="0" w:lastColumn="0" w:oddVBand="0" w:evenVBand="0" w:oddHBand="0" w:evenHBand="0" w:firstRowFirstColumn="0" w:firstRowLastColumn="0" w:lastRowFirstColumn="0" w:lastRowLastColumn="0"/>
              <w:rPr>
                <w:lang w:val="pl-PL"/>
              </w:rPr>
            </w:pPr>
            <w:r w:rsidRPr="003E270F">
              <w:rPr>
                <w:rFonts w:cstheme="minorHAnsi"/>
                <w:szCs w:val="24"/>
                <w:lang w:val="pl-PL"/>
              </w:rPr>
              <w:t>Współpraca między członkami Partnerstwa jest niezbędna dla zapewnienie integracji, a jednocześnie specjalizacji usług publicznych, jak również realizacji zamierzeń strategicznych przez Partnerstwo.</w:t>
            </w:r>
          </w:p>
        </w:tc>
        <w:tc>
          <w:tcPr>
            <w:tcW w:w="2976" w:type="dxa"/>
          </w:tcPr>
          <w:p w14:paraId="221BF851" w14:textId="77777777" w:rsidR="003E270F" w:rsidRPr="00CC5394" w:rsidRDefault="003E270F" w:rsidP="00B063F0">
            <w:pPr>
              <w:pStyle w:val="elementgraficznytabela"/>
              <w:numPr>
                <w:ilvl w:val="0"/>
                <w:numId w:val="41"/>
              </w:numPr>
              <w:spacing w:after="240" w:line="259" w:lineRule="auto"/>
              <w:contextualSpacing/>
              <w:cnfStyle w:val="000000000000" w:firstRow="0" w:lastRow="0" w:firstColumn="0" w:lastColumn="0" w:oddVBand="0" w:evenVBand="0" w:oddHBand="0" w:evenHBand="0" w:firstRowFirstColumn="0" w:firstRowLastColumn="0" w:lastRowFirstColumn="0" w:lastRowLastColumn="0"/>
              <w:rPr>
                <w:rFonts w:cstheme="minorHAnsi"/>
                <w:szCs w:val="24"/>
              </w:rPr>
            </w:pPr>
            <w:r w:rsidRPr="00CC5394">
              <w:rPr>
                <w:rFonts w:cstheme="minorHAnsi"/>
                <w:szCs w:val="24"/>
              </w:rPr>
              <w:t>Zmiana kultury organizacyjnej (zwiększenie udziału typu kultury klanowej)</w:t>
            </w:r>
          </w:p>
          <w:p w14:paraId="2611ED54" w14:textId="77777777" w:rsidR="003E270F" w:rsidRPr="00CC5394" w:rsidRDefault="003E270F" w:rsidP="00B063F0">
            <w:pPr>
              <w:pStyle w:val="elementgraficznytabela"/>
              <w:numPr>
                <w:ilvl w:val="0"/>
                <w:numId w:val="41"/>
              </w:numPr>
              <w:spacing w:after="240" w:line="259" w:lineRule="auto"/>
              <w:contextualSpacing/>
              <w:cnfStyle w:val="000000000000" w:firstRow="0" w:lastRow="0" w:firstColumn="0" w:lastColumn="0" w:oddVBand="0" w:evenVBand="0" w:oddHBand="0" w:evenHBand="0" w:firstRowFirstColumn="0" w:firstRowLastColumn="0" w:lastRowFirstColumn="0" w:lastRowLastColumn="0"/>
              <w:rPr>
                <w:rFonts w:cstheme="minorHAnsi"/>
                <w:szCs w:val="24"/>
              </w:rPr>
            </w:pPr>
            <w:r w:rsidRPr="00CC5394">
              <w:rPr>
                <w:rFonts w:cstheme="minorHAnsi"/>
                <w:szCs w:val="24"/>
              </w:rPr>
              <w:t>Utrzymanie silnego przywództwa</w:t>
            </w:r>
          </w:p>
          <w:p w14:paraId="6579AFFB" w14:textId="77777777" w:rsidR="003E270F" w:rsidRDefault="003E270F" w:rsidP="00B063F0">
            <w:pPr>
              <w:pStyle w:val="elementgraficznytabela"/>
              <w:numPr>
                <w:ilvl w:val="0"/>
                <w:numId w:val="41"/>
              </w:numPr>
              <w:spacing w:after="240" w:line="259" w:lineRule="auto"/>
              <w:contextualSpacing/>
              <w:cnfStyle w:val="000000000000" w:firstRow="0" w:lastRow="0" w:firstColumn="0" w:lastColumn="0" w:oddVBand="0" w:evenVBand="0" w:oddHBand="0" w:evenHBand="0" w:firstRowFirstColumn="0" w:firstRowLastColumn="0" w:lastRowFirstColumn="0" w:lastRowLastColumn="0"/>
              <w:rPr>
                <w:rFonts w:cstheme="minorHAnsi"/>
                <w:szCs w:val="24"/>
              </w:rPr>
            </w:pPr>
            <w:r w:rsidRPr="00CC5394">
              <w:rPr>
                <w:rFonts w:cstheme="minorHAnsi"/>
                <w:szCs w:val="24"/>
              </w:rPr>
              <w:t xml:space="preserve">Realizacja przyjętej wizji rozwoju Partnerstwa niezależnie od zmian władz JST wchodzących w </w:t>
            </w:r>
            <w:r w:rsidRPr="00CC5394">
              <w:rPr>
                <w:rFonts w:cstheme="minorHAnsi"/>
                <w:szCs w:val="24"/>
              </w:rPr>
              <w:lastRenderedPageBreak/>
              <w:t>skald Partnerstwa lub władz Partnerstwa</w:t>
            </w:r>
          </w:p>
          <w:p w14:paraId="1B38A967" w14:textId="14A3A83C" w:rsidR="003E270F" w:rsidRPr="003E270F" w:rsidRDefault="003E270F" w:rsidP="00B063F0">
            <w:pPr>
              <w:pStyle w:val="elementgraficznytabela"/>
              <w:numPr>
                <w:ilvl w:val="0"/>
                <w:numId w:val="41"/>
              </w:numPr>
              <w:spacing w:after="240" w:line="259" w:lineRule="auto"/>
              <w:contextualSpacing/>
              <w:cnfStyle w:val="000000000000" w:firstRow="0" w:lastRow="0" w:firstColumn="0" w:lastColumn="0" w:oddVBand="0" w:evenVBand="0" w:oddHBand="0" w:evenHBand="0" w:firstRowFirstColumn="0" w:firstRowLastColumn="0" w:lastRowFirstColumn="0" w:lastRowLastColumn="0"/>
              <w:rPr>
                <w:rFonts w:cstheme="minorHAnsi"/>
                <w:szCs w:val="24"/>
              </w:rPr>
            </w:pPr>
            <w:r w:rsidRPr="003E270F">
              <w:rPr>
                <w:rFonts w:cstheme="minorHAnsi"/>
                <w:szCs w:val="24"/>
              </w:rPr>
              <w:t>Integracja baz danych</w:t>
            </w:r>
          </w:p>
        </w:tc>
      </w:tr>
    </w:tbl>
    <w:p w14:paraId="0F4B2E03" w14:textId="5F730DBE" w:rsidR="00844583" w:rsidRDefault="00761CB0" w:rsidP="00056471">
      <w:pPr>
        <w:pStyle w:val="podpiselementu"/>
        <w:spacing w:after="240"/>
      </w:pPr>
      <w:r w:rsidRPr="00761CB0">
        <w:lastRenderedPageBreak/>
        <w:t>Źródło: opracowanie własne</w:t>
      </w:r>
    </w:p>
    <w:p w14:paraId="374E1B10" w14:textId="77777777" w:rsidR="00844583" w:rsidRPr="00844583" w:rsidRDefault="00844583" w:rsidP="00844583"/>
    <w:p w14:paraId="6F68B456" w14:textId="1E4BC65D" w:rsidR="006B091D" w:rsidRPr="00ED67FA" w:rsidRDefault="006B091D" w:rsidP="00ED67FA">
      <w:pPr>
        <w:pStyle w:val="Nagwek2"/>
        <w:spacing w:before="120"/>
        <w:rPr>
          <w:lang w:val="en-US"/>
        </w:rPr>
      </w:pPr>
      <w:bookmarkStart w:id="186" w:name="_Toc69725461"/>
      <w:r>
        <w:rPr>
          <w:lang w:val="en-US"/>
        </w:rPr>
        <w:t>Podsumowanie</w:t>
      </w:r>
      <w:bookmarkEnd w:id="186"/>
      <w:r>
        <w:rPr>
          <w:lang w:val="en-US"/>
        </w:rPr>
        <w:t xml:space="preserve"> </w:t>
      </w:r>
    </w:p>
    <w:p w14:paraId="7A4083DF" w14:textId="4627071D" w:rsidR="00ED67FA" w:rsidRPr="00EB6192" w:rsidRDefault="00EB09D8" w:rsidP="00ED67FA">
      <w:pPr>
        <w:rPr>
          <w:lang w:val="pl-PL"/>
        </w:rPr>
      </w:pPr>
      <w:r>
        <w:rPr>
          <w:lang w:val="pl-PL"/>
        </w:rPr>
        <w:t xml:space="preserve">Zidentyfikowane czynniki </w:t>
      </w:r>
      <w:r w:rsidR="00625142">
        <w:rPr>
          <w:lang w:val="pl-PL"/>
        </w:rPr>
        <w:t xml:space="preserve">wewnętrzne i zewnętrzne </w:t>
      </w:r>
      <w:r>
        <w:rPr>
          <w:lang w:val="pl-PL"/>
        </w:rPr>
        <w:t xml:space="preserve">wpływające pozytywnie lub negatywnie na rozwój Partnerstwa </w:t>
      </w:r>
      <w:r w:rsidR="00625142">
        <w:rPr>
          <w:lang w:val="pl-PL"/>
        </w:rPr>
        <w:t xml:space="preserve">będą stanowiły podstawę dla analizy SWOT dla poszczególnych kierunków strategicznych, </w:t>
      </w:r>
      <w:r w:rsidR="00821BC1">
        <w:rPr>
          <w:lang w:val="pl-PL"/>
        </w:rPr>
        <w:t xml:space="preserve">a następnie </w:t>
      </w:r>
      <w:r w:rsidR="00625142">
        <w:rPr>
          <w:lang w:val="pl-PL"/>
        </w:rPr>
        <w:t>wyboru celów strategicznych i scenariuszy</w:t>
      </w:r>
      <w:r w:rsidR="00740AA9">
        <w:rPr>
          <w:lang w:val="pl-PL"/>
        </w:rPr>
        <w:t xml:space="preserve"> działania</w:t>
      </w:r>
      <w:r w:rsidR="00625142">
        <w:rPr>
          <w:lang w:val="pl-PL"/>
        </w:rPr>
        <w:t>. Je</w:t>
      </w:r>
      <w:r w:rsidR="00740AA9">
        <w:rPr>
          <w:lang w:val="pl-PL"/>
        </w:rPr>
        <w:t xml:space="preserve">dnocześnie </w:t>
      </w:r>
      <w:r w:rsidR="0023441E">
        <w:rPr>
          <w:lang w:val="pl-PL"/>
        </w:rPr>
        <w:t xml:space="preserve">w toku analizy strategicznej zostaną zweryfikowane determinanty działania </w:t>
      </w:r>
    </w:p>
    <w:p w14:paraId="1A002338" w14:textId="77777777" w:rsidR="006B091D" w:rsidRPr="006B091D" w:rsidRDefault="006B091D" w:rsidP="006B091D">
      <w:pPr>
        <w:rPr>
          <w:lang w:val="pl-PL"/>
        </w:rPr>
      </w:pPr>
    </w:p>
    <w:p w14:paraId="5CAF650F" w14:textId="77777777" w:rsidR="00D37D37" w:rsidRPr="00091BAE" w:rsidRDefault="005C2114" w:rsidP="00733091">
      <w:pPr>
        <w:ind w:left="0"/>
        <w:rPr>
          <w:rStyle w:val="Wyrnieniedelikatne"/>
          <w:noProof/>
          <w:lang w:val="pl-PL"/>
        </w:rPr>
      </w:pPr>
      <w:r w:rsidRPr="006B091D">
        <w:rPr>
          <w:noProof/>
          <w:lang w:val="pl-PL"/>
        </w:rPr>
        <w:br w:type="column"/>
      </w:r>
      <w:bookmarkStart w:id="187" w:name="_Hlk67657003"/>
      <w:bookmarkStart w:id="188" w:name="_Hlk67657020"/>
      <w:r w:rsidRPr="00091BAE">
        <w:rPr>
          <w:rStyle w:val="Wyrnieniedelikatne"/>
          <w:noProof/>
          <w:lang w:val="pl-PL"/>
        </w:rPr>
        <w:lastRenderedPageBreak/>
        <w:t>Spis rysunków</w:t>
      </w:r>
      <w:bookmarkEnd w:id="187"/>
    </w:p>
    <w:bookmarkStart w:id="189" w:name="_Hlk67656707"/>
    <w:p w14:paraId="14BF64FE" w14:textId="7ACB5737" w:rsidR="00A33A7C" w:rsidRDefault="00337026">
      <w:pPr>
        <w:pStyle w:val="Spisilustracji"/>
        <w:tabs>
          <w:tab w:val="right" w:leader="dot" w:pos="8920"/>
        </w:tabs>
        <w:rPr>
          <w:rFonts w:eastAsiaTheme="minorEastAsia"/>
          <w:noProof/>
          <w:sz w:val="22"/>
          <w:lang w:val="pl-PL" w:eastAsia="pl-PL"/>
        </w:rPr>
      </w:pPr>
      <w:r>
        <w:rPr>
          <w:noProof/>
          <w:lang w:val="pl-PL"/>
        </w:rPr>
        <w:fldChar w:fldCharType="begin"/>
      </w:r>
      <w:r>
        <w:rPr>
          <w:noProof/>
          <w:lang w:val="pl-PL"/>
        </w:rPr>
        <w:instrText xml:space="preserve"> TOC \h \z \c "Rysunek" </w:instrText>
      </w:r>
      <w:r>
        <w:rPr>
          <w:noProof/>
          <w:lang w:val="pl-PL"/>
        </w:rPr>
        <w:fldChar w:fldCharType="separate"/>
      </w:r>
      <w:hyperlink w:anchor="_Toc68113509" w:history="1">
        <w:r w:rsidR="00A33A7C" w:rsidRPr="00573032">
          <w:rPr>
            <w:rStyle w:val="Hipercze"/>
            <w:noProof/>
            <w:lang w:val="pl-PL"/>
          </w:rPr>
          <w:t>Rysunek 1: Proces diagnozy – metodyka</w:t>
        </w:r>
        <w:r w:rsidR="00A33A7C">
          <w:rPr>
            <w:noProof/>
            <w:webHidden/>
          </w:rPr>
          <w:tab/>
        </w:r>
        <w:r w:rsidR="00A33A7C">
          <w:rPr>
            <w:noProof/>
            <w:webHidden/>
          </w:rPr>
          <w:fldChar w:fldCharType="begin"/>
        </w:r>
        <w:r w:rsidR="00A33A7C">
          <w:rPr>
            <w:noProof/>
            <w:webHidden/>
          </w:rPr>
          <w:instrText xml:space="preserve"> PAGEREF _Toc68113509 \h </w:instrText>
        </w:r>
        <w:r w:rsidR="00A33A7C">
          <w:rPr>
            <w:noProof/>
            <w:webHidden/>
          </w:rPr>
        </w:r>
        <w:r w:rsidR="00A33A7C">
          <w:rPr>
            <w:noProof/>
            <w:webHidden/>
          </w:rPr>
          <w:fldChar w:fldCharType="separate"/>
        </w:r>
        <w:r w:rsidR="00B14787">
          <w:rPr>
            <w:noProof/>
            <w:webHidden/>
          </w:rPr>
          <w:t>12</w:t>
        </w:r>
        <w:r w:rsidR="00A33A7C">
          <w:rPr>
            <w:noProof/>
            <w:webHidden/>
          </w:rPr>
          <w:fldChar w:fldCharType="end"/>
        </w:r>
      </w:hyperlink>
    </w:p>
    <w:p w14:paraId="0D923114" w14:textId="0A3AF953" w:rsidR="00A33A7C" w:rsidRDefault="00B14787">
      <w:pPr>
        <w:pStyle w:val="Spisilustracji"/>
        <w:tabs>
          <w:tab w:val="right" w:leader="dot" w:pos="8920"/>
        </w:tabs>
        <w:rPr>
          <w:rFonts w:eastAsiaTheme="minorEastAsia"/>
          <w:noProof/>
          <w:sz w:val="22"/>
          <w:lang w:val="pl-PL" w:eastAsia="pl-PL"/>
        </w:rPr>
      </w:pPr>
      <w:hyperlink w:anchor="_Toc68113510" w:history="1">
        <w:r w:rsidR="00A33A7C" w:rsidRPr="00573032">
          <w:rPr>
            <w:rStyle w:val="Hipercze"/>
            <w:noProof/>
            <w:lang w:val="pl-PL"/>
          </w:rPr>
          <w:t>Rysunek 2: Kierunki rozwojowe Partnerstwa Południowe Mazury</w:t>
        </w:r>
        <w:r w:rsidR="00A33A7C">
          <w:rPr>
            <w:noProof/>
            <w:webHidden/>
          </w:rPr>
          <w:tab/>
        </w:r>
        <w:r w:rsidR="00A33A7C">
          <w:rPr>
            <w:noProof/>
            <w:webHidden/>
          </w:rPr>
          <w:fldChar w:fldCharType="begin"/>
        </w:r>
        <w:r w:rsidR="00A33A7C">
          <w:rPr>
            <w:noProof/>
            <w:webHidden/>
          </w:rPr>
          <w:instrText xml:space="preserve"> PAGEREF _Toc68113510 \h </w:instrText>
        </w:r>
        <w:r w:rsidR="00A33A7C">
          <w:rPr>
            <w:noProof/>
            <w:webHidden/>
          </w:rPr>
        </w:r>
        <w:r w:rsidR="00A33A7C">
          <w:rPr>
            <w:noProof/>
            <w:webHidden/>
          </w:rPr>
          <w:fldChar w:fldCharType="separate"/>
        </w:r>
        <w:r>
          <w:rPr>
            <w:noProof/>
            <w:webHidden/>
          </w:rPr>
          <w:t>13</w:t>
        </w:r>
        <w:r w:rsidR="00A33A7C">
          <w:rPr>
            <w:noProof/>
            <w:webHidden/>
          </w:rPr>
          <w:fldChar w:fldCharType="end"/>
        </w:r>
      </w:hyperlink>
    </w:p>
    <w:p w14:paraId="3C7186B6" w14:textId="09E86FA7" w:rsidR="00A33A7C" w:rsidRDefault="00B14787">
      <w:pPr>
        <w:pStyle w:val="Spisilustracji"/>
        <w:tabs>
          <w:tab w:val="right" w:leader="dot" w:pos="8920"/>
        </w:tabs>
        <w:rPr>
          <w:rFonts w:eastAsiaTheme="minorEastAsia"/>
          <w:noProof/>
          <w:sz w:val="22"/>
          <w:lang w:val="pl-PL" w:eastAsia="pl-PL"/>
        </w:rPr>
      </w:pPr>
      <w:hyperlink w:anchor="_Toc68113511" w:history="1">
        <w:r w:rsidR="00A33A7C" w:rsidRPr="00573032">
          <w:rPr>
            <w:rStyle w:val="Hipercze"/>
            <w:noProof/>
            <w:lang w:val="pl-PL"/>
          </w:rPr>
          <w:t>Rysunek 3: Usługi w Partnerstwie według dostępności i miejsca korzystania</w:t>
        </w:r>
        <w:r w:rsidR="00A33A7C">
          <w:rPr>
            <w:noProof/>
            <w:webHidden/>
          </w:rPr>
          <w:tab/>
        </w:r>
        <w:r w:rsidR="00A33A7C">
          <w:rPr>
            <w:noProof/>
            <w:webHidden/>
          </w:rPr>
          <w:fldChar w:fldCharType="begin"/>
        </w:r>
        <w:r w:rsidR="00A33A7C">
          <w:rPr>
            <w:noProof/>
            <w:webHidden/>
          </w:rPr>
          <w:instrText xml:space="preserve"> PAGEREF _Toc68113511 \h </w:instrText>
        </w:r>
        <w:r w:rsidR="00A33A7C">
          <w:rPr>
            <w:noProof/>
            <w:webHidden/>
          </w:rPr>
        </w:r>
        <w:r w:rsidR="00A33A7C">
          <w:rPr>
            <w:noProof/>
            <w:webHidden/>
          </w:rPr>
          <w:fldChar w:fldCharType="separate"/>
        </w:r>
        <w:r>
          <w:rPr>
            <w:noProof/>
            <w:webHidden/>
          </w:rPr>
          <w:t>22</w:t>
        </w:r>
        <w:r w:rsidR="00A33A7C">
          <w:rPr>
            <w:noProof/>
            <w:webHidden/>
          </w:rPr>
          <w:fldChar w:fldCharType="end"/>
        </w:r>
      </w:hyperlink>
    </w:p>
    <w:p w14:paraId="6A49C1AA" w14:textId="43A43850" w:rsidR="00A33A7C" w:rsidRDefault="00B14787">
      <w:pPr>
        <w:pStyle w:val="Spisilustracji"/>
        <w:tabs>
          <w:tab w:val="right" w:leader="dot" w:pos="8920"/>
        </w:tabs>
        <w:rPr>
          <w:rFonts w:eastAsiaTheme="minorEastAsia"/>
          <w:noProof/>
          <w:sz w:val="22"/>
          <w:lang w:val="pl-PL" w:eastAsia="pl-PL"/>
        </w:rPr>
      </w:pPr>
      <w:hyperlink w:anchor="_Toc68113512" w:history="1">
        <w:r w:rsidR="00A33A7C" w:rsidRPr="00573032">
          <w:rPr>
            <w:rStyle w:val="Hipercze"/>
            <w:noProof/>
            <w:lang w:val="pl-PL"/>
          </w:rPr>
          <w:t>Rysunek 4: Wymiar społeczny diagnozy Południowych Mazur</w:t>
        </w:r>
        <w:r w:rsidR="00A33A7C">
          <w:rPr>
            <w:noProof/>
            <w:webHidden/>
          </w:rPr>
          <w:tab/>
        </w:r>
        <w:r w:rsidR="00A33A7C">
          <w:rPr>
            <w:noProof/>
            <w:webHidden/>
          </w:rPr>
          <w:fldChar w:fldCharType="begin"/>
        </w:r>
        <w:r w:rsidR="00A33A7C">
          <w:rPr>
            <w:noProof/>
            <w:webHidden/>
          </w:rPr>
          <w:instrText xml:space="preserve"> PAGEREF _Toc68113512 \h </w:instrText>
        </w:r>
        <w:r w:rsidR="00A33A7C">
          <w:rPr>
            <w:noProof/>
            <w:webHidden/>
          </w:rPr>
        </w:r>
        <w:r w:rsidR="00A33A7C">
          <w:rPr>
            <w:noProof/>
            <w:webHidden/>
          </w:rPr>
          <w:fldChar w:fldCharType="separate"/>
        </w:r>
        <w:r>
          <w:rPr>
            <w:noProof/>
            <w:webHidden/>
          </w:rPr>
          <w:t>42</w:t>
        </w:r>
        <w:r w:rsidR="00A33A7C">
          <w:rPr>
            <w:noProof/>
            <w:webHidden/>
          </w:rPr>
          <w:fldChar w:fldCharType="end"/>
        </w:r>
      </w:hyperlink>
    </w:p>
    <w:p w14:paraId="2A9796E3" w14:textId="433011E0" w:rsidR="00A33A7C" w:rsidRDefault="00B14787">
      <w:pPr>
        <w:pStyle w:val="Spisilustracji"/>
        <w:tabs>
          <w:tab w:val="right" w:leader="dot" w:pos="8920"/>
        </w:tabs>
        <w:rPr>
          <w:rFonts w:eastAsiaTheme="minorEastAsia"/>
          <w:noProof/>
          <w:sz w:val="22"/>
          <w:lang w:val="pl-PL" w:eastAsia="pl-PL"/>
        </w:rPr>
      </w:pPr>
      <w:hyperlink w:anchor="_Toc68113513" w:history="1">
        <w:r w:rsidR="00A33A7C" w:rsidRPr="00573032">
          <w:rPr>
            <w:rStyle w:val="Hipercze"/>
            <w:noProof/>
            <w:lang w:val="pl-PL"/>
          </w:rPr>
          <w:t>Rysunek 5: Wymiary efektywności a model kultury organizacyjnej</w:t>
        </w:r>
        <w:r w:rsidR="00A33A7C">
          <w:rPr>
            <w:noProof/>
            <w:webHidden/>
          </w:rPr>
          <w:tab/>
        </w:r>
        <w:r w:rsidR="00A33A7C">
          <w:rPr>
            <w:noProof/>
            <w:webHidden/>
          </w:rPr>
          <w:fldChar w:fldCharType="begin"/>
        </w:r>
        <w:r w:rsidR="00A33A7C">
          <w:rPr>
            <w:noProof/>
            <w:webHidden/>
          </w:rPr>
          <w:instrText xml:space="preserve"> PAGEREF _Toc68113513 \h </w:instrText>
        </w:r>
        <w:r w:rsidR="00A33A7C">
          <w:rPr>
            <w:noProof/>
            <w:webHidden/>
          </w:rPr>
        </w:r>
        <w:r w:rsidR="00A33A7C">
          <w:rPr>
            <w:noProof/>
            <w:webHidden/>
          </w:rPr>
          <w:fldChar w:fldCharType="separate"/>
        </w:r>
        <w:r>
          <w:rPr>
            <w:noProof/>
            <w:webHidden/>
          </w:rPr>
          <w:t>87</w:t>
        </w:r>
        <w:r w:rsidR="00A33A7C">
          <w:rPr>
            <w:noProof/>
            <w:webHidden/>
          </w:rPr>
          <w:fldChar w:fldCharType="end"/>
        </w:r>
      </w:hyperlink>
    </w:p>
    <w:p w14:paraId="14844D2C" w14:textId="4C3ADAD9" w:rsidR="00A33A7C" w:rsidRDefault="00B14787">
      <w:pPr>
        <w:pStyle w:val="Spisilustracji"/>
        <w:tabs>
          <w:tab w:val="right" w:leader="dot" w:pos="8920"/>
        </w:tabs>
        <w:rPr>
          <w:rFonts w:eastAsiaTheme="minorEastAsia"/>
          <w:noProof/>
          <w:sz w:val="22"/>
          <w:lang w:val="pl-PL" w:eastAsia="pl-PL"/>
        </w:rPr>
      </w:pPr>
      <w:hyperlink w:anchor="_Toc68113514" w:history="1">
        <w:r w:rsidR="00A33A7C" w:rsidRPr="00573032">
          <w:rPr>
            <w:rStyle w:val="Hipercze"/>
            <w:noProof/>
            <w:lang w:val="pl-PL"/>
          </w:rPr>
          <w:t>Rysunek 6: Wymiar gospodarczy diagnozy Południowych Mazur</w:t>
        </w:r>
        <w:r w:rsidR="00A33A7C">
          <w:rPr>
            <w:noProof/>
            <w:webHidden/>
          </w:rPr>
          <w:tab/>
        </w:r>
        <w:r w:rsidR="00A33A7C">
          <w:rPr>
            <w:noProof/>
            <w:webHidden/>
          </w:rPr>
          <w:fldChar w:fldCharType="begin"/>
        </w:r>
        <w:r w:rsidR="00A33A7C">
          <w:rPr>
            <w:noProof/>
            <w:webHidden/>
          </w:rPr>
          <w:instrText xml:space="preserve"> PAGEREF _Toc68113514 \h </w:instrText>
        </w:r>
        <w:r w:rsidR="00A33A7C">
          <w:rPr>
            <w:noProof/>
            <w:webHidden/>
          </w:rPr>
        </w:r>
        <w:r w:rsidR="00A33A7C">
          <w:rPr>
            <w:noProof/>
            <w:webHidden/>
          </w:rPr>
          <w:fldChar w:fldCharType="separate"/>
        </w:r>
        <w:r>
          <w:rPr>
            <w:noProof/>
            <w:webHidden/>
          </w:rPr>
          <w:t>92</w:t>
        </w:r>
        <w:r w:rsidR="00A33A7C">
          <w:rPr>
            <w:noProof/>
            <w:webHidden/>
          </w:rPr>
          <w:fldChar w:fldCharType="end"/>
        </w:r>
      </w:hyperlink>
    </w:p>
    <w:p w14:paraId="32914822" w14:textId="2BC530C0" w:rsidR="00A33A7C" w:rsidRDefault="00B14787">
      <w:pPr>
        <w:pStyle w:val="Spisilustracji"/>
        <w:tabs>
          <w:tab w:val="right" w:leader="dot" w:pos="8920"/>
        </w:tabs>
        <w:rPr>
          <w:rFonts w:eastAsiaTheme="minorEastAsia"/>
          <w:noProof/>
          <w:sz w:val="22"/>
          <w:lang w:val="pl-PL" w:eastAsia="pl-PL"/>
        </w:rPr>
      </w:pPr>
      <w:hyperlink w:anchor="_Toc68113515" w:history="1">
        <w:r w:rsidR="00A33A7C" w:rsidRPr="00573032">
          <w:rPr>
            <w:rStyle w:val="Hipercze"/>
            <w:noProof/>
            <w:lang w:val="pl-PL"/>
          </w:rPr>
          <w:t>Rysunek 7: Wymiar środowiskowo-przestrzenny diagnozy Południowych Mazur</w:t>
        </w:r>
        <w:r w:rsidR="00A33A7C">
          <w:rPr>
            <w:noProof/>
            <w:webHidden/>
          </w:rPr>
          <w:tab/>
        </w:r>
        <w:r w:rsidR="00A33A7C">
          <w:rPr>
            <w:noProof/>
            <w:webHidden/>
          </w:rPr>
          <w:fldChar w:fldCharType="begin"/>
        </w:r>
        <w:r w:rsidR="00A33A7C">
          <w:rPr>
            <w:noProof/>
            <w:webHidden/>
          </w:rPr>
          <w:instrText xml:space="preserve"> PAGEREF _Toc68113515 \h </w:instrText>
        </w:r>
        <w:r w:rsidR="00A33A7C">
          <w:rPr>
            <w:noProof/>
            <w:webHidden/>
          </w:rPr>
        </w:r>
        <w:r w:rsidR="00A33A7C">
          <w:rPr>
            <w:noProof/>
            <w:webHidden/>
          </w:rPr>
          <w:fldChar w:fldCharType="separate"/>
        </w:r>
        <w:r>
          <w:rPr>
            <w:noProof/>
            <w:webHidden/>
          </w:rPr>
          <w:t>129</w:t>
        </w:r>
        <w:r w:rsidR="00A33A7C">
          <w:rPr>
            <w:noProof/>
            <w:webHidden/>
          </w:rPr>
          <w:fldChar w:fldCharType="end"/>
        </w:r>
      </w:hyperlink>
    </w:p>
    <w:p w14:paraId="0A890E35" w14:textId="668123A9" w:rsidR="00A33A7C" w:rsidRDefault="00B14787">
      <w:pPr>
        <w:pStyle w:val="Spisilustracji"/>
        <w:tabs>
          <w:tab w:val="right" w:leader="dot" w:pos="8920"/>
        </w:tabs>
        <w:rPr>
          <w:rFonts w:eastAsiaTheme="minorEastAsia"/>
          <w:noProof/>
          <w:sz w:val="22"/>
          <w:lang w:val="pl-PL" w:eastAsia="pl-PL"/>
        </w:rPr>
      </w:pPr>
      <w:hyperlink w:anchor="_Toc68113516" w:history="1">
        <w:r w:rsidR="00A33A7C" w:rsidRPr="00573032">
          <w:rPr>
            <w:rStyle w:val="Hipercze"/>
            <w:noProof/>
            <w:lang w:val="pl-PL"/>
          </w:rPr>
          <w:t>Rysunek 8: Czynniki oddziałujące na rozwój obszaru Partnerstwa</w:t>
        </w:r>
        <w:r w:rsidR="00A33A7C">
          <w:rPr>
            <w:noProof/>
            <w:webHidden/>
          </w:rPr>
          <w:tab/>
        </w:r>
        <w:r w:rsidR="00A33A7C">
          <w:rPr>
            <w:noProof/>
            <w:webHidden/>
          </w:rPr>
          <w:fldChar w:fldCharType="begin"/>
        </w:r>
        <w:r w:rsidR="00A33A7C">
          <w:rPr>
            <w:noProof/>
            <w:webHidden/>
          </w:rPr>
          <w:instrText xml:space="preserve"> PAGEREF _Toc68113516 \h </w:instrText>
        </w:r>
        <w:r w:rsidR="00A33A7C">
          <w:rPr>
            <w:noProof/>
            <w:webHidden/>
          </w:rPr>
        </w:r>
        <w:r w:rsidR="00A33A7C">
          <w:rPr>
            <w:noProof/>
            <w:webHidden/>
          </w:rPr>
          <w:fldChar w:fldCharType="separate"/>
        </w:r>
        <w:r>
          <w:rPr>
            <w:noProof/>
            <w:webHidden/>
          </w:rPr>
          <w:t>156</w:t>
        </w:r>
        <w:r w:rsidR="00A33A7C">
          <w:rPr>
            <w:noProof/>
            <w:webHidden/>
          </w:rPr>
          <w:fldChar w:fldCharType="end"/>
        </w:r>
      </w:hyperlink>
    </w:p>
    <w:p w14:paraId="0F8F9BEF" w14:textId="46F2B02A" w:rsidR="002B2AC3" w:rsidRPr="00091BAE" w:rsidRDefault="00337026" w:rsidP="00733091">
      <w:pPr>
        <w:ind w:left="0"/>
        <w:rPr>
          <w:rStyle w:val="Wyrnieniedelikatne"/>
          <w:noProof/>
          <w:lang w:val="pl-PL"/>
        </w:rPr>
      </w:pPr>
      <w:r>
        <w:rPr>
          <w:noProof/>
          <w:lang w:val="pl-PL"/>
        </w:rPr>
        <w:fldChar w:fldCharType="end"/>
      </w:r>
      <w:r w:rsidR="002B2AC3" w:rsidRPr="00091BAE">
        <w:rPr>
          <w:rStyle w:val="Wyrnieniedelikatne"/>
          <w:noProof/>
          <w:lang w:val="pl-PL"/>
        </w:rPr>
        <w:t xml:space="preserve">Spis </w:t>
      </w:r>
      <w:r w:rsidR="00895A32">
        <w:rPr>
          <w:rStyle w:val="Wyrnieniedelikatne"/>
          <w:noProof/>
          <w:lang w:val="pl-PL"/>
        </w:rPr>
        <w:t>map</w:t>
      </w:r>
    </w:p>
    <w:p w14:paraId="654405EC" w14:textId="11F7824F" w:rsidR="00B50B20" w:rsidRDefault="002B2AC3">
      <w:pPr>
        <w:pStyle w:val="Spisilustracji"/>
        <w:tabs>
          <w:tab w:val="right" w:leader="dot" w:pos="8920"/>
        </w:tabs>
        <w:rPr>
          <w:rFonts w:eastAsiaTheme="minorEastAsia"/>
          <w:noProof/>
          <w:sz w:val="22"/>
          <w:lang w:val="pl-PL" w:eastAsia="pl-PL"/>
        </w:rPr>
      </w:pPr>
      <w:r w:rsidRPr="00091BAE">
        <w:rPr>
          <w:noProof/>
          <w:lang w:val="pl-PL"/>
        </w:rPr>
        <w:fldChar w:fldCharType="begin"/>
      </w:r>
      <w:r w:rsidRPr="00091BAE">
        <w:rPr>
          <w:noProof/>
          <w:lang w:val="pl-PL"/>
        </w:rPr>
        <w:instrText xml:space="preserve"> TOC \h \z \c "</w:instrText>
      </w:r>
      <w:r>
        <w:rPr>
          <w:noProof/>
          <w:lang w:val="pl-PL"/>
        </w:rPr>
        <w:instrText>Mapa</w:instrText>
      </w:r>
      <w:r w:rsidRPr="00091BAE">
        <w:rPr>
          <w:noProof/>
          <w:lang w:val="pl-PL"/>
        </w:rPr>
        <w:instrText xml:space="preserve">" </w:instrText>
      </w:r>
      <w:r w:rsidRPr="00091BAE">
        <w:rPr>
          <w:noProof/>
          <w:lang w:val="pl-PL"/>
        </w:rPr>
        <w:fldChar w:fldCharType="separate"/>
      </w:r>
      <w:hyperlink w:anchor="_Toc69596601" w:history="1">
        <w:r w:rsidR="00B50B20" w:rsidRPr="00484C0F">
          <w:rPr>
            <w:rStyle w:val="Hipercze"/>
            <w:noProof/>
            <w:lang w:val="pl-PL"/>
          </w:rPr>
          <w:t>Mapa 1: Położenie Partnerstwa Południowe Mazury</w:t>
        </w:r>
        <w:r w:rsidR="00B50B20">
          <w:rPr>
            <w:noProof/>
            <w:webHidden/>
          </w:rPr>
          <w:tab/>
        </w:r>
        <w:r w:rsidR="00B50B20">
          <w:rPr>
            <w:noProof/>
            <w:webHidden/>
          </w:rPr>
          <w:fldChar w:fldCharType="begin"/>
        </w:r>
        <w:r w:rsidR="00B50B20">
          <w:rPr>
            <w:noProof/>
            <w:webHidden/>
          </w:rPr>
          <w:instrText xml:space="preserve"> PAGEREF _Toc69596601 \h </w:instrText>
        </w:r>
        <w:r w:rsidR="00B50B20">
          <w:rPr>
            <w:noProof/>
            <w:webHidden/>
          </w:rPr>
        </w:r>
        <w:r w:rsidR="00B50B20">
          <w:rPr>
            <w:noProof/>
            <w:webHidden/>
          </w:rPr>
          <w:fldChar w:fldCharType="separate"/>
        </w:r>
        <w:r w:rsidR="00B14787">
          <w:rPr>
            <w:noProof/>
            <w:webHidden/>
          </w:rPr>
          <w:t>16</w:t>
        </w:r>
        <w:r w:rsidR="00B50B20">
          <w:rPr>
            <w:noProof/>
            <w:webHidden/>
          </w:rPr>
          <w:fldChar w:fldCharType="end"/>
        </w:r>
      </w:hyperlink>
    </w:p>
    <w:p w14:paraId="7DA4130F" w14:textId="6BE87999" w:rsidR="00B50B20" w:rsidRDefault="00B14787">
      <w:pPr>
        <w:pStyle w:val="Spisilustracji"/>
        <w:tabs>
          <w:tab w:val="right" w:leader="dot" w:pos="8920"/>
        </w:tabs>
        <w:rPr>
          <w:rFonts w:eastAsiaTheme="minorEastAsia"/>
          <w:noProof/>
          <w:sz w:val="22"/>
          <w:lang w:val="pl-PL" w:eastAsia="pl-PL"/>
        </w:rPr>
      </w:pPr>
      <w:hyperlink w:anchor="_Toc69596602" w:history="1">
        <w:r w:rsidR="00B50B20" w:rsidRPr="00484C0F">
          <w:rPr>
            <w:rStyle w:val="Hipercze"/>
            <w:noProof/>
            <w:lang w:val="pl-PL"/>
          </w:rPr>
          <w:t>Mapa 2: Klasyfikacja funkcjonalna gmin z obszaru Partnerstwa</w:t>
        </w:r>
        <w:r w:rsidR="00B50B20">
          <w:rPr>
            <w:noProof/>
            <w:webHidden/>
          </w:rPr>
          <w:tab/>
        </w:r>
        <w:r w:rsidR="00B50B20">
          <w:rPr>
            <w:noProof/>
            <w:webHidden/>
          </w:rPr>
          <w:fldChar w:fldCharType="begin"/>
        </w:r>
        <w:r w:rsidR="00B50B20">
          <w:rPr>
            <w:noProof/>
            <w:webHidden/>
          </w:rPr>
          <w:instrText xml:space="preserve"> PAGEREF _Toc69596602 \h </w:instrText>
        </w:r>
        <w:r w:rsidR="00B50B20">
          <w:rPr>
            <w:noProof/>
            <w:webHidden/>
          </w:rPr>
        </w:r>
        <w:r w:rsidR="00B50B20">
          <w:rPr>
            <w:noProof/>
            <w:webHidden/>
          </w:rPr>
          <w:fldChar w:fldCharType="separate"/>
        </w:r>
        <w:r>
          <w:rPr>
            <w:noProof/>
            <w:webHidden/>
          </w:rPr>
          <w:t>17</w:t>
        </w:r>
        <w:r w:rsidR="00B50B20">
          <w:rPr>
            <w:noProof/>
            <w:webHidden/>
          </w:rPr>
          <w:fldChar w:fldCharType="end"/>
        </w:r>
      </w:hyperlink>
    </w:p>
    <w:p w14:paraId="1A7C2EF9" w14:textId="6BC9A737" w:rsidR="00B50B20" w:rsidRDefault="00B14787">
      <w:pPr>
        <w:pStyle w:val="Spisilustracji"/>
        <w:tabs>
          <w:tab w:val="right" w:leader="dot" w:pos="8920"/>
        </w:tabs>
        <w:rPr>
          <w:rFonts w:eastAsiaTheme="minorEastAsia"/>
          <w:noProof/>
          <w:sz w:val="22"/>
          <w:lang w:val="pl-PL" w:eastAsia="pl-PL"/>
        </w:rPr>
      </w:pPr>
      <w:hyperlink w:anchor="_Toc69596603" w:history="1">
        <w:r w:rsidR="00B50B20" w:rsidRPr="00484C0F">
          <w:rPr>
            <w:rStyle w:val="Hipercze"/>
            <w:noProof/>
            <w:lang w:val="pl-PL"/>
          </w:rPr>
          <w:t>Mapa 3: Obszary problemowe na terenie Partnerstwa</w:t>
        </w:r>
        <w:r w:rsidR="00B50B20">
          <w:rPr>
            <w:noProof/>
            <w:webHidden/>
          </w:rPr>
          <w:tab/>
        </w:r>
        <w:r w:rsidR="00B50B20">
          <w:rPr>
            <w:noProof/>
            <w:webHidden/>
          </w:rPr>
          <w:fldChar w:fldCharType="begin"/>
        </w:r>
        <w:r w:rsidR="00B50B20">
          <w:rPr>
            <w:noProof/>
            <w:webHidden/>
          </w:rPr>
          <w:instrText xml:space="preserve"> PAGEREF _Toc69596603 \h </w:instrText>
        </w:r>
        <w:r w:rsidR="00B50B20">
          <w:rPr>
            <w:noProof/>
            <w:webHidden/>
          </w:rPr>
        </w:r>
        <w:r w:rsidR="00B50B20">
          <w:rPr>
            <w:noProof/>
            <w:webHidden/>
          </w:rPr>
          <w:fldChar w:fldCharType="separate"/>
        </w:r>
        <w:r>
          <w:rPr>
            <w:noProof/>
            <w:webHidden/>
          </w:rPr>
          <w:t>20</w:t>
        </w:r>
        <w:r w:rsidR="00B50B20">
          <w:rPr>
            <w:noProof/>
            <w:webHidden/>
          </w:rPr>
          <w:fldChar w:fldCharType="end"/>
        </w:r>
      </w:hyperlink>
    </w:p>
    <w:p w14:paraId="2922B823" w14:textId="327C2EF5" w:rsidR="00B50B20" w:rsidRDefault="00B14787">
      <w:pPr>
        <w:pStyle w:val="Spisilustracji"/>
        <w:tabs>
          <w:tab w:val="right" w:leader="dot" w:pos="8920"/>
        </w:tabs>
        <w:rPr>
          <w:rFonts w:eastAsiaTheme="minorEastAsia"/>
          <w:noProof/>
          <w:sz w:val="22"/>
          <w:lang w:val="pl-PL" w:eastAsia="pl-PL"/>
        </w:rPr>
      </w:pPr>
      <w:hyperlink w:anchor="_Toc69596604" w:history="1">
        <w:r w:rsidR="00B50B20" w:rsidRPr="00484C0F">
          <w:rPr>
            <w:rStyle w:val="Hipercze"/>
            <w:noProof/>
            <w:lang w:val="pl-PL"/>
          </w:rPr>
          <w:t>Mapa 4: Bilans zatrudnienia</w:t>
        </w:r>
        <w:r w:rsidR="00B50B20">
          <w:rPr>
            <w:noProof/>
            <w:webHidden/>
          </w:rPr>
          <w:tab/>
        </w:r>
        <w:r w:rsidR="00B50B20">
          <w:rPr>
            <w:noProof/>
            <w:webHidden/>
          </w:rPr>
          <w:fldChar w:fldCharType="begin"/>
        </w:r>
        <w:r w:rsidR="00B50B20">
          <w:rPr>
            <w:noProof/>
            <w:webHidden/>
          </w:rPr>
          <w:instrText xml:space="preserve"> PAGEREF _Toc69596604 \h </w:instrText>
        </w:r>
        <w:r w:rsidR="00B50B20">
          <w:rPr>
            <w:noProof/>
            <w:webHidden/>
          </w:rPr>
        </w:r>
        <w:r w:rsidR="00B50B20">
          <w:rPr>
            <w:noProof/>
            <w:webHidden/>
          </w:rPr>
          <w:fldChar w:fldCharType="separate"/>
        </w:r>
        <w:r>
          <w:rPr>
            <w:noProof/>
            <w:webHidden/>
          </w:rPr>
          <w:t>29</w:t>
        </w:r>
        <w:r w:rsidR="00B50B20">
          <w:rPr>
            <w:noProof/>
            <w:webHidden/>
          </w:rPr>
          <w:fldChar w:fldCharType="end"/>
        </w:r>
      </w:hyperlink>
    </w:p>
    <w:p w14:paraId="33FEDA9A" w14:textId="7C2CB0D1" w:rsidR="00B50B20" w:rsidRDefault="00B14787">
      <w:pPr>
        <w:pStyle w:val="Spisilustracji"/>
        <w:tabs>
          <w:tab w:val="right" w:leader="dot" w:pos="8920"/>
        </w:tabs>
        <w:rPr>
          <w:rFonts w:eastAsiaTheme="minorEastAsia"/>
          <w:noProof/>
          <w:sz w:val="22"/>
          <w:lang w:val="pl-PL" w:eastAsia="pl-PL"/>
        </w:rPr>
      </w:pPr>
      <w:hyperlink w:anchor="_Toc69596605" w:history="1">
        <w:r w:rsidR="00B50B20" w:rsidRPr="00484C0F">
          <w:rPr>
            <w:rStyle w:val="Hipercze"/>
            <w:noProof/>
            <w:lang w:val="pl-PL"/>
          </w:rPr>
          <w:t>Mapa 5: Ogólny wskaźnik rozwoju Partnerstwa Południowe Mazury</w:t>
        </w:r>
        <w:r w:rsidR="00B50B20">
          <w:rPr>
            <w:noProof/>
            <w:webHidden/>
          </w:rPr>
          <w:tab/>
        </w:r>
        <w:r w:rsidR="00B50B20">
          <w:rPr>
            <w:noProof/>
            <w:webHidden/>
          </w:rPr>
          <w:fldChar w:fldCharType="begin"/>
        </w:r>
        <w:r w:rsidR="00B50B20">
          <w:rPr>
            <w:noProof/>
            <w:webHidden/>
          </w:rPr>
          <w:instrText xml:space="preserve"> PAGEREF _Toc69596605 \h </w:instrText>
        </w:r>
        <w:r w:rsidR="00B50B20">
          <w:rPr>
            <w:noProof/>
            <w:webHidden/>
          </w:rPr>
        </w:r>
        <w:r w:rsidR="00B50B20">
          <w:rPr>
            <w:noProof/>
            <w:webHidden/>
          </w:rPr>
          <w:fldChar w:fldCharType="separate"/>
        </w:r>
        <w:r>
          <w:rPr>
            <w:noProof/>
            <w:webHidden/>
          </w:rPr>
          <w:t>39</w:t>
        </w:r>
        <w:r w:rsidR="00B50B20">
          <w:rPr>
            <w:noProof/>
            <w:webHidden/>
          </w:rPr>
          <w:fldChar w:fldCharType="end"/>
        </w:r>
      </w:hyperlink>
    </w:p>
    <w:p w14:paraId="53150F26" w14:textId="5AEDA2B4" w:rsidR="00B50B20" w:rsidRDefault="00B14787">
      <w:pPr>
        <w:pStyle w:val="Spisilustracji"/>
        <w:tabs>
          <w:tab w:val="right" w:leader="dot" w:pos="8920"/>
        </w:tabs>
        <w:rPr>
          <w:rFonts w:eastAsiaTheme="minorEastAsia"/>
          <w:noProof/>
          <w:sz w:val="22"/>
          <w:lang w:val="pl-PL" w:eastAsia="pl-PL"/>
        </w:rPr>
      </w:pPr>
      <w:hyperlink w:anchor="_Toc69596606" w:history="1">
        <w:r w:rsidR="00B50B20" w:rsidRPr="00484C0F">
          <w:rPr>
            <w:rStyle w:val="Hipercze"/>
            <w:noProof/>
            <w:lang w:val="pl-PL"/>
          </w:rPr>
          <w:t>Mapa 6: Atrakcyjność miejsca zamieszkania</w:t>
        </w:r>
        <w:r w:rsidR="00B50B20">
          <w:rPr>
            <w:noProof/>
            <w:webHidden/>
          </w:rPr>
          <w:tab/>
        </w:r>
        <w:r w:rsidR="00B50B20">
          <w:rPr>
            <w:noProof/>
            <w:webHidden/>
          </w:rPr>
          <w:fldChar w:fldCharType="begin"/>
        </w:r>
        <w:r w:rsidR="00B50B20">
          <w:rPr>
            <w:noProof/>
            <w:webHidden/>
          </w:rPr>
          <w:instrText xml:space="preserve"> PAGEREF _Toc69596606 \h </w:instrText>
        </w:r>
        <w:r w:rsidR="00B50B20">
          <w:rPr>
            <w:noProof/>
            <w:webHidden/>
          </w:rPr>
        </w:r>
        <w:r w:rsidR="00B50B20">
          <w:rPr>
            <w:noProof/>
            <w:webHidden/>
          </w:rPr>
          <w:fldChar w:fldCharType="separate"/>
        </w:r>
        <w:r>
          <w:rPr>
            <w:noProof/>
            <w:webHidden/>
          </w:rPr>
          <w:t>64</w:t>
        </w:r>
        <w:r w:rsidR="00B50B20">
          <w:rPr>
            <w:noProof/>
            <w:webHidden/>
          </w:rPr>
          <w:fldChar w:fldCharType="end"/>
        </w:r>
      </w:hyperlink>
    </w:p>
    <w:p w14:paraId="69F31066" w14:textId="16131657" w:rsidR="00B50B20" w:rsidRDefault="00B14787">
      <w:pPr>
        <w:pStyle w:val="Spisilustracji"/>
        <w:tabs>
          <w:tab w:val="right" w:leader="dot" w:pos="8920"/>
        </w:tabs>
        <w:rPr>
          <w:rFonts w:eastAsiaTheme="minorEastAsia"/>
          <w:noProof/>
          <w:sz w:val="22"/>
          <w:lang w:val="pl-PL" w:eastAsia="pl-PL"/>
        </w:rPr>
      </w:pPr>
      <w:hyperlink w:anchor="_Toc69596607" w:history="1">
        <w:r w:rsidR="00B50B20" w:rsidRPr="00484C0F">
          <w:rPr>
            <w:rStyle w:val="Hipercze"/>
            <w:noProof/>
            <w:lang w:val="pl-PL"/>
          </w:rPr>
          <w:t>Mapa 7: Planowany system tras rowerowych</w:t>
        </w:r>
        <w:r w:rsidR="00B50B20">
          <w:rPr>
            <w:noProof/>
            <w:webHidden/>
          </w:rPr>
          <w:tab/>
        </w:r>
        <w:r w:rsidR="00B50B20">
          <w:rPr>
            <w:noProof/>
            <w:webHidden/>
          </w:rPr>
          <w:fldChar w:fldCharType="begin"/>
        </w:r>
        <w:r w:rsidR="00B50B20">
          <w:rPr>
            <w:noProof/>
            <w:webHidden/>
          </w:rPr>
          <w:instrText xml:space="preserve"> PAGEREF _Toc69596607 \h </w:instrText>
        </w:r>
        <w:r w:rsidR="00B50B20">
          <w:rPr>
            <w:noProof/>
            <w:webHidden/>
          </w:rPr>
        </w:r>
        <w:r w:rsidR="00B50B20">
          <w:rPr>
            <w:noProof/>
            <w:webHidden/>
          </w:rPr>
          <w:fldChar w:fldCharType="separate"/>
        </w:r>
        <w:r>
          <w:rPr>
            <w:noProof/>
            <w:webHidden/>
          </w:rPr>
          <w:t>100</w:t>
        </w:r>
        <w:r w:rsidR="00B50B20">
          <w:rPr>
            <w:noProof/>
            <w:webHidden/>
          </w:rPr>
          <w:fldChar w:fldCharType="end"/>
        </w:r>
      </w:hyperlink>
    </w:p>
    <w:p w14:paraId="2CC912F7" w14:textId="1CEB3835" w:rsidR="00B50B20" w:rsidRDefault="00B14787">
      <w:pPr>
        <w:pStyle w:val="Spisilustracji"/>
        <w:tabs>
          <w:tab w:val="right" w:leader="dot" w:pos="8920"/>
        </w:tabs>
        <w:rPr>
          <w:rFonts w:eastAsiaTheme="minorEastAsia"/>
          <w:noProof/>
          <w:sz w:val="22"/>
          <w:lang w:val="pl-PL" w:eastAsia="pl-PL"/>
        </w:rPr>
      </w:pPr>
      <w:hyperlink w:anchor="_Toc69596608" w:history="1">
        <w:r w:rsidR="00B50B20" w:rsidRPr="00484C0F">
          <w:rPr>
            <w:rStyle w:val="Hipercze"/>
            <w:noProof/>
            <w:lang w:val="pl-PL"/>
          </w:rPr>
          <w:t>Mapa 8: Powiaty o dominujących walorach kulturowych, środowiskowych oraz powiaty bez dominującego rodzaju walorów turystycznych</w:t>
        </w:r>
        <w:r w:rsidR="00B50B20">
          <w:rPr>
            <w:noProof/>
            <w:webHidden/>
          </w:rPr>
          <w:tab/>
        </w:r>
        <w:r w:rsidR="00B50B20">
          <w:rPr>
            <w:noProof/>
            <w:webHidden/>
          </w:rPr>
          <w:fldChar w:fldCharType="begin"/>
        </w:r>
        <w:r w:rsidR="00B50B20">
          <w:rPr>
            <w:noProof/>
            <w:webHidden/>
          </w:rPr>
          <w:instrText xml:space="preserve"> PAGEREF _Toc69596608 \h </w:instrText>
        </w:r>
        <w:r w:rsidR="00B50B20">
          <w:rPr>
            <w:noProof/>
            <w:webHidden/>
          </w:rPr>
        </w:r>
        <w:r w:rsidR="00B50B20">
          <w:rPr>
            <w:noProof/>
            <w:webHidden/>
          </w:rPr>
          <w:fldChar w:fldCharType="separate"/>
        </w:r>
        <w:r>
          <w:rPr>
            <w:noProof/>
            <w:webHidden/>
          </w:rPr>
          <w:t>105</w:t>
        </w:r>
        <w:r w:rsidR="00B50B20">
          <w:rPr>
            <w:noProof/>
            <w:webHidden/>
          </w:rPr>
          <w:fldChar w:fldCharType="end"/>
        </w:r>
      </w:hyperlink>
    </w:p>
    <w:p w14:paraId="38E95583" w14:textId="28A550FC" w:rsidR="00B50B20" w:rsidRDefault="00B14787">
      <w:pPr>
        <w:pStyle w:val="Spisilustracji"/>
        <w:tabs>
          <w:tab w:val="right" w:leader="dot" w:pos="8920"/>
        </w:tabs>
        <w:rPr>
          <w:rFonts w:eastAsiaTheme="minorEastAsia"/>
          <w:noProof/>
          <w:sz w:val="22"/>
          <w:lang w:val="pl-PL" w:eastAsia="pl-PL"/>
        </w:rPr>
      </w:pPr>
      <w:hyperlink w:anchor="_Toc69596609" w:history="1">
        <w:r w:rsidR="00B50B20" w:rsidRPr="00484C0F">
          <w:rPr>
            <w:rStyle w:val="Hipercze"/>
            <w:noProof/>
            <w:lang w:val="pl-PL"/>
          </w:rPr>
          <w:t>Mapa 9: Klasy pokrycia terenu</w:t>
        </w:r>
        <w:r w:rsidR="00B50B20">
          <w:rPr>
            <w:noProof/>
            <w:webHidden/>
          </w:rPr>
          <w:tab/>
        </w:r>
        <w:r w:rsidR="00B50B20">
          <w:rPr>
            <w:noProof/>
            <w:webHidden/>
          </w:rPr>
          <w:fldChar w:fldCharType="begin"/>
        </w:r>
        <w:r w:rsidR="00B50B20">
          <w:rPr>
            <w:noProof/>
            <w:webHidden/>
          </w:rPr>
          <w:instrText xml:space="preserve"> PAGEREF _Toc69596609 \h </w:instrText>
        </w:r>
        <w:r w:rsidR="00B50B20">
          <w:rPr>
            <w:noProof/>
            <w:webHidden/>
          </w:rPr>
        </w:r>
        <w:r w:rsidR="00B50B20">
          <w:rPr>
            <w:noProof/>
            <w:webHidden/>
          </w:rPr>
          <w:fldChar w:fldCharType="separate"/>
        </w:r>
        <w:r>
          <w:rPr>
            <w:noProof/>
            <w:webHidden/>
          </w:rPr>
          <w:t>132</w:t>
        </w:r>
        <w:r w:rsidR="00B50B20">
          <w:rPr>
            <w:noProof/>
            <w:webHidden/>
          </w:rPr>
          <w:fldChar w:fldCharType="end"/>
        </w:r>
      </w:hyperlink>
    </w:p>
    <w:p w14:paraId="6A825CE0" w14:textId="22E56074" w:rsidR="00B50B20" w:rsidRDefault="00B14787">
      <w:pPr>
        <w:pStyle w:val="Spisilustracji"/>
        <w:tabs>
          <w:tab w:val="right" w:leader="dot" w:pos="8920"/>
        </w:tabs>
        <w:rPr>
          <w:rFonts w:eastAsiaTheme="minorEastAsia"/>
          <w:noProof/>
          <w:sz w:val="22"/>
          <w:lang w:val="pl-PL" w:eastAsia="pl-PL"/>
        </w:rPr>
      </w:pPr>
      <w:hyperlink w:anchor="_Toc69596610" w:history="1">
        <w:r w:rsidR="00B50B20" w:rsidRPr="00484C0F">
          <w:rPr>
            <w:rStyle w:val="Hipercze"/>
            <w:noProof/>
            <w:lang w:val="pl-PL"/>
          </w:rPr>
          <w:t xml:space="preserve">Mapa 10: Wskaźnik waloryzacji rolniczej przestrzeni produkcyjnej </w:t>
        </w:r>
        <w:r w:rsidR="00B50B20">
          <w:rPr>
            <w:noProof/>
            <w:webHidden/>
          </w:rPr>
          <w:tab/>
        </w:r>
        <w:r w:rsidR="00B50B20">
          <w:rPr>
            <w:noProof/>
            <w:webHidden/>
          </w:rPr>
          <w:fldChar w:fldCharType="begin"/>
        </w:r>
        <w:r w:rsidR="00B50B20">
          <w:rPr>
            <w:noProof/>
            <w:webHidden/>
          </w:rPr>
          <w:instrText xml:space="preserve"> PAGEREF _Toc69596610 \h </w:instrText>
        </w:r>
        <w:r w:rsidR="00B50B20">
          <w:rPr>
            <w:noProof/>
            <w:webHidden/>
          </w:rPr>
        </w:r>
        <w:r w:rsidR="00B50B20">
          <w:rPr>
            <w:noProof/>
            <w:webHidden/>
          </w:rPr>
          <w:fldChar w:fldCharType="separate"/>
        </w:r>
        <w:r>
          <w:rPr>
            <w:noProof/>
            <w:webHidden/>
          </w:rPr>
          <w:t>133</w:t>
        </w:r>
        <w:r w:rsidR="00B50B20">
          <w:rPr>
            <w:noProof/>
            <w:webHidden/>
          </w:rPr>
          <w:fldChar w:fldCharType="end"/>
        </w:r>
      </w:hyperlink>
    </w:p>
    <w:p w14:paraId="2631F8DC" w14:textId="4C89E4A7" w:rsidR="00B50B20" w:rsidRDefault="00B14787">
      <w:pPr>
        <w:pStyle w:val="Spisilustracji"/>
        <w:tabs>
          <w:tab w:val="right" w:leader="dot" w:pos="8920"/>
        </w:tabs>
        <w:rPr>
          <w:rFonts w:eastAsiaTheme="minorEastAsia"/>
          <w:noProof/>
          <w:sz w:val="22"/>
          <w:lang w:val="pl-PL" w:eastAsia="pl-PL"/>
        </w:rPr>
      </w:pPr>
      <w:hyperlink w:anchor="_Toc69596611" w:history="1">
        <w:r w:rsidR="00B50B20" w:rsidRPr="00484C0F">
          <w:rPr>
            <w:rStyle w:val="Hipercze"/>
            <w:noProof/>
            <w:lang w:val="pl-PL"/>
          </w:rPr>
          <w:t>Mapa 10: Udział gruntów pod wodami w powierzchni gmin Południowych Mazur</w:t>
        </w:r>
        <w:r w:rsidR="00B50B20">
          <w:rPr>
            <w:noProof/>
            <w:webHidden/>
          </w:rPr>
          <w:tab/>
        </w:r>
        <w:r w:rsidR="00B50B20">
          <w:rPr>
            <w:noProof/>
            <w:webHidden/>
          </w:rPr>
          <w:fldChar w:fldCharType="begin"/>
        </w:r>
        <w:r w:rsidR="00B50B20">
          <w:rPr>
            <w:noProof/>
            <w:webHidden/>
          </w:rPr>
          <w:instrText xml:space="preserve"> PAGEREF _Toc69596611 \h </w:instrText>
        </w:r>
        <w:r w:rsidR="00B50B20">
          <w:rPr>
            <w:noProof/>
            <w:webHidden/>
          </w:rPr>
        </w:r>
        <w:r w:rsidR="00B50B20">
          <w:rPr>
            <w:noProof/>
            <w:webHidden/>
          </w:rPr>
          <w:fldChar w:fldCharType="separate"/>
        </w:r>
        <w:r>
          <w:rPr>
            <w:noProof/>
            <w:webHidden/>
          </w:rPr>
          <w:t>134</w:t>
        </w:r>
        <w:r w:rsidR="00B50B20">
          <w:rPr>
            <w:noProof/>
            <w:webHidden/>
          </w:rPr>
          <w:fldChar w:fldCharType="end"/>
        </w:r>
      </w:hyperlink>
    </w:p>
    <w:p w14:paraId="6624D095" w14:textId="19F6E2AD" w:rsidR="00B50B20" w:rsidRDefault="00B14787">
      <w:pPr>
        <w:pStyle w:val="Spisilustracji"/>
        <w:tabs>
          <w:tab w:val="right" w:leader="dot" w:pos="8920"/>
        </w:tabs>
        <w:rPr>
          <w:rFonts w:eastAsiaTheme="minorEastAsia"/>
          <w:noProof/>
          <w:sz w:val="22"/>
          <w:lang w:val="pl-PL" w:eastAsia="pl-PL"/>
        </w:rPr>
      </w:pPr>
      <w:hyperlink w:anchor="_Toc69596612" w:history="1">
        <w:r w:rsidR="00B50B20" w:rsidRPr="00484C0F">
          <w:rPr>
            <w:rStyle w:val="Hipercze"/>
            <w:noProof/>
            <w:lang w:val="pl-PL"/>
          </w:rPr>
          <w:t>Mapa 11: Strefy wietrzności w Polsce</w:t>
        </w:r>
        <w:r w:rsidR="00B50B20">
          <w:rPr>
            <w:noProof/>
            <w:webHidden/>
          </w:rPr>
          <w:tab/>
        </w:r>
        <w:r w:rsidR="00B50B20">
          <w:rPr>
            <w:noProof/>
            <w:webHidden/>
          </w:rPr>
          <w:fldChar w:fldCharType="begin"/>
        </w:r>
        <w:r w:rsidR="00B50B20">
          <w:rPr>
            <w:noProof/>
            <w:webHidden/>
          </w:rPr>
          <w:instrText xml:space="preserve"> PAGEREF _Toc69596612 \h </w:instrText>
        </w:r>
        <w:r w:rsidR="00B50B20">
          <w:rPr>
            <w:noProof/>
            <w:webHidden/>
          </w:rPr>
        </w:r>
        <w:r w:rsidR="00B50B20">
          <w:rPr>
            <w:noProof/>
            <w:webHidden/>
          </w:rPr>
          <w:fldChar w:fldCharType="separate"/>
        </w:r>
        <w:r>
          <w:rPr>
            <w:noProof/>
            <w:webHidden/>
          </w:rPr>
          <w:t>135</w:t>
        </w:r>
        <w:r w:rsidR="00B50B20">
          <w:rPr>
            <w:noProof/>
            <w:webHidden/>
          </w:rPr>
          <w:fldChar w:fldCharType="end"/>
        </w:r>
      </w:hyperlink>
    </w:p>
    <w:p w14:paraId="2D62DAF7" w14:textId="7A8FC871" w:rsidR="00B50B20" w:rsidRDefault="00B14787">
      <w:pPr>
        <w:pStyle w:val="Spisilustracji"/>
        <w:tabs>
          <w:tab w:val="right" w:leader="dot" w:pos="8920"/>
        </w:tabs>
        <w:rPr>
          <w:rFonts w:eastAsiaTheme="minorEastAsia"/>
          <w:noProof/>
          <w:sz w:val="22"/>
          <w:lang w:val="pl-PL" w:eastAsia="pl-PL"/>
        </w:rPr>
      </w:pPr>
      <w:hyperlink w:anchor="_Toc69596613" w:history="1">
        <w:r w:rsidR="00B50B20" w:rsidRPr="00484C0F">
          <w:rPr>
            <w:rStyle w:val="Hipercze"/>
            <w:noProof/>
            <w:lang w:val="pl-PL"/>
          </w:rPr>
          <w:t>Mapa 12: Nasłonecznie w Polsce</w:t>
        </w:r>
        <w:r w:rsidR="00B50B20">
          <w:rPr>
            <w:noProof/>
            <w:webHidden/>
          </w:rPr>
          <w:tab/>
        </w:r>
        <w:r w:rsidR="00B50B20">
          <w:rPr>
            <w:noProof/>
            <w:webHidden/>
          </w:rPr>
          <w:fldChar w:fldCharType="begin"/>
        </w:r>
        <w:r w:rsidR="00B50B20">
          <w:rPr>
            <w:noProof/>
            <w:webHidden/>
          </w:rPr>
          <w:instrText xml:space="preserve"> PAGEREF _Toc69596613 \h </w:instrText>
        </w:r>
        <w:r w:rsidR="00B50B20">
          <w:rPr>
            <w:noProof/>
            <w:webHidden/>
          </w:rPr>
        </w:r>
        <w:r w:rsidR="00B50B20">
          <w:rPr>
            <w:noProof/>
            <w:webHidden/>
          </w:rPr>
          <w:fldChar w:fldCharType="separate"/>
        </w:r>
        <w:r>
          <w:rPr>
            <w:noProof/>
            <w:webHidden/>
          </w:rPr>
          <w:t>135</w:t>
        </w:r>
        <w:r w:rsidR="00B50B20">
          <w:rPr>
            <w:noProof/>
            <w:webHidden/>
          </w:rPr>
          <w:fldChar w:fldCharType="end"/>
        </w:r>
      </w:hyperlink>
    </w:p>
    <w:p w14:paraId="447712B7" w14:textId="7D504923" w:rsidR="00B50B20" w:rsidRDefault="00B14787">
      <w:pPr>
        <w:pStyle w:val="Spisilustracji"/>
        <w:tabs>
          <w:tab w:val="right" w:leader="dot" w:pos="8920"/>
        </w:tabs>
        <w:rPr>
          <w:rFonts w:eastAsiaTheme="minorEastAsia"/>
          <w:noProof/>
          <w:sz w:val="22"/>
          <w:lang w:val="pl-PL" w:eastAsia="pl-PL"/>
        </w:rPr>
      </w:pPr>
      <w:hyperlink w:anchor="_Toc69596614" w:history="1">
        <w:r w:rsidR="00B50B20" w:rsidRPr="00484C0F">
          <w:rPr>
            <w:rStyle w:val="Hipercze"/>
            <w:noProof/>
            <w:lang w:val="pl-PL"/>
          </w:rPr>
          <w:t>Mapa 13: Formy ochrony przyrody</w:t>
        </w:r>
        <w:r w:rsidR="00B50B20">
          <w:rPr>
            <w:noProof/>
            <w:webHidden/>
          </w:rPr>
          <w:tab/>
        </w:r>
        <w:r w:rsidR="00B50B20">
          <w:rPr>
            <w:noProof/>
            <w:webHidden/>
          </w:rPr>
          <w:fldChar w:fldCharType="begin"/>
        </w:r>
        <w:r w:rsidR="00B50B20">
          <w:rPr>
            <w:noProof/>
            <w:webHidden/>
          </w:rPr>
          <w:instrText xml:space="preserve"> PAGEREF _Toc69596614 \h </w:instrText>
        </w:r>
        <w:r w:rsidR="00B50B20">
          <w:rPr>
            <w:noProof/>
            <w:webHidden/>
          </w:rPr>
        </w:r>
        <w:r w:rsidR="00B50B20">
          <w:rPr>
            <w:noProof/>
            <w:webHidden/>
          </w:rPr>
          <w:fldChar w:fldCharType="separate"/>
        </w:r>
        <w:r>
          <w:rPr>
            <w:noProof/>
            <w:webHidden/>
          </w:rPr>
          <w:t>138</w:t>
        </w:r>
        <w:r w:rsidR="00B50B20">
          <w:rPr>
            <w:noProof/>
            <w:webHidden/>
          </w:rPr>
          <w:fldChar w:fldCharType="end"/>
        </w:r>
      </w:hyperlink>
    </w:p>
    <w:p w14:paraId="2715E048" w14:textId="4571B173" w:rsidR="00B50B20" w:rsidRDefault="00B14787">
      <w:pPr>
        <w:pStyle w:val="Spisilustracji"/>
        <w:tabs>
          <w:tab w:val="right" w:leader="dot" w:pos="8920"/>
        </w:tabs>
        <w:rPr>
          <w:rFonts w:eastAsiaTheme="minorEastAsia"/>
          <w:noProof/>
          <w:sz w:val="22"/>
          <w:lang w:val="pl-PL" w:eastAsia="pl-PL"/>
        </w:rPr>
      </w:pPr>
      <w:hyperlink w:anchor="_Toc69596615" w:history="1">
        <w:r w:rsidR="00B50B20" w:rsidRPr="00484C0F">
          <w:rPr>
            <w:rStyle w:val="Hipercze"/>
            <w:noProof/>
            <w:lang w:val="pl-PL"/>
          </w:rPr>
          <w:t>Mapa 14: Struktura administracyjna Południowych Mazur</w:t>
        </w:r>
        <w:r w:rsidR="00B50B20">
          <w:rPr>
            <w:noProof/>
            <w:webHidden/>
          </w:rPr>
          <w:tab/>
        </w:r>
        <w:r w:rsidR="00B50B20">
          <w:rPr>
            <w:noProof/>
            <w:webHidden/>
          </w:rPr>
          <w:fldChar w:fldCharType="begin"/>
        </w:r>
        <w:r w:rsidR="00B50B20">
          <w:rPr>
            <w:noProof/>
            <w:webHidden/>
          </w:rPr>
          <w:instrText xml:space="preserve"> PAGEREF _Toc69596615 \h </w:instrText>
        </w:r>
        <w:r w:rsidR="00B50B20">
          <w:rPr>
            <w:noProof/>
            <w:webHidden/>
          </w:rPr>
        </w:r>
        <w:r w:rsidR="00B50B20">
          <w:rPr>
            <w:noProof/>
            <w:webHidden/>
          </w:rPr>
          <w:fldChar w:fldCharType="separate"/>
        </w:r>
        <w:r>
          <w:rPr>
            <w:noProof/>
            <w:webHidden/>
          </w:rPr>
          <w:t>143</w:t>
        </w:r>
        <w:r w:rsidR="00B50B20">
          <w:rPr>
            <w:noProof/>
            <w:webHidden/>
          </w:rPr>
          <w:fldChar w:fldCharType="end"/>
        </w:r>
      </w:hyperlink>
    </w:p>
    <w:p w14:paraId="0D49EFEB" w14:textId="6EA015E8" w:rsidR="00B50B20" w:rsidRDefault="00B14787">
      <w:pPr>
        <w:pStyle w:val="Spisilustracji"/>
        <w:tabs>
          <w:tab w:val="right" w:leader="dot" w:pos="8920"/>
        </w:tabs>
        <w:rPr>
          <w:rFonts w:eastAsiaTheme="minorEastAsia"/>
          <w:noProof/>
          <w:sz w:val="22"/>
          <w:lang w:val="pl-PL" w:eastAsia="pl-PL"/>
        </w:rPr>
      </w:pPr>
      <w:hyperlink w:anchor="_Toc69596616" w:history="1">
        <w:r w:rsidR="00B50B20" w:rsidRPr="00484C0F">
          <w:rPr>
            <w:rStyle w:val="Hipercze"/>
            <w:noProof/>
            <w:lang w:val="pl-PL"/>
          </w:rPr>
          <w:t>Mapa 15: Infrastruktura komunikacyjna - Mazury Południowe na tle województwa warmińsko-mazurskiego</w:t>
        </w:r>
        <w:r w:rsidR="00B50B20">
          <w:rPr>
            <w:noProof/>
            <w:webHidden/>
          </w:rPr>
          <w:tab/>
        </w:r>
        <w:r w:rsidR="00B50B20">
          <w:rPr>
            <w:noProof/>
            <w:webHidden/>
          </w:rPr>
          <w:fldChar w:fldCharType="begin"/>
        </w:r>
        <w:r w:rsidR="00B50B20">
          <w:rPr>
            <w:noProof/>
            <w:webHidden/>
          </w:rPr>
          <w:instrText xml:space="preserve"> PAGEREF _Toc69596616 \h </w:instrText>
        </w:r>
        <w:r w:rsidR="00B50B20">
          <w:rPr>
            <w:noProof/>
            <w:webHidden/>
          </w:rPr>
        </w:r>
        <w:r w:rsidR="00B50B20">
          <w:rPr>
            <w:noProof/>
            <w:webHidden/>
          </w:rPr>
          <w:fldChar w:fldCharType="separate"/>
        </w:r>
        <w:r>
          <w:rPr>
            <w:noProof/>
            <w:webHidden/>
          </w:rPr>
          <w:t>146</w:t>
        </w:r>
        <w:r w:rsidR="00B50B20">
          <w:rPr>
            <w:noProof/>
            <w:webHidden/>
          </w:rPr>
          <w:fldChar w:fldCharType="end"/>
        </w:r>
      </w:hyperlink>
    </w:p>
    <w:p w14:paraId="6885C1F7" w14:textId="486FBB9E" w:rsidR="00B50B20" w:rsidRDefault="00B14787">
      <w:pPr>
        <w:pStyle w:val="Spisilustracji"/>
        <w:tabs>
          <w:tab w:val="right" w:leader="dot" w:pos="8920"/>
        </w:tabs>
        <w:rPr>
          <w:rFonts w:eastAsiaTheme="minorEastAsia"/>
          <w:noProof/>
          <w:sz w:val="22"/>
          <w:lang w:val="pl-PL" w:eastAsia="pl-PL"/>
        </w:rPr>
      </w:pPr>
      <w:hyperlink w:anchor="_Toc69596617" w:history="1">
        <w:r w:rsidR="00B50B20" w:rsidRPr="00484C0F">
          <w:rPr>
            <w:rStyle w:val="Hipercze"/>
            <w:noProof/>
            <w:lang w:val="pl-PL"/>
          </w:rPr>
          <w:t>Mapa 16: Indeks syntetyczny dostępności drogowej z perspektywy atrakcyjności inwestycyjnej</w:t>
        </w:r>
        <w:r w:rsidR="00B50B20">
          <w:rPr>
            <w:noProof/>
            <w:webHidden/>
          </w:rPr>
          <w:tab/>
        </w:r>
        <w:r w:rsidR="00B50B20">
          <w:rPr>
            <w:noProof/>
            <w:webHidden/>
          </w:rPr>
          <w:fldChar w:fldCharType="begin"/>
        </w:r>
        <w:r w:rsidR="00B50B20">
          <w:rPr>
            <w:noProof/>
            <w:webHidden/>
          </w:rPr>
          <w:instrText xml:space="preserve"> PAGEREF _Toc69596617 \h </w:instrText>
        </w:r>
        <w:r w:rsidR="00B50B20">
          <w:rPr>
            <w:noProof/>
            <w:webHidden/>
          </w:rPr>
        </w:r>
        <w:r w:rsidR="00B50B20">
          <w:rPr>
            <w:noProof/>
            <w:webHidden/>
          </w:rPr>
          <w:fldChar w:fldCharType="separate"/>
        </w:r>
        <w:r>
          <w:rPr>
            <w:noProof/>
            <w:webHidden/>
          </w:rPr>
          <w:t>148</w:t>
        </w:r>
        <w:r w:rsidR="00B50B20">
          <w:rPr>
            <w:noProof/>
            <w:webHidden/>
          </w:rPr>
          <w:fldChar w:fldCharType="end"/>
        </w:r>
      </w:hyperlink>
    </w:p>
    <w:p w14:paraId="6E6F1863" w14:textId="47DCD4EC" w:rsidR="00B50B20" w:rsidRDefault="00B14787">
      <w:pPr>
        <w:pStyle w:val="Spisilustracji"/>
        <w:tabs>
          <w:tab w:val="right" w:leader="dot" w:pos="8920"/>
        </w:tabs>
        <w:rPr>
          <w:rFonts w:eastAsiaTheme="minorEastAsia"/>
          <w:noProof/>
          <w:sz w:val="22"/>
          <w:lang w:val="pl-PL" w:eastAsia="pl-PL"/>
        </w:rPr>
      </w:pPr>
      <w:hyperlink w:anchor="_Toc69596618" w:history="1">
        <w:r w:rsidR="00B50B20" w:rsidRPr="00484C0F">
          <w:rPr>
            <w:rStyle w:val="Hipercze"/>
            <w:noProof/>
            <w:lang w:val="pl-PL"/>
          </w:rPr>
          <w:t>Mapa 17: Indeks syntetyczny dostępności drogowej z perspektywy poziomu jakości życia mieszkańców</w:t>
        </w:r>
        <w:r w:rsidR="00B50B20">
          <w:rPr>
            <w:noProof/>
            <w:webHidden/>
          </w:rPr>
          <w:tab/>
        </w:r>
        <w:r w:rsidR="00B50B20">
          <w:rPr>
            <w:noProof/>
            <w:webHidden/>
          </w:rPr>
          <w:fldChar w:fldCharType="begin"/>
        </w:r>
        <w:r w:rsidR="00B50B20">
          <w:rPr>
            <w:noProof/>
            <w:webHidden/>
          </w:rPr>
          <w:instrText xml:space="preserve"> PAGEREF _Toc69596618 \h </w:instrText>
        </w:r>
        <w:r w:rsidR="00B50B20">
          <w:rPr>
            <w:noProof/>
            <w:webHidden/>
          </w:rPr>
        </w:r>
        <w:r w:rsidR="00B50B20">
          <w:rPr>
            <w:noProof/>
            <w:webHidden/>
          </w:rPr>
          <w:fldChar w:fldCharType="separate"/>
        </w:r>
        <w:r>
          <w:rPr>
            <w:noProof/>
            <w:webHidden/>
          </w:rPr>
          <w:t>149</w:t>
        </w:r>
        <w:r w:rsidR="00B50B20">
          <w:rPr>
            <w:noProof/>
            <w:webHidden/>
          </w:rPr>
          <w:fldChar w:fldCharType="end"/>
        </w:r>
      </w:hyperlink>
    </w:p>
    <w:p w14:paraId="3707913D" w14:textId="46861EB7" w:rsidR="00B50B20" w:rsidRDefault="00B14787">
      <w:pPr>
        <w:pStyle w:val="Spisilustracji"/>
        <w:tabs>
          <w:tab w:val="right" w:leader="dot" w:pos="8920"/>
        </w:tabs>
        <w:rPr>
          <w:rFonts w:eastAsiaTheme="minorEastAsia"/>
          <w:noProof/>
          <w:sz w:val="22"/>
          <w:lang w:val="pl-PL" w:eastAsia="pl-PL"/>
        </w:rPr>
      </w:pPr>
      <w:hyperlink w:anchor="_Toc69596619" w:history="1">
        <w:r w:rsidR="00B50B20" w:rsidRPr="00484C0F">
          <w:rPr>
            <w:rStyle w:val="Hipercze"/>
            <w:noProof/>
            <w:lang w:val="pl-PL"/>
          </w:rPr>
          <w:t>Mapa 18: Powiązania międzymiastowe komunikacją publiczną w województwie warmińsko-mazurskim  w 2019 r.</w:t>
        </w:r>
        <w:r w:rsidR="00B50B20">
          <w:rPr>
            <w:noProof/>
            <w:webHidden/>
          </w:rPr>
          <w:tab/>
        </w:r>
        <w:r w:rsidR="00B50B20">
          <w:rPr>
            <w:noProof/>
            <w:webHidden/>
          </w:rPr>
          <w:fldChar w:fldCharType="begin"/>
        </w:r>
        <w:r w:rsidR="00B50B20">
          <w:rPr>
            <w:noProof/>
            <w:webHidden/>
          </w:rPr>
          <w:instrText xml:space="preserve"> PAGEREF _Toc69596619 \h </w:instrText>
        </w:r>
        <w:r w:rsidR="00B50B20">
          <w:rPr>
            <w:noProof/>
            <w:webHidden/>
          </w:rPr>
        </w:r>
        <w:r w:rsidR="00B50B20">
          <w:rPr>
            <w:noProof/>
            <w:webHidden/>
          </w:rPr>
          <w:fldChar w:fldCharType="separate"/>
        </w:r>
        <w:r>
          <w:rPr>
            <w:noProof/>
            <w:webHidden/>
          </w:rPr>
          <w:t>152</w:t>
        </w:r>
        <w:r w:rsidR="00B50B20">
          <w:rPr>
            <w:noProof/>
            <w:webHidden/>
          </w:rPr>
          <w:fldChar w:fldCharType="end"/>
        </w:r>
      </w:hyperlink>
    </w:p>
    <w:p w14:paraId="385BB3FE" w14:textId="3B5AF764" w:rsidR="00B50B20" w:rsidRDefault="00B14787">
      <w:pPr>
        <w:pStyle w:val="Spisilustracji"/>
        <w:tabs>
          <w:tab w:val="right" w:leader="dot" w:pos="8920"/>
        </w:tabs>
        <w:rPr>
          <w:rFonts w:eastAsiaTheme="minorEastAsia"/>
          <w:noProof/>
          <w:sz w:val="22"/>
          <w:lang w:val="pl-PL" w:eastAsia="pl-PL"/>
        </w:rPr>
      </w:pPr>
      <w:hyperlink w:anchor="_Toc69596620" w:history="1">
        <w:r w:rsidR="00B50B20" w:rsidRPr="00484C0F">
          <w:rPr>
            <w:rStyle w:val="Hipercze"/>
            <w:noProof/>
            <w:lang w:val="pl-PL"/>
          </w:rPr>
          <w:t>Mapa 19: Liczba bezpośrednich połączeń komunikacją publiczną do miasta powiatowego</w:t>
        </w:r>
        <w:r w:rsidR="00B50B20">
          <w:rPr>
            <w:noProof/>
            <w:webHidden/>
          </w:rPr>
          <w:tab/>
        </w:r>
        <w:r w:rsidR="00B50B20">
          <w:rPr>
            <w:noProof/>
            <w:webHidden/>
          </w:rPr>
          <w:fldChar w:fldCharType="begin"/>
        </w:r>
        <w:r w:rsidR="00B50B20">
          <w:rPr>
            <w:noProof/>
            <w:webHidden/>
          </w:rPr>
          <w:instrText xml:space="preserve"> PAGEREF _Toc69596620 \h </w:instrText>
        </w:r>
        <w:r w:rsidR="00B50B20">
          <w:rPr>
            <w:noProof/>
            <w:webHidden/>
          </w:rPr>
        </w:r>
        <w:r w:rsidR="00B50B20">
          <w:rPr>
            <w:noProof/>
            <w:webHidden/>
          </w:rPr>
          <w:fldChar w:fldCharType="separate"/>
        </w:r>
        <w:r>
          <w:rPr>
            <w:noProof/>
            <w:webHidden/>
          </w:rPr>
          <w:t>153</w:t>
        </w:r>
        <w:r w:rsidR="00B50B20">
          <w:rPr>
            <w:noProof/>
            <w:webHidden/>
          </w:rPr>
          <w:fldChar w:fldCharType="end"/>
        </w:r>
      </w:hyperlink>
    </w:p>
    <w:p w14:paraId="3947560C" w14:textId="3114E127" w:rsidR="002B2AC3" w:rsidRPr="0085103A" w:rsidRDefault="002B2AC3" w:rsidP="00733091">
      <w:pPr>
        <w:ind w:left="0"/>
        <w:rPr>
          <w:rStyle w:val="Wyrnieniedelikatne"/>
          <w:b w:val="0"/>
          <w:bCs w:val="0"/>
          <w:iCs w:val="0"/>
          <w:noProof/>
          <w:sz w:val="24"/>
          <w:lang w:val="pl-PL"/>
        </w:rPr>
      </w:pPr>
      <w:r w:rsidRPr="00091BAE">
        <w:rPr>
          <w:noProof/>
          <w:lang w:val="pl-PL"/>
        </w:rPr>
        <w:fldChar w:fldCharType="end"/>
      </w:r>
      <w:r w:rsidR="005C2114" w:rsidRPr="00091BAE">
        <w:rPr>
          <w:noProof/>
          <w:lang w:val="pl-PL"/>
        </w:rPr>
        <w:br/>
      </w:r>
      <w:r w:rsidRPr="00091BAE">
        <w:rPr>
          <w:rStyle w:val="Wyrnieniedelikatne"/>
          <w:noProof/>
          <w:lang w:val="pl-PL"/>
        </w:rPr>
        <w:t xml:space="preserve">Spis </w:t>
      </w:r>
      <w:r w:rsidR="00895A32">
        <w:rPr>
          <w:rStyle w:val="Wyrnieniedelikatne"/>
          <w:noProof/>
          <w:lang w:val="pl-PL"/>
        </w:rPr>
        <w:t>wykresów</w:t>
      </w:r>
    </w:p>
    <w:p w14:paraId="0BDDD55E" w14:textId="0B6826CF" w:rsidR="009C19BA" w:rsidRDefault="002B2AC3">
      <w:pPr>
        <w:pStyle w:val="Spisilustracji"/>
        <w:tabs>
          <w:tab w:val="right" w:leader="dot" w:pos="8920"/>
        </w:tabs>
        <w:rPr>
          <w:rFonts w:eastAsiaTheme="minorEastAsia"/>
          <w:noProof/>
          <w:sz w:val="22"/>
          <w:lang w:val="pl-PL" w:eastAsia="pl-PL"/>
        </w:rPr>
      </w:pPr>
      <w:r w:rsidRPr="00091BAE">
        <w:rPr>
          <w:noProof/>
          <w:lang w:val="pl-PL"/>
        </w:rPr>
        <w:fldChar w:fldCharType="begin"/>
      </w:r>
      <w:r w:rsidRPr="00091BAE">
        <w:rPr>
          <w:noProof/>
          <w:lang w:val="pl-PL"/>
        </w:rPr>
        <w:instrText xml:space="preserve"> TOC \h \z \c "</w:instrText>
      </w:r>
      <w:r>
        <w:rPr>
          <w:noProof/>
          <w:lang w:val="pl-PL"/>
        </w:rPr>
        <w:instrText>Wykres</w:instrText>
      </w:r>
      <w:r w:rsidRPr="00091BAE">
        <w:rPr>
          <w:noProof/>
          <w:lang w:val="pl-PL"/>
        </w:rPr>
        <w:instrText xml:space="preserve">" </w:instrText>
      </w:r>
      <w:r w:rsidRPr="00091BAE">
        <w:rPr>
          <w:noProof/>
          <w:lang w:val="pl-PL"/>
        </w:rPr>
        <w:fldChar w:fldCharType="separate"/>
      </w:r>
      <w:hyperlink w:anchor="_Toc69723159" w:history="1">
        <w:r w:rsidR="009C19BA" w:rsidRPr="006A7815">
          <w:rPr>
            <w:rStyle w:val="Hipercze"/>
            <w:noProof/>
            <w:lang w:val="pl-PL"/>
          </w:rPr>
          <w:t>Wykres 1: Bilans usług – specjalistyczna opieka zdrowotna</w:t>
        </w:r>
        <w:r w:rsidR="009C19BA">
          <w:rPr>
            <w:noProof/>
            <w:webHidden/>
          </w:rPr>
          <w:tab/>
        </w:r>
        <w:r w:rsidR="009C19BA">
          <w:rPr>
            <w:noProof/>
            <w:webHidden/>
          </w:rPr>
          <w:fldChar w:fldCharType="begin"/>
        </w:r>
        <w:r w:rsidR="009C19BA">
          <w:rPr>
            <w:noProof/>
            <w:webHidden/>
          </w:rPr>
          <w:instrText xml:space="preserve"> PAGEREF _Toc69723159 \h </w:instrText>
        </w:r>
        <w:r w:rsidR="009C19BA">
          <w:rPr>
            <w:noProof/>
            <w:webHidden/>
          </w:rPr>
        </w:r>
        <w:r w:rsidR="009C19BA">
          <w:rPr>
            <w:noProof/>
            <w:webHidden/>
          </w:rPr>
          <w:fldChar w:fldCharType="separate"/>
        </w:r>
        <w:r w:rsidR="00B14787">
          <w:rPr>
            <w:noProof/>
            <w:webHidden/>
          </w:rPr>
          <w:t>24</w:t>
        </w:r>
        <w:r w:rsidR="009C19BA">
          <w:rPr>
            <w:noProof/>
            <w:webHidden/>
          </w:rPr>
          <w:fldChar w:fldCharType="end"/>
        </w:r>
      </w:hyperlink>
    </w:p>
    <w:p w14:paraId="584F2F1E" w14:textId="785AEDE0" w:rsidR="009C19BA" w:rsidRDefault="00B14787">
      <w:pPr>
        <w:pStyle w:val="Spisilustracji"/>
        <w:tabs>
          <w:tab w:val="right" w:leader="dot" w:pos="8920"/>
        </w:tabs>
        <w:rPr>
          <w:rFonts w:eastAsiaTheme="minorEastAsia"/>
          <w:noProof/>
          <w:sz w:val="22"/>
          <w:lang w:val="pl-PL" w:eastAsia="pl-PL"/>
        </w:rPr>
      </w:pPr>
      <w:hyperlink w:anchor="_Toc69723160" w:history="1">
        <w:r w:rsidR="009C19BA" w:rsidRPr="006A7815">
          <w:rPr>
            <w:rStyle w:val="Hipercze"/>
            <w:noProof/>
            <w:lang w:val="pl-PL"/>
          </w:rPr>
          <w:t xml:space="preserve">Wykres 2: Bilans usług – </w:t>
        </w:r>
        <w:r w:rsidR="009C19BA" w:rsidRPr="006A7815">
          <w:rPr>
            <w:rStyle w:val="Hipercze"/>
            <w:rFonts w:eastAsia="Times New Roman" w:cstheme="minorHAnsi"/>
            <w:noProof/>
            <w:lang w:val="pl-PL" w:eastAsia="pl-PL"/>
          </w:rPr>
          <w:t>usługi kulturalno-rozrywkowe</w:t>
        </w:r>
        <w:r w:rsidR="009C19BA">
          <w:rPr>
            <w:noProof/>
            <w:webHidden/>
          </w:rPr>
          <w:tab/>
        </w:r>
        <w:r w:rsidR="009C19BA">
          <w:rPr>
            <w:noProof/>
            <w:webHidden/>
          </w:rPr>
          <w:fldChar w:fldCharType="begin"/>
        </w:r>
        <w:r w:rsidR="009C19BA">
          <w:rPr>
            <w:noProof/>
            <w:webHidden/>
          </w:rPr>
          <w:instrText xml:space="preserve"> PAGEREF _Toc69723160 \h </w:instrText>
        </w:r>
        <w:r w:rsidR="009C19BA">
          <w:rPr>
            <w:noProof/>
            <w:webHidden/>
          </w:rPr>
        </w:r>
        <w:r w:rsidR="009C19BA">
          <w:rPr>
            <w:noProof/>
            <w:webHidden/>
          </w:rPr>
          <w:fldChar w:fldCharType="separate"/>
        </w:r>
        <w:r>
          <w:rPr>
            <w:noProof/>
            <w:webHidden/>
          </w:rPr>
          <w:t>25</w:t>
        </w:r>
        <w:r w:rsidR="009C19BA">
          <w:rPr>
            <w:noProof/>
            <w:webHidden/>
          </w:rPr>
          <w:fldChar w:fldCharType="end"/>
        </w:r>
      </w:hyperlink>
    </w:p>
    <w:p w14:paraId="70CF8609" w14:textId="25CC034E" w:rsidR="009C19BA" w:rsidRDefault="00B14787">
      <w:pPr>
        <w:pStyle w:val="Spisilustracji"/>
        <w:tabs>
          <w:tab w:val="right" w:leader="dot" w:pos="8920"/>
        </w:tabs>
        <w:rPr>
          <w:rFonts w:eastAsiaTheme="minorEastAsia"/>
          <w:noProof/>
          <w:sz w:val="22"/>
          <w:lang w:val="pl-PL" w:eastAsia="pl-PL"/>
        </w:rPr>
      </w:pPr>
      <w:hyperlink w:anchor="_Toc69723161" w:history="1">
        <w:r w:rsidR="009C19BA" w:rsidRPr="006A7815">
          <w:rPr>
            <w:rStyle w:val="Hipercze"/>
            <w:noProof/>
            <w:lang w:val="pl-PL"/>
          </w:rPr>
          <w:t>Wykres 3: Bilans usług – usługi handlowe (inne niż podstawowe)</w:t>
        </w:r>
        <w:r w:rsidR="009C19BA">
          <w:rPr>
            <w:noProof/>
            <w:webHidden/>
          </w:rPr>
          <w:tab/>
        </w:r>
        <w:r w:rsidR="009C19BA">
          <w:rPr>
            <w:noProof/>
            <w:webHidden/>
          </w:rPr>
          <w:fldChar w:fldCharType="begin"/>
        </w:r>
        <w:r w:rsidR="009C19BA">
          <w:rPr>
            <w:noProof/>
            <w:webHidden/>
          </w:rPr>
          <w:instrText xml:space="preserve"> PAGEREF _Toc69723161 \h </w:instrText>
        </w:r>
        <w:r w:rsidR="009C19BA">
          <w:rPr>
            <w:noProof/>
            <w:webHidden/>
          </w:rPr>
        </w:r>
        <w:r w:rsidR="009C19BA">
          <w:rPr>
            <w:noProof/>
            <w:webHidden/>
          </w:rPr>
          <w:fldChar w:fldCharType="separate"/>
        </w:r>
        <w:r>
          <w:rPr>
            <w:noProof/>
            <w:webHidden/>
          </w:rPr>
          <w:t>26</w:t>
        </w:r>
        <w:r w:rsidR="009C19BA">
          <w:rPr>
            <w:noProof/>
            <w:webHidden/>
          </w:rPr>
          <w:fldChar w:fldCharType="end"/>
        </w:r>
      </w:hyperlink>
    </w:p>
    <w:p w14:paraId="6455F5F0" w14:textId="10427B98" w:rsidR="009C19BA" w:rsidRDefault="00B14787">
      <w:pPr>
        <w:pStyle w:val="Spisilustracji"/>
        <w:tabs>
          <w:tab w:val="right" w:leader="dot" w:pos="8920"/>
        </w:tabs>
        <w:rPr>
          <w:rFonts w:eastAsiaTheme="minorEastAsia"/>
          <w:noProof/>
          <w:sz w:val="22"/>
          <w:lang w:val="pl-PL" w:eastAsia="pl-PL"/>
        </w:rPr>
      </w:pPr>
      <w:hyperlink w:anchor="_Toc69723162" w:history="1">
        <w:r w:rsidR="009C19BA" w:rsidRPr="006A7815">
          <w:rPr>
            <w:rStyle w:val="Hipercze"/>
            <w:noProof/>
            <w:lang w:val="pl-PL"/>
          </w:rPr>
          <w:t>Wykres 4: Bilans usług – usługi edukacyjne w zakresie szkolnictwa wyższego</w:t>
        </w:r>
        <w:r w:rsidR="009C19BA">
          <w:rPr>
            <w:noProof/>
            <w:webHidden/>
          </w:rPr>
          <w:tab/>
        </w:r>
        <w:r w:rsidR="009C19BA">
          <w:rPr>
            <w:noProof/>
            <w:webHidden/>
          </w:rPr>
          <w:fldChar w:fldCharType="begin"/>
        </w:r>
        <w:r w:rsidR="009C19BA">
          <w:rPr>
            <w:noProof/>
            <w:webHidden/>
          </w:rPr>
          <w:instrText xml:space="preserve"> PAGEREF _Toc69723162 \h </w:instrText>
        </w:r>
        <w:r w:rsidR="009C19BA">
          <w:rPr>
            <w:noProof/>
            <w:webHidden/>
          </w:rPr>
        </w:r>
        <w:r w:rsidR="009C19BA">
          <w:rPr>
            <w:noProof/>
            <w:webHidden/>
          </w:rPr>
          <w:fldChar w:fldCharType="separate"/>
        </w:r>
        <w:r>
          <w:rPr>
            <w:noProof/>
            <w:webHidden/>
          </w:rPr>
          <w:t>27</w:t>
        </w:r>
        <w:r w:rsidR="009C19BA">
          <w:rPr>
            <w:noProof/>
            <w:webHidden/>
          </w:rPr>
          <w:fldChar w:fldCharType="end"/>
        </w:r>
      </w:hyperlink>
    </w:p>
    <w:p w14:paraId="50C8DCF7" w14:textId="26D2EF89" w:rsidR="009C19BA" w:rsidRDefault="00B14787">
      <w:pPr>
        <w:pStyle w:val="Spisilustracji"/>
        <w:tabs>
          <w:tab w:val="right" w:leader="dot" w:pos="8920"/>
        </w:tabs>
        <w:rPr>
          <w:rFonts w:eastAsiaTheme="minorEastAsia"/>
          <w:noProof/>
          <w:sz w:val="22"/>
          <w:lang w:val="pl-PL" w:eastAsia="pl-PL"/>
        </w:rPr>
      </w:pPr>
      <w:hyperlink w:anchor="_Toc69723163" w:history="1">
        <w:r w:rsidR="009C19BA" w:rsidRPr="006A7815">
          <w:rPr>
            <w:rStyle w:val="Hipercze"/>
            <w:noProof/>
            <w:lang w:val="pl-PL"/>
          </w:rPr>
          <w:t>Wykres 5: Bilans usług – kultura wysoka</w:t>
        </w:r>
        <w:r w:rsidR="009C19BA">
          <w:rPr>
            <w:noProof/>
            <w:webHidden/>
          </w:rPr>
          <w:tab/>
        </w:r>
        <w:r w:rsidR="009C19BA">
          <w:rPr>
            <w:noProof/>
            <w:webHidden/>
          </w:rPr>
          <w:fldChar w:fldCharType="begin"/>
        </w:r>
        <w:r w:rsidR="009C19BA">
          <w:rPr>
            <w:noProof/>
            <w:webHidden/>
          </w:rPr>
          <w:instrText xml:space="preserve"> PAGEREF _Toc69723163 \h </w:instrText>
        </w:r>
        <w:r w:rsidR="009C19BA">
          <w:rPr>
            <w:noProof/>
            <w:webHidden/>
          </w:rPr>
        </w:r>
        <w:r w:rsidR="009C19BA">
          <w:rPr>
            <w:noProof/>
            <w:webHidden/>
          </w:rPr>
          <w:fldChar w:fldCharType="separate"/>
        </w:r>
        <w:r>
          <w:rPr>
            <w:noProof/>
            <w:webHidden/>
          </w:rPr>
          <w:t>28</w:t>
        </w:r>
        <w:r w:rsidR="009C19BA">
          <w:rPr>
            <w:noProof/>
            <w:webHidden/>
          </w:rPr>
          <w:fldChar w:fldCharType="end"/>
        </w:r>
      </w:hyperlink>
    </w:p>
    <w:p w14:paraId="44D1D555" w14:textId="33455E8F" w:rsidR="009C19BA" w:rsidRDefault="00B14787">
      <w:pPr>
        <w:pStyle w:val="Spisilustracji"/>
        <w:tabs>
          <w:tab w:val="right" w:leader="dot" w:pos="8920"/>
        </w:tabs>
        <w:rPr>
          <w:rFonts w:eastAsiaTheme="minorEastAsia"/>
          <w:noProof/>
          <w:sz w:val="22"/>
          <w:lang w:val="pl-PL" w:eastAsia="pl-PL"/>
        </w:rPr>
      </w:pPr>
      <w:hyperlink w:anchor="_Toc69723164" w:history="1">
        <w:r w:rsidR="009C19BA" w:rsidRPr="006A7815">
          <w:rPr>
            <w:rStyle w:val="Hipercze"/>
            <w:noProof/>
            <w:lang w:val="pl-PL"/>
          </w:rPr>
          <w:t>Wykres 6: Bilans zatrudnienia</w:t>
        </w:r>
        <w:r w:rsidR="009C19BA">
          <w:rPr>
            <w:noProof/>
            <w:webHidden/>
          </w:rPr>
          <w:tab/>
        </w:r>
        <w:r w:rsidR="009C19BA">
          <w:rPr>
            <w:noProof/>
            <w:webHidden/>
          </w:rPr>
          <w:fldChar w:fldCharType="begin"/>
        </w:r>
        <w:r w:rsidR="009C19BA">
          <w:rPr>
            <w:noProof/>
            <w:webHidden/>
          </w:rPr>
          <w:instrText xml:space="preserve"> PAGEREF _Toc69723164 \h </w:instrText>
        </w:r>
        <w:r w:rsidR="009C19BA">
          <w:rPr>
            <w:noProof/>
            <w:webHidden/>
          </w:rPr>
        </w:r>
        <w:r w:rsidR="009C19BA">
          <w:rPr>
            <w:noProof/>
            <w:webHidden/>
          </w:rPr>
          <w:fldChar w:fldCharType="separate"/>
        </w:r>
        <w:r>
          <w:rPr>
            <w:noProof/>
            <w:webHidden/>
          </w:rPr>
          <w:t>29</w:t>
        </w:r>
        <w:r w:rsidR="009C19BA">
          <w:rPr>
            <w:noProof/>
            <w:webHidden/>
          </w:rPr>
          <w:fldChar w:fldCharType="end"/>
        </w:r>
      </w:hyperlink>
    </w:p>
    <w:p w14:paraId="40F20368" w14:textId="5BD6BBFA" w:rsidR="009C19BA" w:rsidRDefault="00B14787">
      <w:pPr>
        <w:pStyle w:val="Spisilustracji"/>
        <w:tabs>
          <w:tab w:val="right" w:leader="dot" w:pos="8920"/>
        </w:tabs>
        <w:rPr>
          <w:rFonts w:eastAsiaTheme="minorEastAsia"/>
          <w:noProof/>
          <w:sz w:val="22"/>
          <w:lang w:val="pl-PL" w:eastAsia="pl-PL"/>
        </w:rPr>
      </w:pPr>
      <w:hyperlink w:anchor="_Toc69723165" w:history="1">
        <w:r w:rsidR="009C19BA" w:rsidRPr="006A7815">
          <w:rPr>
            <w:rStyle w:val="Hipercze"/>
            <w:noProof/>
            <w:lang w:val="pl-PL"/>
          </w:rPr>
          <w:t>Wykres 7: Ogólny wskaźnik rozwoju Partnerstwa</w:t>
        </w:r>
        <w:r w:rsidR="009C19BA">
          <w:rPr>
            <w:noProof/>
            <w:webHidden/>
          </w:rPr>
          <w:tab/>
        </w:r>
        <w:r w:rsidR="009C19BA">
          <w:rPr>
            <w:noProof/>
            <w:webHidden/>
          </w:rPr>
          <w:fldChar w:fldCharType="begin"/>
        </w:r>
        <w:r w:rsidR="009C19BA">
          <w:rPr>
            <w:noProof/>
            <w:webHidden/>
          </w:rPr>
          <w:instrText xml:space="preserve"> PAGEREF _Toc69723165 \h </w:instrText>
        </w:r>
        <w:r w:rsidR="009C19BA">
          <w:rPr>
            <w:noProof/>
            <w:webHidden/>
          </w:rPr>
        </w:r>
        <w:r w:rsidR="009C19BA">
          <w:rPr>
            <w:noProof/>
            <w:webHidden/>
          </w:rPr>
          <w:fldChar w:fldCharType="separate"/>
        </w:r>
        <w:r>
          <w:rPr>
            <w:noProof/>
            <w:webHidden/>
          </w:rPr>
          <w:t>40</w:t>
        </w:r>
        <w:r w:rsidR="009C19BA">
          <w:rPr>
            <w:noProof/>
            <w:webHidden/>
          </w:rPr>
          <w:fldChar w:fldCharType="end"/>
        </w:r>
      </w:hyperlink>
    </w:p>
    <w:p w14:paraId="1F798B58" w14:textId="47C50757" w:rsidR="009C19BA" w:rsidRDefault="00B14787">
      <w:pPr>
        <w:pStyle w:val="Spisilustracji"/>
        <w:tabs>
          <w:tab w:val="right" w:leader="dot" w:pos="8920"/>
        </w:tabs>
        <w:rPr>
          <w:rFonts w:eastAsiaTheme="minorEastAsia"/>
          <w:noProof/>
          <w:sz w:val="22"/>
          <w:lang w:val="pl-PL" w:eastAsia="pl-PL"/>
        </w:rPr>
      </w:pPr>
      <w:hyperlink w:anchor="_Toc69723166" w:history="1">
        <w:r w:rsidR="009C19BA" w:rsidRPr="006A7815">
          <w:rPr>
            <w:rStyle w:val="Hipercze"/>
            <w:noProof/>
            <w:lang w:val="pl-PL"/>
          </w:rPr>
          <w:t>Wykres 8: Dynamika zmian w latach 2015-2019 w obszarach wpływających na rozwój Partnerstwa</w:t>
        </w:r>
        <w:r w:rsidR="009C19BA">
          <w:rPr>
            <w:noProof/>
            <w:webHidden/>
          </w:rPr>
          <w:tab/>
        </w:r>
        <w:r w:rsidR="009C19BA">
          <w:rPr>
            <w:noProof/>
            <w:webHidden/>
          </w:rPr>
          <w:fldChar w:fldCharType="begin"/>
        </w:r>
        <w:r w:rsidR="009C19BA">
          <w:rPr>
            <w:noProof/>
            <w:webHidden/>
          </w:rPr>
          <w:instrText xml:space="preserve"> PAGEREF _Toc69723166 \h </w:instrText>
        </w:r>
        <w:r w:rsidR="009C19BA">
          <w:rPr>
            <w:noProof/>
            <w:webHidden/>
          </w:rPr>
        </w:r>
        <w:r w:rsidR="009C19BA">
          <w:rPr>
            <w:noProof/>
            <w:webHidden/>
          </w:rPr>
          <w:fldChar w:fldCharType="separate"/>
        </w:r>
        <w:r>
          <w:rPr>
            <w:noProof/>
            <w:webHidden/>
          </w:rPr>
          <w:t>41</w:t>
        </w:r>
        <w:r w:rsidR="009C19BA">
          <w:rPr>
            <w:noProof/>
            <w:webHidden/>
          </w:rPr>
          <w:fldChar w:fldCharType="end"/>
        </w:r>
      </w:hyperlink>
    </w:p>
    <w:p w14:paraId="14E36B4A" w14:textId="1CA2A084" w:rsidR="009C19BA" w:rsidRDefault="00B14787">
      <w:pPr>
        <w:pStyle w:val="Spisilustracji"/>
        <w:tabs>
          <w:tab w:val="right" w:leader="dot" w:pos="8920"/>
        </w:tabs>
        <w:rPr>
          <w:rFonts w:eastAsiaTheme="minorEastAsia"/>
          <w:noProof/>
          <w:sz w:val="22"/>
          <w:lang w:val="pl-PL" w:eastAsia="pl-PL"/>
        </w:rPr>
      </w:pPr>
      <w:hyperlink w:anchor="_Toc69723167" w:history="1">
        <w:r w:rsidR="009C19BA" w:rsidRPr="006A7815">
          <w:rPr>
            <w:rStyle w:val="Hipercze"/>
            <w:noProof/>
            <w:lang w:val="pl-PL"/>
          </w:rPr>
          <w:t>Wykres 9: Wskaźnik rozwoju Partnerstwa- wymiar społeczny</w:t>
        </w:r>
        <w:r w:rsidR="009C19BA">
          <w:rPr>
            <w:noProof/>
            <w:webHidden/>
          </w:rPr>
          <w:tab/>
        </w:r>
        <w:r w:rsidR="009C19BA">
          <w:rPr>
            <w:noProof/>
            <w:webHidden/>
          </w:rPr>
          <w:fldChar w:fldCharType="begin"/>
        </w:r>
        <w:r w:rsidR="009C19BA">
          <w:rPr>
            <w:noProof/>
            <w:webHidden/>
          </w:rPr>
          <w:instrText xml:space="preserve"> PAGEREF _Toc69723167 \h </w:instrText>
        </w:r>
        <w:r w:rsidR="009C19BA">
          <w:rPr>
            <w:noProof/>
            <w:webHidden/>
          </w:rPr>
        </w:r>
        <w:r w:rsidR="009C19BA">
          <w:rPr>
            <w:noProof/>
            <w:webHidden/>
          </w:rPr>
          <w:fldChar w:fldCharType="separate"/>
        </w:r>
        <w:r>
          <w:rPr>
            <w:noProof/>
            <w:webHidden/>
          </w:rPr>
          <w:t>43</w:t>
        </w:r>
        <w:r w:rsidR="009C19BA">
          <w:rPr>
            <w:noProof/>
            <w:webHidden/>
          </w:rPr>
          <w:fldChar w:fldCharType="end"/>
        </w:r>
      </w:hyperlink>
    </w:p>
    <w:p w14:paraId="7397B1D3" w14:textId="19C56DC6" w:rsidR="009C19BA" w:rsidRDefault="00B14787">
      <w:pPr>
        <w:pStyle w:val="Spisilustracji"/>
        <w:tabs>
          <w:tab w:val="right" w:leader="dot" w:pos="8920"/>
        </w:tabs>
        <w:rPr>
          <w:rFonts w:eastAsiaTheme="minorEastAsia"/>
          <w:noProof/>
          <w:sz w:val="22"/>
          <w:lang w:val="pl-PL" w:eastAsia="pl-PL"/>
        </w:rPr>
      </w:pPr>
      <w:hyperlink w:anchor="_Toc69723168" w:history="1">
        <w:r w:rsidR="009C19BA" w:rsidRPr="006A7815">
          <w:rPr>
            <w:rStyle w:val="Hipercze"/>
            <w:noProof/>
            <w:lang w:val="pl-PL"/>
          </w:rPr>
          <w:t xml:space="preserve">Wykres 10: </w:t>
        </w:r>
        <w:r w:rsidR="009C19BA" w:rsidRPr="006A7815">
          <w:rPr>
            <w:rStyle w:val="Hipercze"/>
            <w:rFonts w:cstheme="minorHAnsi"/>
            <w:noProof/>
            <w:lang w:val="pl-PL"/>
          </w:rPr>
          <w:t xml:space="preserve">Dynamika zmian w latach 2015-2019 </w:t>
        </w:r>
        <w:r w:rsidR="009C19BA" w:rsidRPr="006A7815">
          <w:rPr>
            <w:rStyle w:val="Hipercze"/>
            <w:noProof/>
            <w:lang w:val="pl-PL"/>
          </w:rPr>
          <w:t>– obszary w wymiarze społecznym</w:t>
        </w:r>
        <w:r w:rsidR="009C19BA">
          <w:rPr>
            <w:noProof/>
            <w:webHidden/>
          </w:rPr>
          <w:tab/>
        </w:r>
        <w:r w:rsidR="009C19BA">
          <w:rPr>
            <w:noProof/>
            <w:webHidden/>
          </w:rPr>
          <w:fldChar w:fldCharType="begin"/>
        </w:r>
        <w:r w:rsidR="009C19BA">
          <w:rPr>
            <w:noProof/>
            <w:webHidden/>
          </w:rPr>
          <w:instrText xml:space="preserve"> PAGEREF _Toc69723168 \h </w:instrText>
        </w:r>
        <w:r w:rsidR="009C19BA">
          <w:rPr>
            <w:noProof/>
            <w:webHidden/>
          </w:rPr>
        </w:r>
        <w:r w:rsidR="009C19BA">
          <w:rPr>
            <w:noProof/>
            <w:webHidden/>
          </w:rPr>
          <w:fldChar w:fldCharType="separate"/>
        </w:r>
        <w:r>
          <w:rPr>
            <w:noProof/>
            <w:webHidden/>
          </w:rPr>
          <w:t>44</w:t>
        </w:r>
        <w:r w:rsidR="009C19BA">
          <w:rPr>
            <w:noProof/>
            <w:webHidden/>
          </w:rPr>
          <w:fldChar w:fldCharType="end"/>
        </w:r>
      </w:hyperlink>
    </w:p>
    <w:p w14:paraId="1D8DD17B" w14:textId="56C93567" w:rsidR="009C19BA" w:rsidRDefault="00B14787">
      <w:pPr>
        <w:pStyle w:val="Spisilustracji"/>
        <w:tabs>
          <w:tab w:val="right" w:leader="dot" w:pos="8920"/>
        </w:tabs>
        <w:rPr>
          <w:rFonts w:eastAsiaTheme="minorEastAsia"/>
          <w:noProof/>
          <w:sz w:val="22"/>
          <w:lang w:val="pl-PL" w:eastAsia="pl-PL"/>
        </w:rPr>
      </w:pPr>
      <w:hyperlink w:anchor="_Toc69723169" w:history="1">
        <w:r w:rsidR="009C19BA" w:rsidRPr="006A7815">
          <w:rPr>
            <w:rStyle w:val="Hipercze"/>
            <w:noProof/>
            <w:lang w:val="pl-PL"/>
          </w:rPr>
          <w:t>Wykres 11: Ludność obszaru Partnerstwa Południowe Mazury w latach 1999-2019 ogółem</w:t>
        </w:r>
        <w:r w:rsidR="009C19BA">
          <w:rPr>
            <w:noProof/>
            <w:webHidden/>
          </w:rPr>
          <w:tab/>
        </w:r>
        <w:r w:rsidR="009C19BA">
          <w:rPr>
            <w:noProof/>
            <w:webHidden/>
          </w:rPr>
          <w:fldChar w:fldCharType="begin"/>
        </w:r>
        <w:r w:rsidR="009C19BA">
          <w:rPr>
            <w:noProof/>
            <w:webHidden/>
          </w:rPr>
          <w:instrText xml:space="preserve"> PAGEREF _Toc69723169 \h </w:instrText>
        </w:r>
        <w:r w:rsidR="009C19BA">
          <w:rPr>
            <w:noProof/>
            <w:webHidden/>
          </w:rPr>
        </w:r>
        <w:r w:rsidR="009C19BA">
          <w:rPr>
            <w:noProof/>
            <w:webHidden/>
          </w:rPr>
          <w:fldChar w:fldCharType="separate"/>
        </w:r>
        <w:r>
          <w:rPr>
            <w:noProof/>
            <w:webHidden/>
          </w:rPr>
          <w:t>45</w:t>
        </w:r>
        <w:r w:rsidR="009C19BA">
          <w:rPr>
            <w:noProof/>
            <w:webHidden/>
          </w:rPr>
          <w:fldChar w:fldCharType="end"/>
        </w:r>
      </w:hyperlink>
    </w:p>
    <w:p w14:paraId="64AA2FD3" w14:textId="20204701" w:rsidR="009C19BA" w:rsidRDefault="00B14787">
      <w:pPr>
        <w:pStyle w:val="Spisilustracji"/>
        <w:tabs>
          <w:tab w:val="right" w:leader="dot" w:pos="8920"/>
        </w:tabs>
        <w:rPr>
          <w:rFonts w:eastAsiaTheme="minorEastAsia"/>
          <w:noProof/>
          <w:sz w:val="22"/>
          <w:lang w:val="pl-PL" w:eastAsia="pl-PL"/>
        </w:rPr>
      </w:pPr>
      <w:hyperlink w:anchor="_Toc69723170" w:history="1">
        <w:r w:rsidR="009C19BA" w:rsidRPr="006A7815">
          <w:rPr>
            <w:rStyle w:val="Hipercze"/>
            <w:noProof/>
            <w:lang w:val="pl-PL"/>
          </w:rPr>
          <w:t>Wykres 12: Ludność obszaru Partnerstwa Południowe Mazury w latach 1999-2019 – podział na powiaty</w:t>
        </w:r>
        <w:r w:rsidR="009C19BA">
          <w:rPr>
            <w:noProof/>
            <w:webHidden/>
          </w:rPr>
          <w:tab/>
        </w:r>
        <w:r w:rsidR="009C19BA">
          <w:rPr>
            <w:noProof/>
            <w:webHidden/>
          </w:rPr>
          <w:fldChar w:fldCharType="begin"/>
        </w:r>
        <w:r w:rsidR="009C19BA">
          <w:rPr>
            <w:noProof/>
            <w:webHidden/>
          </w:rPr>
          <w:instrText xml:space="preserve"> PAGEREF _Toc69723170 \h </w:instrText>
        </w:r>
        <w:r w:rsidR="009C19BA">
          <w:rPr>
            <w:noProof/>
            <w:webHidden/>
          </w:rPr>
        </w:r>
        <w:r w:rsidR="009C19BA">
          <w:rPr>
            <w:noProof/>
            <w:webHidden/>
          </w:rPr>
          <w:fldChar w:fldCharType="separate"/>
        </w:r>
        <w:r>
          <w:rPr>
            <w:noProof/>
            <w:webHidden/>
          </w:rPr>
          <w:t>45</w:t>
        </w:r>
        <w:r w:rsidR="009C19BA">
          <w:rPr>
            <w:noProof/>
            <w:webHidden/>
          </w:rPr>
          <w:fldChar w:fldCharType="end"/>
        </w:r>
      </w:hyperlink>
    </w:p>
    <w:p w14:paraId="6FF9B12D" w14:textId="1AA74BC9" w:rsidR="009C19BA" w:rsidRDefault="00B14787">
      <w:pPr>
        <w:pStyle w:val="Spisilustracji"/>
        <w:tabs>
          <w:tab w:val="right" w:leader="dot" w:pos="8920"/>
        </w:tabs>
        <w:rPr>
          <w:rFonts w:eastAsiaTheme="minorEastAsia"/>
          <w:noProof/>
          <w:sz w:val="22"/>
          <w:lang w:val="pl-PL" w:eastAsia="pl-PL"/>
        </w:rPr>
      </w:pPr>
      <w:hyperlink w:anchor="_Toc69723171" w:history="1">
        <w:r w:rsidR="009C19BA" w:rsidRPr="006A7815">
          <w:rPr>
            <w:rStyle w:val="Hipercze"/>
            <w:noProof/>
            <w:lang w:val="pl-PL"/>
          </w:rPr>
          <w:t>Wykres 13: Pięcioletnia różnica liczby mieszkańców na 1000 mieszkańców w roku bazowym – gminy Partnerstwa</w:t>
        </w:r>
        <w:r w:rsidR="009C19BA">
          <w:rPr>
            <w:noProof/>
            <w:webHidden/>
          </w:rPr>
          <w:tab/>
        </w:r>
        <w:r w:rsidR="009C19BA">
          <w:rPr>
            <w:noProof/>
            <w:webHidden/>
          </w:rPr>
          <w:fldChar w:fldCharType="begin"/>
        </w:r>
        <w:r w:rsidR="009C19BA">
          <w:rPr>
            <w:noProof/>
            <w:webHidden/>
          </w:rPr>
          <w:instrText xml:space="preserve"> PAGEREF _Toc69723171 \h </w:instrText>
        </w:r>
        <w:r w:rsidR="009C19BA">
          <w:rPr>
            <w:noProof/>
            <w:webHidden/>
          </w:rPr>
        </w:r>
        <w:r w:rsidR="009C19BA">
          <w:rPr>
            <w:noProof/>
            <w:webHidden/>
          </w:rPr>
          <w:fldChar w:fldCharType="separate"/>
        </w:r>
        <w:r>
          <w:rPr>
            <w:noProof/>
            <w:webHidden/>
          </w:rPr>
          <w:t>46</w:t>
        </w:r>
        <w:r w:rsidR="009C19BA">
          <w:rPr>
            <w:noProof/>
            <w:webHidden/>
          </w:rPr>
          <w:fldChar w:fldCharType="end"/>
        </w:r>
      </w:hyperlink>
    </w:p>
    <w:p w14:paraId="590F1165" w14:textId="37EB2BC1" w:rsidR="009C19BA" w:rsidRDefault="00B14787">
      <w:pPr>
        <w:pStyle w:val="Spisilustracji"/>
        <w:tabs>
          <w:tab w:val="right" w:leader="dot" w:pos="8920"/>
        </w:tabs>
        <w:rPr>
          <w:rFonts w:eastAsiaTheme="minorEastAsia"/>
          <w:noProof/>
          <w:sz w:val="22"/>
          <w:lang w:val="pl-PL" w:eastAsia="pl-PL"/>
        </w:rPr>
      </w:pPr>
      <w:hyperlink w:anchor="_Toc69723172" w:history="1">
        <w:r w:rsidR="009C19BA" w:rsidRPr="006A7815">
          <w:rPr>
            <w:rStyle w:val="Hipercze"/>
            <w:noProof/>
            <w:lang w:val="pl-PL"/>
          </w:rPr>
          <w:t>Wykres 14: Ludność obszaru Partnerstwa Południowe Mazury ogółem – prognoza do 2050 r.</w:t>
        </w:r>
        <w:r w:rsidR="009C19BA">
          <w:rPr>
            <w:noProof/>
            <w:webHidden/>
          </w:rPr>
          <w:tab/>
        </w:r>
        <w:r w:rsidR="009C19BA">
          <w:rPr>
            <w:noProof/>
            <w:webHidden/>
          </w:rPr>
          <w:fldChar w:fldCharType="begin"/>
        </w:r>
        <w:r w:rsidR="009C19BA">
          <w:rPr>
            <w:noProof/>
            <w:webHidden/>
          </w:rPr>
          <w:instrText xml:space="preserve"> PAGEREF _Toc69723172 \h </w:instrText>
        </w:r>
        <w:r w:rsidR="009C19BA">
          <w:rPr>
            <w:noProof/>
            <w:webHidden/>
          </w:rPr>
        </w:r>
        <w:r w:rsidR="009C19BA">
          <w:rPr>
            <w:noProof/>
            <w:webHidden/>
          </w:rPr>
          <w:fldChar w:fldCharType="separate"/>
        </w:r>
        <w:r>
          <w:rPr>
            <w:noProof/>
            <w:webHidden/>
          </w:rPr>
          <w:t>47</w:t>
        </w:r>
        <w:r w:rsidR="009C19BA">
          <w:rPr>
            <w:noProof/>
            <w:webHidden/>
          </w:rPr>
          <w:fldChar w:fldCharType="end"/>
        </w:r>
      </w:hyperlink>
    </w:p>
    <w:p w14:paraId="321B27E2" w14:textId="5A7ECDF7" w:rsidR="009C19BA" w:rsidRDefault="00B14787">
      <w:pPr>
        <w:pStyle w:val="Spisilustracji"/>
        <w:tabs>
          <w:tab w:val="right" w:leader="dot" w:pos="8920"/>
        </w:tabs>
        <w:rPr>
          <w:rFonts w:eastAsiaTheme="minorEastAsia"/>
          <w:noProof/>
          <w:sz w:val="22"/>
          <w:lang w:val="pl-PL" w:eastAsia="pl-PL"/>
        </w:rPr>
      </w:pPr>
      <w:hyperlink w:anchor="_Toc69723173" w:history="1">
        <w:r w:rsidR="009C19BA" w:rsidRPr="006A7815">
          <w:rPr>
            <w:rStyle w:val="Hipercze"/>
            <w:noProof/>
            <w:lang w:val="pl-PL"/>
          </w:rPr>
          <w:t>Wykres 15: Ludność obszaru Partnerstwa Południowe Mazury według powiatów – prognoza do 2050r.</w:t>
        </w:r>
        <w:r w:rsidR="009C19BA">
          <w:rPr>
            <w:noProof/>
            <w:webHidden/>
          </w:rPr>
          <w:tab/>
        </w:r>
        <w:r w:rsidR="009C19BA">
          <w:rPr>
            <w:noProof/>
            <w:webHidden/>
          </w:rPr>
          <w:fldChar w:fldCharType="begin"/>
        </w:r>
        <w:r w:rsidR="009C19BA">
          <w:rPr>
            <w:noProof/>
            <w:webHidden/>
          </w:rPr>
          <w:instrText xml:space="preserve"> PAGEREF _Toc69723173 \h </w:instrText>
        </w:r>
        <w:r w:rsidR="009C19BA">
          <w:rPr>
            <w:noProof/>
            <w:webHidden/>
          </w:rPr>
        </w:r>
        <w:r w:rsidR="009C19BA">
          <w:rPr>
            <w:noProof/>
            <w:webHidden/>
          </w:rPr>
          <w:fldChar w:fldCharType="separate"/>
        </w:r>
        <w:r>
          <w:rPr>
            <w:noProof/>
            <w:webHidden/>
          </w:rPr>
          <w:t>47</w:t>
        </w:r>
        <w:r w:rsidR="009C19BA">
          <w:rPr>
            <w:noProof/>
            <w:webHidden/>
          </w:rPr>
          <w:fldChar w:fldCharType="end"/>
        </w:r>
      </w:hyperlink>
    </w:p>
    <w:p w14:paraId="56D5DAEC" w14:textId="34AFA504" w:rsidR="009C19BA" w:rsidRDefault="00B14787">
      <w:pPr>
        <w:pStyle w:val="Spisilustracji"/>
        <w:tabs>
          <w:tab w:val="right" w:leader="dot" w:pos="8920"/>
        </w:tabs>
        <w:rPr>
          <w:rFonts w:eastAsiaTheme="minorEastAsia"/>
          <w:noProof/>
          <w:sz w:val="22"/>
          <w:lang w:val="pl-PL" w:eastAsia="pl-PL"/>
        </w:rPr>
      </w:pPr>
      <w:hyperlink w:anchor="_Toc69723174" w:history="1">
        <w:r w:rsidR="009C19BA" w:rsidRPr="006A7815">
          <w:rPr>
            <w:rStyle w:val="Hipercze"/>
            <w:noProof/>
            <w:lang w:val="pl-PL"/>
          </w:rPr>
          <w:t>Wykres 16: Ludność w wieku 70 lat i powyżej na 1000 mieszkańców</w:t>
        </w:r>
        <w:r w:rsidR="009C19BA">
          <w:rPr>
            <w:noProof/>
            <w:webHidden/>
          </w:rPr>
          <w:tab/>
        </w:r>
        <w:r w:rsidR="009C19BA">
          <w:rPr>
            <w:noProof/>
            <w:webHidden/>
          </w:rPr>
          <w:fldChar w:fldCharType="begin"/>
        </w:r>
        <w:r w:rsidR="009C19BA">
          <w:rPr>
            <w:noProof/>
            <w:webHidden/>
          </w:rPr>
          <w:instrText xml:space="preserve"> PAGEREF _Toc69723174 \h </w:instrText>
        </w:r>
        <w:r w:rsidR="009C19BA">
          <w:rPr>
            <w:noProof/>
            <w:webHidden/>
          </w:rPr>
        </w:r>
        <w:r w:rsidR="009C19BA">
          <w:rPr>
            <w:noProof/>
            <w:webHidden/>
          </w:rPr>
          <w:fldChar w:fldCharType="separate"/>
        </w:r>
        <w:r>
          <w:rPr>
            <w:noProof/>
            <w:webHidden/>
          </w:rPr>
          <w:t>49</w:t>
        </w:r>
        <w:r w:rsidR="009C19BA">
          <w:rPr>
            <w:noProof/>
            <w:webHidden/>
          </w:rPr>
          <w:fldChar w:fldCharType="end"/>
        </w:r>
      </w:hyperlink>
    </w:p>
    <w:p w14:paraId="653C770F" w14:textId="05FDA3DB" w:rsidR="009C19BA" w:rsidRDefault="00B14787">
      <w:pPr>
        <w:pStyle w:val="Spisilustracji"/>
        <w:tabs>
          <w:tab w:val="right" w:leader="dot" w:pos="8920"/>
        </w:tabs>
        <w:rPr>
          <w:rFonts w:eastAsiaTheme="minorEastAsia"/>
          <w:noProof/>
          <w:sz w:val="22"/>
          <w:lang w:val="pl-PL" w:eastAsia="pl-PL"/>
        </w:rPr>
      </w:pPr>
      <w:hyperlink w:anchor="_Toc69723175" w:history="1">
        <w:r w:rsidR="009C19BA" w:rsidRPr="006A7815">
          <w:rPr>
            <w:rStyle w:val="Hipercze"/>
            <w:noProof/>
            <w:lang w:val="pl-PL"/>
          </w:rPr>
          <w:t>Wykres 17: Udział subpopulacji osób w wieku 80 lat i więcej w ogólnej liczbie ludności w gminach Partnerstwa</w:t>
        </w:r>
        <w:r w:rsidR="009C19BA">
          <w:rPr>
            <w:noProof/>
            <w:webHidden/>
          </w:rPr>
          <w:tab/>
        </w:r>
        <w:r w:rsidR="009C19BA">
          <w:rPr>
            <w:noProof/>
            <w:webHidden/>
          </w:rPr>
          <w:fldChar w:fldCharType="begin"/>
        </w:r>
        <w:r w:rsidR="009C19BA">
          <w:rPr>
            <w:noProof/>
            <w:webHidden/>
          </w:rPr>
          <w:instrText xml:space="preserve"> PAGEREF _Toc69723175 \h </w:instrText>
        </w:r>
        <w:r w:rsidR="009C19BA">
          <w:rPr>
            <w:noProof/>
            <w:webHidden/>
          </w:rPr>
        </w:r>
        <w:r w:rsidR="009C19BA">
          <w:rPr>
            <w:noProof/>
            <w:webHidden/>
          </w:rPr>
          <w:fldChar w:fldCharType="separate"/>
        </w:r>
        <w:r>
          <w:rPr>
            <w:noProof/>
            <w:webHidden/>
          </w:rPr>
          <w:t>49</w:t>
        </w:r>
        <w:r w:rsidR="009C19BA">
          <w:rPr>
            <w:noProof/>
            <w:webHidden/>
          </w:rPr>
          <w:fldChar w:fldCharType="end"/>
        </w:r>
      </w:hyperlink>
    </w:p>
    <w:p w14:paraId="5BB066CB" w14:textId="0CB42842" w:rsidR="009C19BA" w:rsidRDefault="00B14787">
      <w:pPr>
        <w:pStyle w:val="Spisilustracji"/>
        <w:tabs>
          <w:tab w:val="right" w:leader="dot" w:pos="8920"/>
        </w:tabs>
        <w:rPr>
          <w:rFonts w:eastAsiaTheme="minorEastAsia"/>
          <w:noProof/>
          <w:sz w:val="22"/>
          <w:lang w:val="pl-PL" w:eastAsia="pl-PL"/>
        </w:rPr>
      </w:pPr>
      <w:hyperlink w:anchor="_Toc69723176" w:history="1">
        <w:r w:rsidR="009C19BA" w:rsidRPr="006A7815">
          <w:rPr>
            <w:rStyle w:val="Hipercze"/>
            <w:noProof/>
            <w:lang w:val="pl-PL"/>
          </w:rPr>
          <w:t>Wykres 18: Zmiany liczby ludności Południowych Mazur w poszczególnych grupach wiekowych w latach 2009-2019</w:t>
        </w:r>
        <w:r w:rsidR="009C19BA">
          <w:rPr>
            <w:noProof/>
            <w:webHidden/>
          </w:rPr>
          <w:tab/>
        </w:r>
        <w:r w:rsidR="009C19BA">
          <w:rPr>
            <w:noProof/>
            <w:webHidden/>
          </w:rPr>
          <w:fldChar w:fldCharType="begin"/>
        </w:r>
        <w:r w:rsidR="009C19BA">
          <w:rPr>
            <w:noProof/>
            <w:webHidden/>
          </w:rPr>
          <w:instrText xml:space="preserve"> PAGEREF _Toc69723176 \h </w:instrText>
        </w:r>
        <w:r w:rsidR="009C19BA">
          <w:rPr>
            <w:noProof/>
            <w:webHidden/>
          </w:rPr>
        </w:r>
        <w:r w:rsidR="009C19BA">
          <w:rPr>
            <w:noProof/>
            <w:webHidden/>
          </w:rPr>
          <w:fldChar w:fldCharType="separate"/>
        </w:r>
        <w:r>
          <w:rPr>
            <w:noProof/>
            <w:webHidden/>
          </w:rPr>
          <w:t>51</w:t>
        </w:r>
        <w:r w:rsidR="009C19BA">
          <w:rPr>
            <w:noProof/>
            <w:webHidden/>
          </w:rPr>
          <w:fldChar w:fldCharType="end"/>
        </w:r>
      </w:hyperlink>
    </w:p>
    <w:p w14:paraId="19646C9D" w14:textId="1A20373B" w:rsidR="009C19BA" w:rsidRDefault="00B14787">
      <w:pPr>
        <w:pStyle w:val="Spisilustracji"/>
        <w:tabs>
          <w:tab w:val="right" w:leader="dot" w:pos="8920"/>
        </w:tabs>
        <w:rPr>
          <w:rFonts w:eastAsiaTheme="minorEastAsia"/>
          <w:noProof/>
          <w:sz w:val="22"/>
          <w:lang w:val="pl-PL" w:eastAsia="pl-PL"/>
        </w:rPr>
      </w:pPr>
      <w:hyperlink w:anchor="_Toc69723177" w:history="1">
        <w:r w:rsidR="009C19BA" w:rsidRPr="006A7815">
          <w:rPr>
            <w:rStyle w:val="Hipercze"/>
            <w:noProof/>
            <w:lang w:val="pl-PL"/>
          </w:rPr>
          <w:t>Wykres 19: Urodzenia na 1.000 mieszkańców w latach 2010-2019</w:t>
        </w:r>
        <w:r w:rsidR="009C19BA">
          <w:rPr>
            <w:noProof/>
            <w:webHidden/>
          </w:rPr>
          <w:tab/>
        </w:r>
        <w:r w:rsidR="009C19BA">
          <w:rPr>
            <w:noProof/>
            <w:webHidden/>
          </w:rPr>
          <w:fldChar w:fldCharType="begin"/>
        </w:r>
        <w:r w:rsidR="009C19BA">
          <w:rPr>
            <w:noProof/>
            <w:webHidden/>
          </w:rPr>
          <w:instrText xml:space="preserve"> PAGEREF _Toc69723177 \h </w:instrText>
        </w:r>
        <w:r w:rsidR="009C19BA">
          <w:rPr>
            <w:noProof/>
            <w:webHidden/>
          </w:rPr>
        </w:r>
        <w:r w:rsidR="009C19BA">
          <w:rPr>
            <w:noProof/>
            <w:webHidden/>
          </w:rPr>
          <w:fldChar w:fldCharType="separate"/>
        </w:r>
        <w:r>
          <w:rPr>
            <w:noProof/>
            <w:webHidden/>
          </w:rPr>
          <w:t>51</w:t>
        </w:r>
        <w:r w:rsidR="009C19BA">
          <w:rPr>
            <w:noProof/>
            <w:webHidden/>
          </w:rPr>
          <w:fldChar w:fldCharType="end"/>
        </w:r>
      </w:hyperlink>
    </w:p>
    <w:p w14:paraId="3CA787F8" w14:textId="492A5145" w:rsidR="009C19BA" w:rsidRDefault="00B14787">
      <w:pPr>
        <w:pStyle w:val="Spisilustracji"/>
        <w:tabs>
          <w:tab w:val="right" w:leader="dot" w:pos="8920"/>
        </w:tabs>
        <w:rPr>
          <w:rFonts w:eastAsiaTheme="minorEastAsia"/>
          <w:noProof/>
          <w:sz w:val="22"/>
          <w:lang w:val="pl-PL" w:eastAsia="pl-PL"/>
        </w:rPr>
      </w:pPr>
      <w:hyperlink w:anchor="_Toc69723178" w:history="1">
        <w:r w:rsidR="009C19BA" w:rsidRPr="006A7815">
          <w:rPr>
            <w:rStyle w:val="Hipercze"/>
            <w:noProof/>
            <w:lang w:val="pl-PL"/>
          </w:rPr>
          <w:t>Wykres 20: Zgony na 1.000 mieszkańców w latach 2010-2019</w:t>
        </w:r>
        <w:r w:rsidR="009C19BA">
          <w:rPr>
            <w:noProof/>
            <w:webHidden/>
          </w:rPr>
          <w:tab/>
        </w:r>
        <w:r w:rsidR="009C19BA">
          <w:rPr>
            <w:noProof/>
            <w:webHidden/>
          </w:rPr>
          <w:fldChar w:fldCharType="begin"/>
        </w:r>
        <w:r w:rsidR="009C19BA">
          <w:rPr>
            <w:noProof/>
            <w:webHidden/>
          </w:rPr>
          <w:instrText xml:space="preserve"> PAGEREF _Toc69723178 \h </w:instrText>
        </w:r>
        <w:r w:rsidR="009C19BA">
          <w:rPr>
            <w:noProof/>
            <w:webHidden/>
          </w:rPr>
        </w:r>
        <w:r w:rsidR="009C19BA">
          <w:rPr>
            <w:noProof/>
            <w:webHidden/>
          </w:rPr>
          <w:fldChar w:fldCharType="separate"/>
        </w:r>
        <w:r>
          <w:rPr>
            <w:noProof/>
            <w:webHidden/>
          </w:rPr>
          <w:t>52</w:t>
        </w:r>
        <w:r w:rsidR="009C19BA">
          <w:rPr>
            <w:noProof/>
            <w:webHidden/>
          </w:rPr>
          <w:fldChar w:fldCharType="end"/>
        </w:r>
      </w:hyperlink>
    </w:p>
    <w:p w14:paraId="02181322" w14:textId="2CF96937" w:rsidR="009C19BA" w:rsidRDefault="00B14787">
      <w:pPr>
        <w:pStyle w:val="Spisilustracji"/>
        <w:tabs>
          <w:tab w:val="right" w:leader="dot" w:pos="8920"/>
        </w:tabs>
        <w:rPr>
          <w:rFonts w:eastAsiaTheme="minorEastAsia"/>
          <w:noProof/>
          <w:sz w:val="22"/>
          <w:lang w:val="pl-PL" w:eastAsia="pl-PL"/>
        </w:rPr>
      </w:pPr>
      <w:hyperlink w:anchor="_Toc69723179" w:history="1">
        <w:r w:rsidR="009C19BA" w:rsidRPr="006A7815">
          <w:rPr>
            <w:rStyle w:val="Hipercze"/>
            <w:noProof/>
            <w:lang w:val="pl-PL"/>
          </w:rPr>
          <w:t>Wykres 21: Przyrost naturalny w Południowych Mazurach na 1000 mieszkańców w latach 2009-2019</w:t>
        </w:r>
        <w:r w:rsidR="009C19BA">
          <w:rPr>
            <w:noProof/>
            <w:webHidden/>
          </w:rPr>
          <w:tab/>
        </w:r>
        <w:r w:rsidR="009C19BA">
          <w:rPr>
            <w:noProof/>
            <w:webHidden/>
          </w:rPr>
          <w:fldChar w:fldCharType="begin"/>
        </w:r>
        <w:r w:rsidR="009C19BA">
          <w:rPr>
            <w:noProof/>
            <w:webHidden/>
          </w:rPr>
          <w:instrText xml:space="preserve"> PAGEREF _Toc69723179 \h </w:instrText>
        </w:r>
        <w:r w:rsidR="009C19BA">
          <w:rPr>
            <w:noProof/>
            <w:webHidden/>
          </w:rPr>
        </w:r>
        <w:r w:rsidR="009C19BA">
          <w:rPr>
            <w:noProof/>
            <w:webHidden/>
          </w:rPr>
          <w:fldChar w:fldCharType="separate"/>
        </w:r>
        <w:r>
          <w:rPr>
            <w:noProof/>
            <w:webHidden/>
          </w:rPr>
          <w:t>53</w:t>
        </w:r>
        <w:r w:rsidR="009C19BA">
          <w:rPr>
            <w:noProof/>
            <w:webHidden/>
          </w:rPr>
          <w:fldChar w:fldCharType="end"/>
        </w:r>
      </w:hyperlink>
    </w:p>
    <w:p w14:paraId="70A2B140" w14:textId="0673C8A8" w:rsidR="009C19BA" w:rsidRDefault="00B14787">
      <w:pPr>
        <w:pStyle w:val="Spisilustracji"/>
        <w:tabs>
          <w:tab w:val="right" w:leader="dot" w:pos="8920"/>
        </w:tabs>
        <w:rPr>
          <w:rFonts w:eastAsiaTheme="minorEastAsia"/>
          <w:noProof/>
          <w:sz w:val="22"/>
          <w:lang w:val="pl-PL" w:eastAsia="pl-PL"/>
        </w:rPr>
      </w:pPr>
      <w:hyperlink w:anchor="_Toc69723180" w:history="1">
        <w:r w:rsidR="009C19BA" w:rsidRPr="006A7815">
          <w:rPr>
            <w:rStyle w:val="Hipercze"/>
            <w:noProof/>
            <w:lang w:val="pl-PL"/>
          </w:rPr>
          <w:t>Wykres 22: Saldo migracji na 1000 mieszkańców w latach 2009-2019</w:t>
        </w:r>
        <w:r w:rsidR="009C19BA">
          <w:rPr>
            <w:noProof/>
            <w:webHidden/>
          </w:rPr>
          <w:tab/>
        </w:r>
        <w:r w:rsidR="009C19BA">
          <w:rPr>
            <w:noProof/>
            <w:webHidden/>
          </w:rPr>
          <w:fldChar w:fldCharType="begin"/>
        </w:r>
        <w:r w:rsidR="009C19BA">
          <w:rPr>
            <w:noProof/>
            <w:webHidden/>
          </w:rPr>
          <w:instrText xml:space="preserve"> PAGEREF _Toc69723180 \h </w:instrText>
        </w:r>
        <w:r w:rsidR="009C19BA">
          <w:rPr>
            <w:noProof/>
            <w:webHidden/>
          </w:rPr>
        </w:r>
        <w:r w:rsidR="009C19BA">
          <w:rPr>
            <w:noProof/>
            <w:webHidden/>
          </w:rPr>
          <w:fldChar w:fldCharType="separate"/>
        </w:r>
        <w:r>
          <w:rPr>
            <w:noProof/>
            <w:webHidden/>
          </w:rPr>
          <w:t>54</w:t>
        </w:r>
        <w:r w:rsidR="009C19BA">
          <w:rPr>
            <w:noProof/>
            <w:webHidden/>
          </w:rPr>
          <w:fldChar w:fldCharType="end"/>
        </w:r>
      </w:hyperlink>
    </w:p>
    <w:p w14:paraId="2C76E368" w14:textId="31BEFB61" w:rsidR="009C19BA" w:rsidRDefault="00B14787">
      <w:pPr>
        <w:pStyle w:val="Spisilustracji"/>
        <w:tabs>
          <w:tab w:val="right" w:leader="dot" w:pos="8920"/>
        </w:tabs>
        <w:rPr>
          <w:rFonts w:eastAsiaTheme="minorEastAsia"/>
          <w:noProof/>
          <w:sz w:val="22"/>
          <w:lang w:val="pl-PL" w:eastAsia="pl-PL"/>
        </w:rPr>
      </w:pPr>
      <w:hyperlink w:anchor="_Toc69723181" w:history="1">
        <w:r w:rsidR="009C19BA" w:rsidRPr="006A7815">
          <w:rPr>
            <w:rStyle w:val="Hipercze"/>
            <w:noProof/>
            <w:lang w:val="pl-PL"/>
          </w:rPr>
          <w:t>Wykres 23: Saldo migracji osób w wieku 15-39 lat na 1000 osób w latach 2013-2019</w:t>
        </w:r>
        <w:r w:rsidR="009C19BA">
          <w:rPr>
            <w:noProof/>
            <w:webHidden/>
          </w:rPr>
          <w:tab/>
        </w:r>
        <w:r w:rsidR="009C19BA">
          <w:rPr>
            <w:noProof/>
            <w:webHidden/>
          </w:rPr>
          <w:fldChar w:fldCharType="begin"/>
        </w:r>
        <w:r w:rsidR="009C19BA">
          <w:rPr>
            <w:noProof/>
            <w:webHidden/>
          </w:rPr>
          <w:instrText xml:space="preserve"> PAGEREF _Toc69723181 \h </w:instrText>
        </w:r>
        <w:r w:rsidR="009C19BA">
          <w:rPr>
            <w:noProof/>
            <w:webHidden/>
          </w:rPr>
        </w:r>
        <w:r w:rsidR="009C19BA">
          <w:rPr>
            <w:noProof/>
            <w:webHidden/>
          </w:rPr>
          <w:fldChar w:fldCharType="separate"/>
        </w:r>
        <w:r>
          <w:rPr>
            <w:noProof/>
            <w:webHidden/>
          </w:rPr>
          <w:t>55</w:t>
        </w:r>
        <w:r w:rsidR="009C19BA">
          <w:rPr>
            <w:noProof/>
            <w:webHidden/>
          </w:rPr>
          <w:fldChar w:fldCharType="end"/>
        </w:r>
      </w:hyperlink>
    </w:p>
    <w:p w14:paraId="67FEE0A0" w14:textId="2714B138" w:rsidR="009C19BA" w:rsidRDefault="00B14787">
      <w:pPr>
        <w:pStyle w:val="Spisilustracji"/>
        <w:tabs>
          <w:tab w:val="right" w:leader="dot" w:pos="8920"/>
        </w:tabs>
        <w:rPr>
          <w:rFonts w:eastAsiaTheme="minorEastAsia"/>
          <w:noProof/>
          <w:sz w:val="22"/>
          <w:lang w:val="pl-PL" w:eastAsia="pl-PL"/>
        </w:rPr>
      </w:pPr>
      <w:hyperlink w:anchor="_Toc69723182" w:history="1">
        <w:r w:rsidR="009C19BA" w:rsidRPr="006A7815">
          <w:rPr>
            <w:rStyle w:val="Hipercze"/>
            <w:noProof/>
            <w:lang w:val="pl-PL"/>
          </w:rPr>
          <w:t>Wykres 24: Liczba porad lekarskich podstawowej opieki medycznej na 10 tys. mieszkańców w latach 2012-2019</w:t>
        </w:r>
        <w:r w:rsidR="009C19BA">
          <w:rPr>
            <w:noProof/>
            <w:webHidden/>
          </w:rPr>
          <w:tab/>
        </w:r>
        <w:r w:rsidR="009C19BA">
          <w:rPr>
            <w:noProof/>
            <w:webHidden/>
          </w:rPr>
          <w:fldChar w:fldCharType="begin"/>
        </w:r>
        <w:r w:rsidR="009C19BA">
          <w:rPr>
            <w:noProof/>
            <w:webHidden/>
          </w:rPr>
          <w:instrText xml:space="preserve"> PAGEREF _Toc69723182 \h </w:instrText>
        </w:r>
        <w:r w:rsidR="009C19BA">
          <w:rPr>
            <w:noProof/>
            <w:webHidden/>
          </w:rPr>
        </w:r>
        <w:r w:rsidR="009C19BA">
          <w:rPr>
            <w:noProof/>
            <w:webHidden/>
          </w:rPr>
          <w:fldChar w:fldCharType="separate"/>
        </w:r>
        <w:r>
          <w:rPr>
            <w:noProof/>
            <w:webHidden/>
          </w:rPr>
          <w:t>66</w:t>
        </w:r>
        <w:r w:rsidR="009C19BA">
          <w:rPr>
            <w:noProof/>
            <w:webHidden/>
          </w:rPr>
          <w:fldChar w:fldCharType="end"/>
        </w:r>
      </w:hyperlink>
    </w:p>
    <w:p w14:paraId="37FC3DC8" w14:textId="6E49F93A" w:rsidR="009C19BA" w:rsidRDefault="00B14787">
      <w:pPr>
        <w:pStyle w:val="Spisilustracji"/>
        <w:tabs>
          <w:tab w:val="right" w:leader="dot" w:pos="8920"/>
        </w:tabs>
        <w:rPr>
          <w:rFonts w:eastAsiaTheme="minorEastAsia"/>
          <w:noProof/>
          <w:sz w:val="22"/>
          <w:lang w:val="pl-PL" w:eastAsia="pl-PL"/>
        </w:rPr>
      </w:pPr>
      <w:hyperlink w:anchor="_Toc69723183" w:history="1">
        <w:r w:rsidR="009C19BA" w:rsidRPr="006A7815">
          <w:rPr>
            <w:rStyle w:val="Hipercze"/>
            <w:noProof/>
            <w:lang w:val="pl-PL"/>
          </w:rPr>
          <w:t>Wykres 25: Liczba lekarzy (personel pracujący ogółem) na 10 tys. mieszkańców w latach 2010-2018</w:t>
        </w:r>
        <w:r w:rsidR="009C19BA">
          <w:rPr>
            <w:noProof/>
            <w:webHidden/>
          </w:rPr>
          <w:tab/>
        </w:r>
        <w:r w:rsidR="009C19BA">
          <w:rPr>
            <w:noProof/>
            <w:webHidden/>
          </w:rPr>
          <w:fldChar w:fldCharType="begin"/>
        </w:r>
        <w:r w:rsidR="009C19BA">
          <w:rPr>
            <w:noProof/>
            <w:webHidden/>
          </w:rPr>
          <w:instrText xml:space="preserve"> PAGEREF _Toc69723183 \h </w:instrText>
        </w:r>
        <w:r w:rsidR="009C19BA">
          <w:rPr>
            <w:noProof/>
            <w:webHidden/>
          </w:rPr>
        </w:r>
        <w:r w:rsidR="009C19BA">
          <w:rPr>
            <w:noProof/>
            <w:webHidden/>
          </w:rPr>
          <w:fldChar w:fldCharType="separate"/>
        </w:r>
        <w:r>
          <w:rPr>
            <w:noProof/>
            <w:webHidden/>
          </w:rPr>
          <w:t>70</w:t>
        </w:r>
        <w:r w:rsidR="009C19BA">
          <w:rPr>
            <w:noProof/>
            <w:webHidden/>
          </w:rPr>
          <w:fldChar w:fldCharType="end"/>
        </w:r>
      </w:hyperlink>
    </w:p>
    <w:p w14:paraId="62DAEB75" w14:textId="1A106C85" w:rsidR="009C19BA" w:rsidRDefault="00B14787">
      <w:pPr>
        <w:pStyle w:val="Spisilustracji"/>
        <w:tabs>
          <w:tab w:val="right" w:leader="dot" w:pos="8920"/>
        </w:tabs>
        <w:rPr>
          <w:rFonts w:eastAsiaTheme="minorEastAsia"/>
          <w:noProof/>
          <w:sz w:val="22"/>
          <w:lang w:val="pl-PL" w:eastAsia="pl-PL"/>
        </w:rPr>
      </w:pPr>
      <w:hyperlink w:anchor="_Toc69723184" w:history="1">
        <w:r w:rsidR="009C19BA" w:rsidRPr="006A7815">
          <w:rPr>
            <w:rStyle w:val="Hipercze"/>
            <w:noProof/>
            <w:lang w:val="pl-PL"/>
          </w:rPr>
          <w:t>Wykres 26: Liczba pielęgniarek i położnych (personel pracujący ogółem) na 10 tys. mieszkańców w latach 2010-2018</w:t>
        </w:r>
        <w:r w:rsidR="009C19BA">
          <w:rPr>
            <w:noProof/>
            <w:webHidden/>
          </w:rPr>
          <w:tab/>
        </w:r>
        <w:r w:rsidR="009C19BA">
          <w:rPr>
            <w:noProof/>
            <w:webHidden/>
          </w:rPr>
          <w:fldChar w:fldCharType="begin"/>
        </w:r>
        <w:r w:rsidR="009C19BA">
          <w:rPr>
            <w:noProof/>
            <w:webHidden/>
          </w:rPr>
          <w:instrText xml:space="preserve"> PAGEREF _Toc69723184 \h </w:instrText>
        </w:r>
        <w:r w:rsidR="009C19BA">
          <w:rPr>
            <w:noProof/>
            <w:webHidden/>
          </w:rPr>
        </w:r>
        <w:r w:rsidR="009C19BA">
          <w:rPr>
            <w:noProof/>
            <w:webHidden/>
          </w:rPr>
          <w:fldChar w:fldCharType="separate"/>
        </w:r>
        <w:r>
          <w:rPr>
            <w:noProof/>
            <w:webHidden/>
          </w:rPr>
          <w:t>70</w:t>
        </w:r>
        <w:r w:rsidR="009C19BA">
          <w:rPr>
            <w:noProof/>
            <w:webHidden/>
          </w:rPr>
          <w:fldChar w:fldCharType="end"/>
        </w:r>
      </w:hyperlink>
    </w:p>
    <w:p w14:paraId="0387E47D" w14:textId="496C82FC" w:rsidR="009C19BA" w:rsidRDefault="00B14787">
      <w:pPr>
        <w:pStyle w:val="Spisilustracji"/>
        <w:tabs>
          <w:tab w:val="right" w:leader="dot" w:pos="8920"/>
        </w:tabs>
        <w:rPr>
          <w:rFonts w:eastAsiaTheme="minorEastAsia"/>
          <w:noProof/>
          <w:sz w:val="22"/>
          <w:lang w:val="pl-PL" w:eastAsia="pl-PL"/>
        </w:rPr>
      </w:pPr>
      <w:hyperlink w:anchor="_Toc69723185" w:history="1">
        <w:r w:rsidR="009C19BA" w:rsidRPr="006A7815">
          <w:rPr>
            <w:rStyle w:val="Hipercze"/>
            <w:noProof/>
            <w:lang w:val="pl-PL"/>
          </w:rPr>
          <w:t>Wykres 27: Poziom bezpieczeństwa na terenie Południowych Mazur w latach 2015-2019</w:t>
        </w:r>
        <w:r w:rsidR="009C19BA">
          <w:rPr>
            <w:noProof/>
            <w:webHidden/>
          </w:rPr>
          <w:tab/>
        </w:r>
        <w:r w:rsidR="009C19BA">
          <w:rPr>
            <w:noProof/>
            <w:webHidden/>
          </w:rPr>
          <w:fldChar w:fldCharType="begin"/>
        </w:r>
        <w:r w:rsidR="009C19BA">
          <w:rPr>
            <w:noProof/>
            <w:webHidden/>
          </w:rPr>
          <w:instrText xml:space="preserve"> PAGEREF _Toc69723185 \h </w:instrText>
        </w:r>
        <w:r w:rsidR="009C19BA">
          <w:rPr>
            <w:noProof/>
            <w:webHidden/>
          </w:rPr>
        </w:r>
        <w:r w:rsidR="009C19BA">
          <w:rPr>
            <w:noProof/>
            <w:webHidden/>
          </w:rPr>
          <w:fldChar w:fldCharType="separate"/>
        </w:r>
        <w:r>
          <w:rPr>
            <w:noProof/>
            <w:webHidden/>
          </w:rPr>
          <w:t>71</w:t>
        </w:r>
        <w:r w:rsidR="009C19BA">
          <w:rPr>
            <w:noProof/>
            <w:webHidden/>
          </w:rPr>
          <w:fldChar w:fldCharType="end"/>
        </w:r>
      </w:hyperlink>
    </w:p>
    <w:p w14:paraId="0F5541FD" w14:textId="49A11733" w:rsidR="009C19BA" w:rsidRDefault="00B14787">
      <w:pPr>
        <w:pStyle w:val="Spisilustracji"/>
        <w:tabs>
          <w:tab w:val="right" w:leader="dot" w:pos="8920"/>
        </w:tabs>
        <w:rPr>
          <w:rFonts w:eastAsiaTheme="minorEastAsia"/>
          <w:noProof/>
          <w:sz w:val="22"/>
          <w:lang w:val="pl-PL" w:eastAsia="pl-PL"/>
        </w:rPr>
      </w:pPr>
      <w:hyperlink w:anchor="_Toc69723186" w:history="1">
        <w:r w:rsidR="009C19BA" w:rsidRPr="006A7815">
          <w:rPr>
            <w:rStyle w:val="Hipercze"/>
            <w:noProof/>
            <w:lang w:val="pl-PL"/>
          </w:rPr>
          <w:t>Wykres 28: Saldo bieżące zarejestrowanych fundacji, stowarzyszeń i organizacji społecznych.</w:t>
        </w:r>
        <w:r w:rsidR="009C19BA">
          <w:rPr>
            <w:noProof/>
            <w:webHidden/>
          </w:rPr>
          <w:tab/>
        </w:r>
        <w:r w:rsidR="009C19BA">
          <w:rPr>
            <w:noProof/>
            <w:webHidden/>
          </w:rPr>
          <w:fldChar w:fldCharType="begin"/>
        </w:r>
        <w:r w:rsidR="009C19BA">
          <w:rPr>
            <w:noProof/>
            <w:webHidden/>
          </w:rPr>
          <w:instrText xml:space="preserve"> PAGEREF _Toc69723186 \h </w:instrText>
        </w:r>
        <w:r w:rsidR="009C19BA">
          <w:rPr>
            <w:noProof/>
            <w:webHidden/>
          </w:rPr>
        </w:r>
        <w:r w:rsidR="009C19BA">
          <w:rPr>
            <w:noProof/>
            <w:webHidden/>
          </w:rPr>
          <w:fldChar w:fldCharType="separate"/>
        </w:r>
        <w:r>
          <w:rPr>
            <w:noProof/>
            <w:webHidden/>
          </w:rPr>
          <w:t>73</w:t>
        </w:r>
        <w:r w:rsidR="009C19BA">
          <w:rPr>
            <w:noProof/>
            <w:webHidden/>
          </w:rPr>
          <w:fldChar w:fldCharType="end"/>
        </w:r>
      </w:hyperlink>
    </w:p>
    <w:p w14:paraId="54D151B0" w14:textId="3467BAD6" w:rsidR="009C19BA" w:rsidRDefault="00B14787">
      <w:pPr>
        <w:pStyle w:val="Spisilustracji"/>
        <w:tabs>
          <w:tab w:val="right" w:leader="dot" w:pos="8920"/>
        </w:tabs>
        <w:rPr>
          <w:rFonts w:eastAsiaTheme="minorEastAsia"/>
          <w:noProof/>
          <w:sz w:val="22"/>
          <w:lang w:val="pl-PL" w:eastAsia="pl-PL"/>
        </w:rPr>
      </w:pPr>
      <w:hyperlink w:anchor="_Toc69723187" w:history="1">
        <w:r w:rsidR="009C19BA" w:rsidRPr="006A7815">
          <w:rPr>
            <w:rStyle w:val="Hipercze"/>
            <w:noProof/>
            <w:lang w:val="pl-PL"/>
          </w:rPr>
          <w:t>Wykres 29: Beneficjenci środowiskowej pomocy społecznej w latach 2009-2019</w:t>
        </w:r>
        <w:r w:rsidR="009C19BA">
          <w:rPr>
            <w:noProof/>
            <w:webHidden/>
          </w:rPr>
          <w:tab/>
        </w:r>
        <w:r w:rsidR="009C19BA">
          <w:rPr>
            <w:noProof/>
            <w:webHidden/>
          </w:rPr>
          <w:fldChar w:fldCharType="begin"/>
        </w:r>
        <w:r w:rsidR="009C19BA">
          <w:rPr>
            <w:noProof/>
            <w:webHidden/>
          </w:rPr>
          <w:instrText xml:space="preserve"> PAGEREF _Toc69723187 \h </w:instrText>
        </w:r>
        <w:r w:rsidR="009C19BA">
          <w:rPr>
            <w:noProof/>
            <w:webHidden/>
          </w:rPr>
        </w:r>
        <w:r w:rsidR="009C19BA">
          <w:rPr>
            <w:noProof/>
            <w:webHidden/>
          </w:rPr>
          <w:fldChar w:fldCharType="separate"/>
        </w:r>
        <w:r>
          <w:rPr>
            <w:noProof/>
            <w:webHidden/>
          </w:rPr>
          <w:t>74</w:t>
        </w:r>
        <w:r w:rsidR="009C19BA">
          <w:rPr>
            <w:noProof/>
            <w:webHidden/>
          </w:rPr>
          <w:fldChar w:fldCharType="end"/>
        </w:r>
      </w:hyperlink>
    </w:p>
    <w:p w14:paraId="7D37B16A" w14:textId="2AF6562F" w:rsidR="009C19BA" w:rsidRDefault="00B14787">
      <w:pPr>
        <w:pStyle w:val="Spisilustracji"/>
        <w:tabs>
          <w:tab w:val="right" w:leader="dot" w:pos="8920"/>
        </w:tabs>
        <w:rPr>
          <w:rFonts w:eastAsiaTheme="minorEastAsia"/>
          <w:noProof/>
          <w:sz w:val="22"/>
          <w:lang w:val="pl-PL" w:eastAsia="pl-PL"/>
        </w:rPr>
      </w:pPr>
      <w:hyperlink w:anchor="_Toc69723188" w:history="1">
        <w:r w:rsidR="009C19BA" w:rsidRPr="006A7815">
          <w:rPr>
            <w:rStyle w:val="Hipercze"/>
            <w:noProof/>
            <w:lang w:val="pl-PL"/>
          </w:rPr>
          <w:t>Wykres 30: Potencjał instytucjonalny JST (współpraca)</w:t>
        </w:r>
        <w:r w:rsidR="009C19BA">
          <w:rPr>
            <w:noProof/>
            <w:webHidden/>
          </w:rPr>
          <w:tab/>
        </w:r>
        <w:r w:rsidR="009C19BA">
          <w:rPr>
            <w:noProof/>
            <w:webHidden/>
          </w:rPr>
          <w:fldChar w:fldCharType="begin"/>
        </w:r>
        <w:r w:rsidR="009C19BA">
          <w:rPr>
            <w:noProof/>
            <w:webHidden/>
          </w:rPr>
          <w:instrText xml:space="preserve"> PAGEREF _Toc69723188 \h </w:instrText>
        </w:r>
        <w:r w:rsidR="009C19BA">
          <w:rPr>
            <w:noProof/>
            <w:webHidden/>
          </w:rPr>
        </w:r>
        <w:r w:rsidR="009C19BA">
          <w:rPr>
            <w:noProof/>
            <w:webHidden/>
          </w:rPr>
          <w:fldChar w:fldCharType="separate"/>
        </w:r>
        <w:r>
          <w:rPr>
            <w:noProof/>
            <w:webHidden/>
          </w:rPr>
          <w:t>83</w:t>
        </w:r>
        <w:r w:rsidR="009C19BA">
          <w:rPr>
            <w:noProof/>
            <w:webHidden/>
          </w:rPr>
          <w:fldChar w:fldCharType="end"/>
        </w:r>
      </w:hyperlink>
    </w:p>
    <w:p w14:paraId="5C9E1F99" w14:textId="4509D7D7" w:rsidR="009C19BA" w:rsidRDefault="00B14787">
      <w:pPr>
        <w:pStyle w:val="Spisilustracji"/>
        <w:tabs>
          <w:tab w:val="right" w:leader="dot" w:pos="8920"/>
        </w:tabs>
        <w:rPr>
          <w:rFonts w:eastAsiaTheme="minorEastAsia"/>
          <w:noProof/>
          <w:sz w:val="22"/>
          <w:lang w:val="pl-PL" w:eastAsia="pl-PL"/>
        </w:rPr>
      </w:pPr>
      <w:hyperlink w:anchor="_Toc69723189" w:history="1">
        <w:r w:rsidR="009C19BA" w:rsidRPr="006A7815">
          <w:rPr>
            <w:rStyle w:val="Hipercze"/>
            <w:noProof/>
            <w:lang w:val="pl-PL"/>
          </w:rPr>
          <w:t>Wykres 31: Udział dotacji do zadań publicznych wykonywanych przez NGO w wydatkach bieżących JST w latach 2011-2019</w:t>
        </w:r>
        <w:r w:rsidR="009C19BA">
          <w:rPr>
            <w:noProof/>
            <w:webHidden/>
          </w:rPr>
          <w:tab/>
        </w:r>
        <w:r w:rsidR="009C19BA">
          <w:rPr>
            <w:noProof/>
            <w:webHidden/>
          </w:rPr>
          <w:fldChar w:fldCharType="begin"/>
        </w:r>
        <w:r w:rsidR="009C19BA">
          <w:rPr>
            <w:noProof/>
            <w:webHidden/>
          </w:rPr>
          <w:instrText xml:space="preserve"> PAGEREF _Toc69723189 \h </w:instrText>
        </w:r>
        <w:r w:rsidR="009C19BA">
          <w:rPr>
            <w:noProof/>
            <w:webHidden/>
          </w:rPr>
        </w:r>
        <w:r w:rsidR="009C19BA">
          <w:rPr>
            <w:noProof/>
            <w:webHidden/>
          </w:rPr>
          <w:fldChar w:fldCharType="separate"/>
        </w:r>
        <w:r>
          <w:rPr>
            <w:noProof/>
            <w:webHidden/>
          </w:rPr>
          <w:t>85</w:t>
        </w:r>
        <w:r w:rsidR="009C19BA">
          <w:rPr>
            <w:noProof/>
            <w:webHidden/>
          </w:rPr>
          <w:fldChar w:fldCharType="end"/>
        </w:r>
      </w:hyperlink>
    </w:p>
    <w:p w14:paraId="392F2698" w14:textId="5790B403" w:rsidR="009C19BA" w:rsidRDefault="00B14787">
      <w:pPr>
        <w:pStyle w:val="Spisilustracji"/>
        <w:tabs>
          <w:tab w:val="right" w:leader="dot" w:pos="8920"/>
        </w:tabs>
        <w:rPr>
          <w:rFonts w:eastAsiaTheme="minorEastAsia"/>
          <w:noProof/>
          <w:sz w:val="22"/>
          <w:lang w:val="pl-PL" w:eastAsia="pl-PL"/>
        </w:rPr>
      </w:pPr>
      <w:hyperlink w:anchor="_Toc69723190" w:history="1">
        <w:r w:rsidR="009C19BA" w:rsidRPr="006A7815">
          <w:rPr>
            <w:rStyle w:val="Hipercze"/>
            <w:noProof/>
            <w:lang w:val="pl-PL"/>
          </w:rPr>
          <w:t>Wykres 32: Kwota dotacji do zadań publicznych wykonywanych przez NGO w przeliczeniu na 1000 mieszkańców</w:t>
        </w:r>
        <w:r w:rsidR="009C19BA">
          <w:rPr>
            <w:noProof/>
            <w:webHidden/>
          </w:rPr>
          <w:tab/>
        </w:r>
        <w:r w:rsidR="009C19BA">
          <w:rPr>
            <w:noProof/>
            <w:webHidden/>
          </w:rPr>
          <w:fldChar w:fldCharType="begin"/>
        </w:r>
        <w:r w:rsidR="009C19BA">
          <w:rPr>
            <w:noProof/>
            <w:webHidden/>
          </w:rPr>
          <w:instrText xml:space="preserve"> PAGEREF _Toc69723190 \h </w:instrText>
        </w:r>
        <w:r w:rsidR="009C19BA">
          <w:rPr>
            <w:noProof/>
            <w:webHidden/>
          </w:rPr>
        </w:r>
        <w:r w:rsidR="009C19BA">
          <w:rPr>
            <w:noProof/>
            <w:webHidden/>
          </w:rPr>
          <w:fldChar w:fldCharType="separate"/>
        </w:r>
        <w:r>
          <w:rPr>
            <w:noProof/>
            <w:webHidden/>
          </w:rPr>
          <w:t>86</w:t>
        </w:r>
        <w:r w:rsidR="009C19BA">
          <w:rPr>
            <w:noProof/>
            <w:webHidden/>
          </w:rPr>
          <w:fldChar w:fldCharType="end"/>
        </w:r>
      </w:hyperlink>
    </w:p>
    <w:p w14:paraId="60E87247" w14:textId="1407FD80" w:rsidR="009C19BA" w:rsidRDefault="00B14787">
      <w:pPr>
        <w:pStyle w:val="Spisilustracji"/>
        <w:tabs>
          <w:tab w:val="right" w:leader="dot" w:pos="8920"/>
        </w:tabs>
        <w:rPr>
          <w:rFonts w:eastAsiaTheme="minorEastAsia"/>
          <w:noProof/>
          <w:sz w:val="22"/>
          <w:lang w:val="pl-PL" w:eastAsia="pl-PL"/>
        </w:rPr>
      </w:pPr>
      <w:hyperlink w:anchor="_Toc69723191" w:history="1">
        <w:r w:rsidR="009C19BA" w:rsidRPr="006A7815">
          <w:rPr>
            <w:rStyle w:val="Hipercze"/>
            <w:noProof/>
            <w:lang w:val="pl-PL"/>
          </w:rPr>
          <w:t>Wykres 33: Stabilność władzy na obszarze Partnerstwa</w:t>
        </w:r>
        <w:r w:rsidR="009C19BA" w:rsidRPr="006A7815">
          <w:rPr>
            <w:rStyle w:val="Hipercze"/>
            <w:rFonts w:ascii="Calibri Light" w:hAnsi="Calibri Light"/>
            <w:noProof/>
            <w:lang w:val="pl-PL"/>
          </w:rPr>
          <w:t xml:space="preserve">   Źródło: opracowanie własne na podstawie danych z Państwowej Komisji Wyborczej </w:t>
        </w:r>
        <w:r w:rsidR="009C19BA" w:rsidRPr="006A7815">
          <w:rPr>
            <w:rStyle w:val="Hipercze"/>
            <w:noProof/>
            <w:lang w:val="pl-PL"/>
          </w:rPr>
          <w:t xml:space="preserve">  Efektywność realizacyjna Partnerstwa ściśle wiąże się z modelem kultury organizacyjnej charakteryzującej Partnerstwo (powiazania efektywności i typów kultury organizacyjnej obrazuje rysunek poniżej).</w:t>
        </w:r>
        <w:r w:rsidR="009C19BA">
          <w:rPr>
            <w:noProof/>
            <w:webHidden/>
          </w:rPr>
          <w:tab/>
        </w:r>
        <w:r w:rsidR="009C19BA">
          <w:rPr>
            <w:noProof/>
            <w:webHidden/>
          </w:rPr>
          <w:fldChar w:fldCharType="begin"/>
        </w:r>
        <w:r w:rsidR="009C19BA">
          <w:rPr>
            <w:noProof/>
            <w:webHidden/>
          </w:rPr>
          <w:instrText xml:space="preserve"> PAGEREF _Toc69723191 \h </w:instrText>
        </w:r>
        <w:r w:rsidR="009C19BA">
          <w:rPr>
            <w:noProof/>
            <w:webHidden/>
          </w:rPr>
        </w:r>
        <w:r w:rsidR="009C19BA">
          <w:rPr>
            <w:noProof/>
            <w:webHidden/>
          </w:rPr>
          <w:fldChar w:fldCharType="separate"/>
        </w:r>
        <w:r>
          <w:rPr>
            <w:noProof/>
            <w:webHidden/>
          </w:rPr>
          <w:t>86</w:t>
        </w:r>
        <w:r w:rsidR="009C19BA">
          <w:rPr>
            <w:noProof/>
            <w:webHidden/>
          </w:rPr>
          <w:fldChar w:fldCharType="end"/>
        </w:r>
      </w:hyperlink>
    </w:p>
    <w:p w14:paraId="5074FE8F" w14:textId="4BB113D6" w:rsidR="009C19BA" w:rsidRDefault="00B14787">
      <w:pPr>
        <w:pStyle w:val="Spisilustracji"/>
        <w:tabs>
          <w:tab w:val="right" w:leader="dot" w:pos="8920"/>
        </w:tabs>
        <w:rPr>
          <w:rFonts w:eastAsiaTheme="minorEastAsia"/>
          <w:noProof/>
          <w:sz w:val="22"/>
          <w:lang w:val="pl-PL" w:eastAsia="pl-PL"/>
        </w:rPr>
      </w:pPr>
      <w:hyperlink w:anchor="_Toc69723192" w:history="1">
        <w:r w:rsidR="009C19BA" w:rsidRPr="006A7815">
          <w:rPr>
            <w:rStyle w:val="Hipercze"/>
            <w:noProof/>
            <w:lang w:val="pl-PL"/>
          </w:rPr>
          <w:t>Wykres 34: Model kultury organizacyjnej Partnerstwa – stan obecny i pożądany</w:t>
        </w:r>
        <w:r w:rsidR="009C19BA">
          <w:rPr>
            <w:noProof/>
            <w:webHidden/>
          </w:rPr>
          <w:tab/>
        </w:r>
        <w:r w:rsidR="009C19BA">
          <w:rPr>
            <w:noProof/>
            <w:webHidden/>
          </w:rPr>
          <w:fldChar w:fldCharType="begin"/>
        </w:r>
        <w:r w:rsidR="009C19BA">
          <w:rPr>
            <w:noProof/>
            <w:webHidden/>
          </w:rPr>
          <w:instrText xml:space="preserve"> PAGEREF _Toc69723192 \h </w:instrText>
        </w:r>
        <w:r w:rsidR="009C19BA">
          <w:rPr>
            <w:noProof/>
            <w:webHidden/>
          </w:rPr>
        </w:r>
        <w:r w:rsidR="009C19BA">
          <w:rPr>
            <w:noProof/>
            <w:webHidden/>
          </w:rPr>
          <w:fldChar w:fldCharType="separate"/>
        </w:r>
        <w:r>
          <w:rPr>
            <w:noProof/>
            <w:webHidden/>
          </w:rPr>
          <w:t>88</w:t>
        </w:r>
        <w:r w:rsidR="009C19BA">
          <w:rPr>
            <w:noProof/>
            <w:webHidden/>
          </w:rPr>
          <w:fldChar w:fldCharType="end"/>
        </w:r>
      </w:hyperlink>
    </w:p>
    <w:p w14:paraId="33569BF3" w14:textId="6B8B7FF1" w:rsidR="009C19BA" w:rsidRDefault="00B14787">
      <w:pPr>
        <w:pStyle w:val="Spisilustracji"/>
        <w:tabs>
          <w:tab w:val="right" w:leader="dot" w:pos="8920"/>
        </w:tabs>
        <w:rPr>
          <w:rFonts w:eastAsiaTheme="minorEastAsia"/>
          <w:noProof/>
          <w:sz w:val="22"/>
          <w:lang w:val="pl-PL" w:eastAsia="pl-PL"/>
        </w:rPr>
      </w:pPr>
      <w:hyperlink w:anchor="_Toc69723193" w:history="1">
        <w:r w:rsidR="009C19BA" w:rsidRPr="006A7815">
          <w:rPr>
            <w:rStyle w:val="Hipercze"/>
            <w:noProof/>
            <w:lang w:val="pl-PL"/>
          </w:rPr>
          <w:t>Wykres 35: Wskaźnik rozwoju Partnerstwa- wymiar gospodarczy</w:t>
        </w:r>
        <w:r w:rsidR="009C19BA">
          <w:rPr>
            <w:noProof/>
            <w:webHidden/>
          </w:rPr>
          <w:tab/>
        </w:r>
        <w:r w:rsidR="009C19BA">
          <w:rPr>
            <w:noProof/>
            <w:webHidden/>
          </w:rPr>
          <w:fldChar w:fldCharType="begin"/>
        </w:r>
        <w:r w:rsidR="009C19BA">
          <w:rPr>
            <w:noProof/>
            <w:webHidden/>
          </w:rPr>
          <w:instrText xml:space="preserve"> PAGEREF _Toc69723193 \h </w:instrText>
        </w:r>
        <w:r w:rsidR="009C19BA">
          <w:rPr>
            <w:noProof/>
            <w:webHidden/>
          </w:rPr>
        </w:r>
        <w:r w:rsidR="009C19BA">
          <w:rPr>
            <w:noProof/>
            <w:webHidden/>
          </w:rPr>
          <w:fldChar w:fldCharType="separate"/>
        </w:r>
        <w:r>
          <w:rPr>
            <w:noProof/>
            <w:webHidden/>
          </w:rPr>
          <w:t>93</w:t>
        </w:r>
        <w:r w:rsidR="009C19BA">
          <w:rPr>
            <w:noProof/>
            <w:webHidden/>
          </w:rPr>
          <w:fldChar w:fldCharType="end"/>
        </w:r>
      </w:hyperlink>
    </w:p>
    <w:p w14:paraId="1CA9979D" w14:textId="3179B48E" w:rsidR="009C19BA" w:rsidRDefault="00B14787">
      <w:pPr>
        <w:pStyle w:val="Spisilustracji"/>
        <w:tabs>
          <w:tab w:val="right" w:leader="dot" w:pos="8920"/>
        </w:tabs>
        <w:rPr>
          <w:rFonts w:eastAsiaTheme="minorEastAsia"/>
          <w:noProof/>
          <w:sz w:val="22"/>
          <w:lang w:val="pl-PL" w:eastAsia="pl-PL"/>
        </w:rPr>
      </w:pPr>
      <w:hyperlink w:anchor="_Toc69723194" w:history="1">
        <w:r w:rsidR="009C19BA" w:rsidRPr="006A7815">
          <w:rPr>
            <w:rStyle w:val="Hipercze"/>
            <w:noProof/>
            <w:lang w:val="pl-PL"/>
          </w:rPr>
          <w:t>Wykres 36: Dynamika zmian w obszarach w latach 20115-2019 – wymiar gospodarczy</w:t>
        </w:r>
        <w:r w:rsidR="009C19BA">
          <w:rPr>
            <w:noProof/>
            <w:webHidden/>
          </w:rPr>
          <w:tab/>
        </w:r>
        <w:r w:rsidR="009C19BA">
          <w:rPr>
            <w:noProof/>
            <w:webHidden/>
          </w:rPr>
          <w:fldChar w:fldCharType="begin"/>
        </w:r>
        <w:r w:rsidR="009C19BA">
          <w:rPr>
            <w:noProof/>
            <w:webHidden/>
          </w:rPr>
          <w:instrText xml:space="preserve"> PAGEREF _Toc69723194 \h </w:instrText>
        </w:r>
        <w:r w:rsidR="009C19BA">
          <w:rPr>
            <w:noProof/>
            <w:webHidden/>
          </w:rPr>
        </w:r>
        <w:r w:rsidR="009C19BA">
          <w:rPr>
            <w:noProof/>
            <w:webHidden/>
          </w:rPr>
          <w:fldChar w:fldCharType="separate"/>
        </w:r>
        <w:r>
          <w:rPr>
            <w:noProof/>
            <w:webHidden/>
          </w:rPr>
          <w:t>94</w:t>
        </w:r>
        <w:r w:rsidR="009C19BA">
          <w:rPr>
            <w:noProof/>
            <w:webHidden/>
          </w:rPr>
          <w:fldChar w:fldCharType="end"/>
        </w:r>
      </w:hyperlink>
    </w:p>
    <w:p w14:paraId="312A2FD0" w14:textId="5936073C" w:rsidR="009C19BA" w:rsidRDefault="00B14787">
      <w:pPr>
        <w:pStyle w:val="Spisilustracji"/>
        <w:tabs>
          <w:tab w:val="right" w:leader="dot" w:pos="8920"/>
        </w:tabs>
        <w:rPr>
          <w:rFonts w:eastAsiaTheme="minorEastAsia"/>
          <w:noProof/>
          <w:sz w:val="22"/>
          <w:lang w:val="pl-PL" w:eastAsia="pl-PL"/>
        </w:rPr>
      </w:pPr>
      <w:hyperlink w:anchor="_Toc69723195" w:history="1">
        <w:r w:rsidR="009C19BA" w:rsidRPr="006A7815">
          <w:rPr>
            <w:rStyle w:val="Hipercze"/>
            <w:noProof/>
            <w:lang w:val="pl-PL"/>
          </w:rPr>
          <w:t>Wykres 37: Zmiany liczby podmiotów wpisanych do rejestru REGON na tys. ludności w latach 2010-2019</w:t>
        </w:r>
        <w:r w:rsidR="009C19BA">
          <w:rPr>
            <w:noProof/>
            <w:webHidden/>
          </w:rPr>
          <w:tab/>
        </w:r>
        <w:r w:rsidR="009C19BA">
          <w:rPr>
            <w:noProof/>
            <w:webHidden/>
          </w:rPr>
          <w:fldChar w:fldCharType="begin"/>
        </w:r>
        <w:r w:rsidR="009C19BA">
          <w:rPr>
            <w:noProof/>
            <w:webHidden/>
          </w:rPr>
          <w:instrText xml:space="preserve"> PAGEREF _Toc69723195 \h </w:instrText>
        </w:r>
        <w:r w:rsidR="009C19BA">
          <w:rPr>
            <w:noProof/>
            <w:webHidden/>
          </w:rPr>
        </w:r>
        <w:r w:rsidR="009C19BA">
          <w:rPr>
            <w:noProof/>
            <w:webHidden/>
          </w:rPr>
          <w:fldChar w:fldCharType="separate"/>
        </w:r>
        <w:r>
          <w:rPr>
            <w:noProof/>
            <w:webHidden/>
          </w:rPr>
          <w:t>95</w:t>
        </w:r>
        <w:r w:rsidR="009C19BA">
          <w:rPr>
            <w:noProof/>
            <w:webHidden/>
          </w:rPr>
          <w:fldChar w:fldCharType="end"/>
        </w:r>
      </w:hyperlink>
    </w:p>
    <w:p w14:paraId="3A7906DE" w14:textId="27E94334" w:rsidR="009C19BA" w:rsidRDefault="00B14787">
      <w:pPr>
        <w:pStyle w:val="Spisilustracji"/>
        <w:tabs>
          <w:tab w:val="right" w:leader="dot" w:pos="8920"/>
        </w:tabs>
        <w:rPr>
          <w:rFonts w:eastAsiaTheme="minorEastAsia"/>
          <w:noProof/>
          <w:sz w:val="22"/>
          <w:lang w:val="pl-PL" w:eastAsia="pl-PL"/>
        </w:rPr>
      </w:pPr>
      <w:hyperlink w:anchor="_Toc69723196" w:history="1">
        <w:r w:rsidR="009C19BA" w:rsidRPr="006A7815">
          <w:rPr>
            <w:rStyle w:val="Hipercze"/>
            <w:noProof/>
            <w:lang w:val="pl-PL"/>
          </w:rPr>
          <w:t>Wykres 38: Turystyczne obiekty noclegowe Południowych Mazur na 10 tys ludności w latach 2015-2019</w:t>
        </w:r>
        <w:r w:rsidR="009C19BA">
          <w:rPr>
            <w:noProof/>
            <w:webHidden/>
          </w:rPr>
          <w:tab/>
        </w:r>
        <w:r w:rsidR="009C19BA">
          <w:rPr>
            <w:noProof/>
            <w:webHidden/>
          </w:rPr>
          <w:fldChar w:fldCharType="begin"/>
        </w:r>
        <w:r w:rsidR="009C19BA">
          <w:rPr>
            <w:noProof/>
            <w:webHidden/>
          </w:rPr>
          <w:instrText xml:space="preserve"> PAGEREF _Toc69723196 \h </w:instrText>
        </w:r>
        <w:r w:rsidR="009C19BA">
          <w:rPr>
            <w:noProof/>
            <w:webHidden/>
          </w:rPr>
        </w:r>
        <w:r w:rsidR="009C19BA">
          <w:rPr>
            <w:noProof/>
            <w:webHidden/>
          </w:rPr>
          <w:fldChar w:fldCharType="separate"/>
        </w:r>
        <w:r>
          <w:rPr>
            <w:noProof/>
            <w:webHidden/>
          </w:rPr>
          <w:t>101</w:t>
        </w:r>
        <w:r w:rsidR="009C19BA">
          <w:rPr>
            <w:noProof/>
            <w:webHidden/>
          </w:rPr>
          <w:fldChar w:fldCharType="end"/>
        </w:r>
      </w:hyperlink>
    </w:p>
    <w:p w14:paraId="5009575A" w14:textId="5E03CBB3" w:rsidR="009C19BA" w:rsidRDefault="00B14787">
      <w:pPr>
        <w:pStyle w:val="Spisilustracji"/>
        <w:tabs>
          <w:tab w:val="right" w:leader="dot" w:pos="8920"/>
        </w:tabs>
        <w:rPr>
          <w:rFonts w:eastAsiaTheme="minorEastAsia"/>
          <w:noProof/>
          <w:sz w:val="22"/>
          <w:lang w:val="pl-PL" w:eastAsia="pl-PL"/>
        </w:rPr>
      </w:pPr>
      <w:hyperlink w:anchor="_Toc69723197" w:history="1">
        <w:r w:rsidR="009C19BA" w:rsidRPr="006A7815">
          <w:rPr>
            <w:rStyle w:val="Hipercze"/>
            <w:noProof/>
            <w:lang w:val="pl-PL"/>
          </w:rPr>
          <w:t>Wykres 39: Liczba udzielonych noclegów na obszarze Południowych Mazur w latach 2015-2019</w:t>
        </w:r>
        <w:r w:rsidR="009C19BA">
          <w:rPr>
            <w:noProof/>
            <w:webHidden/>
          </w:rPr>
          <w:tab/>
        </w:r>
        <w:r w:rsidR="009C19BA">
          <w:rPr>
            <w:noProof/>
            <w:webHidden/>
          </w:rPr>
          <w:fldChar w:fldCharType="begin"/>
        </w:r>
        <w:r w:rsidR="009C19BA">
          <w:rPr>
            <w:noProof/>
            <w:webHidden/>
          </w:rPr>
          <w:instrText xml:space="preserve"> PAGEREF _Toc69723197 \h </w:instrText>
        </w:r>
        <w:r w:rsidR="009C19BA">
          <w:rPr>
            <w:noProof/>
            <w:webHidden/>
          </w:rPr>
        </w:r>
        <w:r w:rsidR="009C19BA">
          <w:rPr>
            <w:noProof/>
            <w:webHidden/>
          </w:rPr>
          <w:fldChar w:fldCharType="separate"/>
        </w:r>
        <w:r>
          <w:rPr>
            <w:noProof/>
            <w:webHidden/>
          </w:rPr>
          <w:t>103</w:t>
        </w:r>
        <w:r w:rsidR="009C19BA">
          <w:rPr>
            <w:noProof/>
            <w:webHidden/>
          </w:rPr>
          <w:fldChar w:fldCharType="end"/>
        </w:r>
      </w:hyperlink>
    </w:p>
    <w:p w14:paraId="1168F655" w14:textId="4DEAE647" w:rsidR="009C19BA" w:rsidRDefault="00B14787">
      <w:pPr>
        <w:pStyle w:val="Spisilustracji"/>
        <w:tabs>
          <w:tab w:val="right" w:leader="dot" w:pos="8920"/>
        </w:tabs>
        <w:rPr>
          <w:rFonts w:eastAsiaTheme="minorEastAsia"/>
          <w:noProof/>
          <w:sz w:val="22"/>
          <w:lang w:val="pl-PL" w:eastAsia="pl-PL"/>
        </w:rPr>
      </w:pPr>
      <w:hyperlink w:anchor="_Toc69723198" w:history="1">
        <w:r w:rsidR="009C19BA" w:rsidRPr="006A7815">
          <w:rPr>
            <w:rStyle w:val="Hipercze"/>
            <w:noProof/>
            <w:lang w:val="pl-PL"/>
          </w:rPr>
          <w:t>Wykres 40: Stopień wykorzystania miejsc noclegowych w PM i powiatach (w %)</w:t>
        </w:r>
        <w:r w:rsidR="009C19BA">
          <w:rPr>
            <w:noProof/>
            <w:webHidden/>
          </w:rPr>
          <w:tab/>
        </w:r>
        <w:r w:rsidR="009C19BA">
          <w:rPr>
            <w:noProof/>
            <w:webHidden/>
          </w:rPr>
          <w:fldChar w:fldCharType="begin"/>
        </w:r>
        <w:r w:rsidR="009C19BA">
          <w:rPr>
            <w:noProof/>
            <w:webHidden/>
          </w:rPr>
          <w:instrText xml:space="preserve"> PAGEREF _Toc69723198 \h </w:instrText>
        </w:r>
        <w:r w:rsidR="009C19BA">
          <w:rPr>
            <w:noProof/>
            <w:webHidden/>
          </w:rPr>
        </w:r>
        <w:r w:rsidR="009C19BA">
          <w:rPr>
            <w:noProof/>
            <w:webHidden/>
          </w:rPr>
          <w:fldChar w:fldCharType="separate"/>
        </w:r>
        <w:r>
          <w:rPr>
            <w:noProof/>
            <w:webHidden/>
          </w:rPr>
          <w:t>103</w:t>
        </w:r>
        <w:r w:rsidR="009C19BA">
          <w:rPr>
            <w:noProof/>
            <w:webHidden/>
          </w:rPr>
          <w:fldChar w:fldCharType="end"/>
        </w:r>
      </w:hyperlink>
    </w:p>
    <w:p w14:paraId="02BEDE2B" w14:textId="0BE4725B" w:rsidR="009C19BA" w:rsidRDefault="00B14787">
      <w:pPr>
        <w:pStyle w:val="Spisilustracji"/>
        <w:tabs>
          <w:tab w:val="right" w:leader="dot" w:pos="8920"/>
        </w:tabs>
        <w:rPr>
          <w:rFonts w:eastAsiaTheme="minorEastAsia"/>
          <w:noProof/>
          <w:sz w:val="22"/>
          <w:lang w:val="pl-PL" w:eastAsia="pl-PL"/>
        </w:rPr>
      </w:pPr>
      <w:hyperlink w:anchor="_Toc69723199" w:history="1">
        <w:r w:rsidR="009C19BA" w:rsidRPr="006A7815">
          <w:rPr>
            <w:rStyle w:val="Hipercze"/>
            <w:noProof/>
            <w:lang w:val="pl-PL"/>
          </w:rPr>
          <w:t>Wykres 41: Produkcyjne grupy wieku mieszkańców Południowych Mazur w latach 2009-2019</w:t>
        </w:r>
        <w:r w:rsidR="009C19BA">
          <w:rPr>
            <w:noProof/>
            <w:webHidden/>
          </w:rPr>
          <w:tab/>
        </w:r>
        <w:r w:rsidR="009C19BA">
          <w:rPr>
            <w:noProof/>
            <w:webHidden/>
          </w:rPr>
          <w:fldChar w:fldCharType="begin"/>
        </w:r>
        <w:r w:rsidR="009C19BA">
          <w:rPr>
            <w:noProof/>
            <w:webHidden/>
          </w:rPr>
          <w:instrText xml:space="preserve"> PAGEREF _Toc69723199 \h </w:instrText>
        </w:r>
        <w:r w:rsidR="009C19BA">
          <w:rPr>
            <w:noProof/>
            <w:webHidden/>
          </w:rPr>
        </w:r>
        <w:r w:rsidR="009C19BA">
          <w:rPr>
            <w:noProof/>
            <w:webHidden/>
          </w:rPr>
          <w:fldChar w:fldCharType="separate"/>
        </w:r>
        <w:r>
          <w:rPr>
            <w:noProof/>
            <w:webHidden/>
          </w:rPr>
          <w:t>107</w:t>
        </w:r>
        <w:r w:rsidR="009C19BA">
          <w:rPr>
            <w:noProof/>
            <w:webHidden/>
          </w:rPr>
          <w:fldChar w:fldCharType="end"/>
        </w:r>
      </w:hyperlink>
    </w:p>
    <w:p w14:paraId="6F5DCF71" w14:textId="6E405E06" w:rsidR="009C19BA" w:rsidRDefault="00B14787">
      <w:pPr>
        <w:pStyle w:val="Spisilustracji"/>
        <w:tabs>
          <w:tab w:val="right" w:leader="dot" w:pos="8920"/>
        </w:tabs>
        <w:rPr>
          <w:rFonts w:eastAsiaTheme="minorEastAsia"/>
          <w:noProof/>
          <w:sz w:val="22"/>
          <w:lang w:val="pl-PL" w:eastAsia="pl-PL"/>
        </w:rPr>
      </w:pPr>
      <w:hyperlink w:anchor="_Toc69723200" w:history="1">
        <w:r w:rsidR="009C19BA" w:rsidRPr="006A7815">
          <w:rPr>
            <w:rStyle w:val="Hipercze"/>
            <w:noProof/>
            <w:lang w:val="pl-PL"/>
          </w:rPr>
          <w:t>Wykres 42: Zastępowalność pokoleń na rynku pracy Południowych Mazur</w:t>
        </w:r>
        <w:r w:rsidR="009C19BA">
          <w:rPr>
            <w:noProof/>
            <w:webHidden/>
          </w:rPr>
          <w:tab/>
        </w:r>
        <w:r w:rsidR="009C19BA">
          <w:rPr>
            <w:noProof/>
            <w:webHidden/>
          </w:rPr>
          <w:fldChar w:fldCharType="begin"/>
        </w:r>
        <w:r w:rsidR="009C19BA">
          <w:rPr>
            <w:noProof/>
            <w:webHidden/>
          </w:rPr>
          <w:instrText xml:space="preserve"> PAGEREF _Toc69723200 \h </w:instrText>
        </w:r>
        <w:r w:rsidR="009C19BA">
          <w:rPr>
            <w:noProof/>
            <w:webHidden/>
          </w:rPr>
        </w:r>
        <w:r w:rsidR="009C19BA">
          <w:rPr>
            <w:noProof/>
            <w:webHidden/>
          </w:rPr>
          <w:fldChar w:fldCharType="separate"/>
        </w:r>
        <w:r>
          <w:rPr>
            <w:noProof/>
            <w:webHidden/>
          </w:rPr>
          <w:t>110</w:t>
        </w:r>
        <w:r w:rsidR="009C19BA">
          <w:rPr>
            <w:noProof/>
            <w:webHidden/>
          </w:rPr>
          <w:fldChar w:fldCharType="end"/>
        </w:r>
      </w:hyperlink>
    </w:p>
    <w:p w14:paraId="7CEC0840" w14:textId="15E524AD" w:rsidR="009C19BA" w:rsidRDefault="00B14787">
      <w:pPr>
        <w:pStyle w:val="Spisilustracji"/>
        <w:tabs>
          <w:tab w:val="right" w:leader="dot" w:pos="8920"/>
        </w:tabs>
        <w:rPr>
          <w:rFonts w:eastAsiaTheme="minorEastAsia"/>
          <w:noProof/>
          <w:sz w:val="22"/>
          <w:lang w:val="pl-PL" w:eastAsia="pl-PL"/>
        </w:rPr>
      </w:pPr>
      <w:hyperlink w:anchor="_Toc69723201" w:history="1">
        <w:r w:rsidR="009C19BA" w:rsidRPr="006A7815">
          <w:rPr>
            <w:rStyle w:val="Hipercze"/>
            <w:noProof/>
            <w:lang w:val="pl-PL"/>
          </w:rPr>
          <w:t xml:space="preserve">Wykres 43: </w:t>
        </w:r>
        <w:r w:rsidR="009C19BA" w:rsidRPr="006A7815">
          <w:rPr>
            <w:rStyle w:val="Hipercze"/>
            <w:rFonts w:cstheme="minorHAnsi"/>
            <w:noProof/>
            <w:lang w:val="pl-PL"/>
          </w:rPr>
          <w:t>Pracujący w Południowych Mazurach na 1 tys. mieszkańców w latach 2009-2019</w:t>
        </w:r>
        <w:r w:rsidR="009C19BA">
          <w:rPr>
            <w:noProof/>
            <w:webHidden/>
          </w:rPr>
          <w:tab/>
        </w:r>
        <w:r w:rsidR="009C19BA">
          <w:rPr>
            <w:noProof/>
            <w:webHidden/>
          </w:rPr>
          <w:fldChar w:fldCharType="begin"/>
        </w:r>
        <w:r w:rsidR="009C19BA">
          <w:rPr>
            <w:noProof/>
            <w:webHidden/>
          </w:rPr>
          <w:instrText xml:space="preserve"> PAGEREF _Toc69723201 \h </w:instrText>
        </w:r>
        <w:r w:rsidR="009C19BA">
          <w:rPr>
            <w:noProof/>
            <w:webHidden/>
          </w:rPr>
        </w:r>
        <w:r w:rsidR="009C19BA">
          <w:rPr>
            <w:noProof/>
            <w:webHidden/>
          </w:rPr>
          <w:fldChar w:fldCharType="separate"/>
        </w:r>
        <w:r>
          <w:rPr>
            <w:noProof/>
            <w:webHidden/>
          </w:rPr>
          <w:t>113</w:t>
        </w:r>
        <w:r w:rsidR="009C19BA">
          <w:rPr>
            <w:noProof/>
            <w:webHidden/>
          </w:rPr>
          <w:fldChar w:fldCharType="end"/>
        </w:r>
      </w:hyperlink>
    </w:p>
    <w:p w14:paraId="06058D3E" w14:textId="36A13147" w:rsidR="009C19BA" w:rsidRDefault="00B14787">
      <w:pPr>
        <w:pStyle w:val="Spisilustracji"/>
        <w:tabs>
          <w:tab w:val="right" w:leader="dot" w:pos="8920"/>
        </w:tabs>
        <w:rPr>
          <w:rFonts w:eastAsiaTheme="minorEastAsia"/>
          <w:noProof/>
          <w:sz w:val="22"/>
          <w:lang w:val="pl-PL" w:eastAsia="pl-PL"/>
        </w:rPr>
      </w:pPr>
      <w:hyperlink w:anchor="_Toc69723202" w:history="1">
        <w:r w:rsidR="009C19BA" w:rsidRPr="006A7815">
          <w:rPr>
            <w:rStyle w:val="Hipercze"/>
            <w:noProof/>
            <w:lang w:val="pl-PL"/>
          </w:rPr>
          <w:t>Wykres 44: Zatrudnienie na terenie Południowych Mazur według klas PKD w 2019 r.</w:t>
        </w:r>
        <w:r w:rsidR="009C19BA">
          <w:rPr>
            <w:noProof/>
            <w:webHidden/>
          </w:rPr>
          <w:tab/>
        </w:r>
        <w:r w:rsidR="009C19BA">
          <w:rPr>
            <w:noProof/>
            <w:webHidden/>
          </w:rPr>
          <w:fldChar w:fldCharType="begin"/>
        </w:r>
        <w:r w:rsidR="009C19BA">
          <w:rPr>
            <w:noProof/>
            <w:webHidden/>
          </w:rPr>
          <w:instrText xml:space="preserve"> PAGEREF _Toc69723202 \h </w:instrText>
        </w:r>
        <w:r w:rsidR="009C19BA">
          <w:rPr>
            <w:noProof/>
            <w:webHidden/>
          </w:rPr>
        </w:r>
        <w:r w:rsidR="009C19BA">
          <w:rPr>
            <w:noProof/>
            <w:webHidden/>
          </w:rPr>
          <w:fldChar w:fldCharType="separate"/>
        </w:r>
        <w:r>
          <w:rPr>
            <w:noProof/>
            <w:webHidden/>
          </w:rPr>
          <w:t>113</w:t>
        </w:r>
        <w:r w:rsidR="009C19BA">
          <w:rPr>
            <w:noProof/>
            <w:webHidden/>
          </w:rPr>
          <w:fldChar w:fldCharType="end"/>
        </w:r>
      </w:hyperlink>
    </w:p>
    <w:p w14:paraId="1E083F18" w14:textId="3636E519" w:rsidR="009C19BA" w:rsidRDefault="00B14787">
      <w:pPr>
        <w:pStyle w:val="Spisilustracji"/>
        <w:tabs>
          <w:tab w:val="right" w:leader="dot" w:pos="8920"/>
        </w:tabs>
        <w:rPr>
          <w:rFonts w:eastAsiaTheme="minorEastAsia"/>
          <w:noProof/>
          <w:sz w:val="22"/>
          <w:lang w:val="pl-PL" w:eastAsia="pl-PL"/>
        </w:rPr>
      </w:pPr>
      <w:hyperlink w:anchor="_Toc69723203" w:history="1">
        <w:r w:rsidR="009C19BA" w:rsidRPr="006A7815">
          <w:rPr>
            <w:rStyle w:val="Hipercze"/>
            <w:noProof/>
            <w:lang w:val="pl-PL"/>
          </w:rPr>
          <w:t>Wykres 45: Dochody budżetu gmin Południowych Mazur według rodzaju wpływów</w:t>
        </w:r>
        <w:r w:rsidR="009C19BA">
          <w:rPr>
            <w:noProof/>
            <w:webHidden/>
          </w:rPr>
          <w:tab/>
        </w:r>
        <w:r w:rsidR="009C19BA">
          <w:rPr>
            <w:noProof/>
            <w:webHidden/>
          </w:rPr>
          <w:fldChar w:fldCharType="begin"/>
        </w:r>
        <w:r w:rsidR="009C19BA">
          <w:rPr>
            <w:noProof/>
            <w:webHidden/>
          </w:rPr>
          <w:instrText xml:space="preserve"> PAGEREF _Toc69723203 \h </w:instrText>
        </w:r>
        <w:r w:rsidR="009C19BA">
          <w:rPr>
            <w:noProof/>
            <w:webHidden/>
          </w:rPr>
        </w:r>
        <w:r w:rsidR="009C19BA">
          <w:rPr>
            <w:noProof/>
            <w:webHidden/>
          </w:rPr>
          <w:fldChar w:fldCharType="separate"/>
        </w:r>
        <w:r>
          <w:rPr>
            <w:noProof/>
            <w:webHidden/>
          </w:rPr>
          <w:t>117</w:t>
        </w:r>
        <w:r w:rsidR="009C19BA">
          <w:rPr>
            <w:noProof/>
            <w:webHidden/>
          </w:rPr>
          <w:fldChar w:fldCharType="end"/>
        </w:r>
      </w:hyperlink>
    </w:p>
    <w:p w14:paraId="3D693EB5" w14:textId="640F4C31" w:rsidR="009C19BA" w:rsidRDefault="00B14787">
      <w:pPr>
        <w:pStyle w:val="Spisilustracji"/>
        <w:tabs>
          <w:tab w:val="right" w:leader="dot" w:pos="8920"/>
        </w:tabs>
        <w:rPr>
          <w:rFonts w:eastAsiaTheme="minorEastAsia"/>
          <w:noProof/>
          <w:sz w:val="22"/>
          <w:lang w:val="pl-PL" w:eastAsia="pl-PL"/>
        </w:rPr>
      </w:pPr>
      <w:hyperlink w:anchor="_Toc69723204" w:history="1">
        <w:r w:rsidR="009C19BA" w:rsidRPr="006A7815">
          <w:rPr>
            <w:rStyle w:val="Hipercze"/>
            <w:noProof/>
            <w:lang w:val="pl-PL"/>
          </w:rPr>
          <w:t>Wykres 46: Potencjał ekonomiczny mieszkańców Południowych Mazur w latach2009-2019 – wskaźniki</w:t>
        </w:r>
        <w:r w:rsidR="009C19BA">
          <w:rPr>
            <w:noProof/>
            <w:webHidden/>
          </w:rPr>
          <w:tab/>
        </w:r>
        <w:r w:rsidR="009C19BA">
          <w:rPr>
            <w:noProof/>
            <w:webHidden/>
          </w:rPr>
          <w:fldChar w:fldCharType="begin"/>
        </w:r>
        <w:r w:rsidR="009C19BA">
          <w:rPr>
            <w:noProof/>
            <w:webHidden/>
          </w:rPr>
          <w:instrText xml:space="preserve"> PAGEREF _Toc69723204 \h </w:instrText>
        </w:r>
        <w:r w:rsidR="009C19BA">
          <w:rPr>
            <w:noProof/>
            <w:webHidden/>
          </w:rPr>
        </w:r>
        <w:r w:rsidR="009C19BA">
          <w:rPr>
            <w:noProof/>
            <w:webHidden/>
          </w:rPr>
          <w:fldChar w:fldCharType="separate"/>
        </w:r>
        <w:r>
          <w:rPr>
            <w:noProof/>
            <w:webHidden/>
          </w:rPr>
          <w:t>117</w:t>
        </w:r>
        <w:r w:rsidR="009C19BA">
          <w:rPr>
            <w:noProof/>
            <w:webHidden/>
          </w:rPr>
          <w:fldChar w:fldCharType="end"/>
        </w:r>
      </w:hyperlink>
    </w:p>
    <w:p w14:paraId="09976812" w14:textId="00AC65BC" w:rsidR="009C19BA" w:rsidRDefault="00B14787">
      <w:pPr>
        <w:pStyle w:val="Spisilustracji"/>
        <w:tabs>
          <w:tab w:val="right" w:leader="dot" w:pos="8920"/>
        </w:tabs>
        <w:rPr>
          <w:rFonts w:eastAsiaTheme="minorEastAsia"/>
          <w:noProof/>
          <w:sz w:val="22"/>
          <w:lang w:val="pl-PL" w:eastAsia="pl-PL"/>
        </w:rPr>
      </w:pPr>
      <w:hyperlink w:anchor="_Toc69723205" w:history="1">
        <w:r w:rsidR="009C19BA" w:rsidRPr="006A7815">
          <w:rPr>
            <w:rStyle w:val="Hipercze"/>
            <w:noProof/>
            <w:lang w:val="pl-PL"/>
          </w:rPr>
          <w:t>Wykres 47: Relacja kwoty zadłużenia do dochodów ogółem w latach 2015-2019 (w%)</w:t>
        </w:r>
        <w:r w:rsidR="009C19BA">
          <w:rPr>
            <w:noProof/>
            <w:webHidden/>
          </w:rPr>
          <w:tab/>
        </w:r>
        <w:r w:rsidR="009C19BA">
          <w:rPr>
            <w:noProof/>
            <w:webHidden/>
          </w:rPr>
          <w:fldChar w:fldCharType="begin"/>
        </w:r>
        <w:r w:rsidR="009C19BA">
          <w:rPr>
            <w:noProof/>
            <w:webHidden/>
          </w:rPr>
          <w:instrText xml:space="preserve"> PAGEREF _Toc69723205 \h </w:instrText>
        </w:r>
        <w:r w:rsidR="009C19BA">
          <w:rPr>
            <w:noProof/>
            <w:webHidden/>
          </w:rPr>
        </w:r>
        <w:r w:rsidR="009C19BA">
          <w:rPr>
            <w:noProof/>
            <w:webHidden/>
          </w:rPr>
          <w:fldChar w:fldCharType="separate"/>
        </w:r>
        <w:r>
          <w:rPr>
            <w:noProof/>
            <w:webHidden/>
          </w:rPr>
          <w:t>121</w:t>
        </w:r>
        <w:r w:rsidR="009C19BA">
          <w:rPr>
            <w:noProof/>
            <w:webHidden/>
          </w:rPr>
          <w:fldChar w:fldCharType="end"/>
        </w:r>
      </w:hyperlink>
    </w:p>
    <w:p w14:paraId="10802481" w14:textId="4AC8C3ED" w:rsidR="009C19BA" w:rsidRDefault="00B14787">
      <w:pPr>
        <w:pStyle w:val="Spisilustracji"/>
        <w:tabs>
          <w:tab w:val="right" w:leader="dot" w:pos="8920"/>
        </w:tabs>
        <w:rPr>
          <w:rFonts w:eastAsiaTheme="minorEastAsia"/>
          <w:noProof/>
          <w:sz w:val="22"/>
          <w:lang w:val="pl-PL" w:eastAsia="pl-PL"/>
        </w:rPr>
      </w:pPr>
      <w:hyperlink w:anchor="_Toc69723206" w:history="1">
        <w:r w:rsidR="009C19BA" w:rsidRPr="006A7815">
          <w:rPr>
            <w:rStyle w:val="Hipercze"/>
            <w:noProof/>
            <w:lang w:val="pl-PL"/>
          </w:rPr>
          <w:t>Wykres 48: Relacja kwoty nadwyżki operacyjnej do kwoty dochodów bieżących i relacja kwoty nadwyżki operacyjnej netto pomniejszonej o spłaty długu do dochodów bieżących w latach 2015-2019</w:t>
        </w:r>
        <w:r w:rsidR="009C19BA">
          <w:rPr>
            <w:noProof/>
            <w:webHidden/>
          </w:rPr>
          <w:tab/>
        </w:r>
        <w:r w:rsidR="009C19BA">
          <w:rPr>
            <w:noProof/>
            <w:webHidden/>
          </w:rPr>
          <w:fldChar w:fldCharType="begin"/>
        </w:r>
        <w:r w:rsidR="009C19BA">
          <w:rPr>
            <w:noProof/>
            <w:webHidden/>
          </w:rPr>
          <w:instrText xml:space="preserve"> PAGEREF _Toc69723206 \h </w:instrText>
        </w:r>
        <w:r w:rsidR="009C19BA">
          <w:rPr>
            <w:noProof/>
            <w:webHidden/>
          </w:rPr>
        </w:r>
        <w:r w:rsidR="009C19BA">
          <w:rPr>
            <w:noProof/>
            <w:webHidden/>
          </w:rPr>
          <w:fldChar w:fldCharType="separate"/>
        </w:r>
        <w:r>
          <w:rPr>
            <w:noProof/>
            <w:webHidden/>
          </w:rPr>
          <w:t>127</w:t>
        </w:r>
        <w:r w:rsidR="009C19BA">
          <w:rPr>
            <w:noProof/>
            <w:webHidden/>
          </w:rPr>
          <w:fldChar w:fldCharType="end"/>
        </w:r>
      </w:hyperlink>
    </w:p>
    <w:p w14:paraId="1F05118D" w14:textId="59D2EA56" w:rsidR="009C19BA" w:rsidRDefault="00B14787">
      <w:pPr>
        <w:pStyle w:val="Spisilustracji"/>
        <w:tabs>
          <w:tab w:val="right" w:leader="dot" w:pos="8920"/>
        </w:tabs>
        <w:rPr>
          <w:rFonts w:eastAsiaTheme="minorEastAsia"/>
          <w:noProof/>
          <w:sz w:val="22"/>
          <w:lang w:val="pl-PL" w:eastAsia="pl-PL"/>
        </w:rPr>
      </w:pPr>
      <w:hyperlink w:anchor="_Toc69723207" w:history="1">
        <w:r w:rsidR="009C19BA" w:rsidRPr="006A7815">
          <w:rPr>
            <w:rStyle w:val="Hipercze"/>
            <w:noProof/>
            <w:lang w:val="pl-PL"/>
          </w:rPr>
          <w:t>Wykres 49: Wskaźnik rozwoju Partnerstwa- wymiar środowiskowo-przestrzenny</w:t>
        </w:r>
        <w:r w:rsidR="009C19BA">
          <w:rPr>
            <w:noProof/>
            <w:webHidden/>
          </w:rPr>
          <w:tab/>
        </w:r>
        <w:r w:rsidR="009C19BA">
          <w:rPr>
            <w:noProof/>
            <w:webHidden/>
          </w:rPr>
          <w:fldChar w:fldCharType="begin"/>
        </w:r>
        <w:r w:rsidR="009C19BA">
          <w:rPr>
            <w:noProof/>
            <w:webHidden/>
          </w:rPr>
          <w:instrText xml:space="preserve"> PAGEREF _Toc69723207 \h </w:instrText>
        </w:r>
        <w:r w:rsidR="009C19BA">
          <w:rPr>
            <w:noProof/>
            <w:webHidden/>
          </w:rPr>
        </w:r>
        <w:r w:rsidR="009C19BA">
          <w:rPr>
            <w:noProof/>
            <w:webHidden/>
          </w:rPr>
          <w:fldChar w:fldCharType="separate"/>
        </w:r>
        <w:r>
          <w:rPr>
            <w:noProof/>
            <w:webHidden/>
          </w:rPr>
          <w:t>130</w:t>
        </w:r>
        <w:r w:rsidR="009C19BA">
          <w:rPr>
            <w:noProof/>
            <w:webHidden/>
          </w:rPr>
          <w:fldChar w:fldCharType="end"/>
        </w:r>
      </w:hyperlink>
    </w:p>
    <w:p w14:paraId="207F19E7" w14:textId="07ED3C4F" w:rsidR="009C19BA" w:rsidRDefault="00B14787">
      <w:pPr>
        <w:pStyle w:val="Spisilustracji"/>
        <w:tabs>
          <w:tab w:val="right" w:leader="dot" w:pos="8920"/>
        </w:tabs>
        <w:rPr>
          <w:rFonts w:eastAsiaTheme="minorEastAsia"/>
          <w:noProof/>
          <w:sz w:val="22"/>
          <w:lang w:val="pl-PL" w:eastAsia="pl-PL"/>
        </w:rPr>
      </w:pPr>
      <w:hyperlink w:anchor="_Toc69723208" w:history="1">
        <w:r w:rsidR="009C19BA" w:rsidRPr="006A7815">
          <w:rPr>
            <w:rStyle w:val="Hipercze"/>
            <w:noProof/>
            <w:lang w:val="pl-PL"/>
          </w:rPr>
          <w:t xml:space="preserve">Wykres 50: </w:t>
        </w:r>
        <w:r w:rsidR="009C19BA" w:rsidRPr="006A7815">
          <w:rPr>
            <w:rStyle w:val="Hipercze"/>
            <w:rFonts w:cstheme="minorHAnsi"/>
            <w:noProof/>
            <w:lang w:val="pl-PL"/>
          </w:rPr>
          <w:t xml:space="preserve">Dynamika zmian w obszarach w latach 2015-2019 </w:t>
        </w:r>
        <w:r w:rsidR="009C19BA" w:rsidRPr="006A7815">
          <w:rPr>
            <w:rStyle w:val="Hipercze"/>
            <w:noProof/>
            <w:lang w:val="pl-PL"/>
          </w:rPr>
          <w:t>– wymiar środowiskowo-przestrzenny</w:t>
        </w:r>
        <w:r w:rsidR="009C19BA">
          <w:rPr>
            <w:noProof/>
            <w:webHidden/>
          </w:rPr>
          <w:tab/>
        </w:r>
        <w:r w:rsidR="009C19BA">
          <w:rPr>
            <w:noProof/>
            <w:webHidden/>
          </w:rPr>
          <w:fldChar w:fldCharType="begin"/>
        </w:r>
        <w:r w:rsidR="009C19BA">
          <w:rPr>
            <w:noProof/>
            <w:webHidden/>
          </w:rPr>
          <w:instrText xml:space="preserve"> PAGEREF _Toc69723208 \h </w:instrText>
        </w:r>
        <w:r w:rsidR="009C19BA">
          <w:rPr>
            <w:noProof/>
            <w:webHidden/>
          </w:rPr>
        </w:r>
        <w:r w:rsidR="009C19BA">
          <w:rPr>
            <w:noProof/>
            <w:webHidden/>
          </w:rPr>
          <w:fldChar w:fldCharType="separate"/>
        </w:r>
        <w:r>
          <w:rPr>
            <w:noProof/>
            <w:webHidden/>
          </w:rPr>
          <w:t>131</w:t>
        </w:r>
        <w:r w:rsidR="009C19BA">
          <w:rPr>
            <w:noProof/>
            <w:webHidden/>
          </w:rPr>
          <w:fldChar w:fldCharType="end"/>
        </w:r>
      </w:hyperlink>
    </w:p>
    <w:p w14:paraId="471177ED" w14:textId="4D3C9B50" w:rsidR="009C19BA" w:rsidRDefault="00B14787">
      <w:pPr>
        <w:pStyle w:val="Spisilustracji"/>
        <w:tabs>
          <w:tab w:val="right" w:leader="dot" w:pos="8920"/>
        </w:tabs>
        <w:rPr>
          <w:rFonts w:eastAsiaTheme="minorEastAsia"/>
          <w:noProof/>
          <w:sz w:val="22"/>
          <w:lang w:val="pl-PL" w:eastAsia="pl-PL"/>
        </w:rPr>
      </w:pPr>
      <w:hyperlink w:anchor="_Toc69723209" w:history="1">
        <w:r w:rsidR="009C19BA" w:rsidRPr="006A7815">
          <w:rPr>
            <w:rStyle w:val="Hipercze"/>
            <w:noProof/>
            <w:lang w:val="pl-PL"/>
          </w:rPr>
          <w:t>Wykres 51: Klasyfikacja gruntów</w:t>
        </w:r>
        <w:r w:rsidR="009C19BA">
          <w:rPr>
            <w:noProof/>
            <w:webHidden/>
          </w:rPr>
          <w:tab/>
        </w:r>
        <w:r w:rsidR="009C19BA">
          <w:rPr>
            <w:noProof/>
            <w:webHidden/>
          </w:rPr>
          <w:fldChar w:fldCharType="begin"/>
        </w:r>
        <w:r w:rsidR="009C19BA">
          <w:rPr>
            <w:noProof/>
            <w:webHidden/>
          </w:rPr>
          <w:instrText xml:space="preserve"> PAGEREF _Toc69723209 \h </w:instrText>
        </w:r>
        <w:r w:rsidR="009C19BA">
          <w:rPr>
            <w:noProof/>
            <w:webHidden/>
          </w:rPr>
        </w:r>
        <w:r w:rsidR="009C19BA">
          <w:rPr>
            <w:noProof/>
            <w:webHidden/>
          </w:rPr>
          <w:fldChar w:fldCharType="separate"/>
        </w:r>
        <w:r>
          <w:rPr>
            <w:noProof/>
            <w:webHidden/>
          </w:rPr>
          <w:t>132</w:t>
        </w:r>
        <w:r w:rsidR="009C19BA">
          <w:rPr>
            <w:noProof/>
            <w:webHidden/>
          </w:rPr>
          <w:fldChar w:fldCharType="end"/>
        </w:r>
      </w:hyperlink>
    </w:p>
    <w:p w14:paraId="0432A41B" w14:textId="1FC24939" w:rsidR="009C19BA" w:rsidRDefault="00B14787">
      <w:pPr>
        <w:pStyle w:val="Spisilustracji"/>
        <w:tabs>
          <w:tab w:val="right" w:leader="dot" w:pos="8920"/>
        </w:tabs>
        <w:rPr>
          <w:rFonts w:eastAsiaTheme="minorEastAsia"/>
          <w:noProof/>
          <w:sz w:val="22"/>
          <w:lang w:val="pl-PL" w:eastAsia="pl-PL"/>
        </w:rPr>
      </w:pPr>
      <w:hyperlink w:anchor="_Toc69723210" w:history="1">
        <w:r w:rsidR="009C19BA" w:rsidRPr="006A7815">
          <w:rPr>
            <w:rStyle w:val="Hipercze"/>
            <w:noProof/>
            <w:lang w:val="pl-PL"/>
          </w:rPr>
          <w:t>Wykres 52: Emisja zanieczyszczeń gazowych na terenie Południowych Mazur w latach 2012-2019 (w tonach)</w:t>
        </w:r>
        <w:r w:rsidR="009C19BA">
          <w:rPr>
            <w:noProof/>
            <w:webHidden/>
          </w:rPr>
          <w:tab/>
        </w:r>
        <w:r w:rsidR="009C19BA">
          <w:rPr>
            <w:noProof/>
            <w:webHidden/>
          </w:rPr>
          <w:fldChar w:fldCharType="begin"/>
        </w:r>
        <w:r w:rsidR="009C19BA">
          <w:rPr>
            <w:noProof/>
            <w:webHidden/>
          </w:rPr>
          <w:instrText xml:space="preserve"> PAGEREF _Toc69723210 \h </w:instrText>
        </w:r>
        <w:r w:rsidR="009C19BA">
          <w:rPr>
            <w:noProof/>
            <w:webHidden/>
          </w:rPr>
        </w:r>
        <w:r w:rsidR="009C19BA">
          <w:rPr>
            <w:noProof/>
            <w:webHidden/>
          </w:rPr>
          <w:fldChar w:fldCharType="separate"/>
        </w:r>
        <w:r>
          <w:rPr>
            <w:noProof/>
            <w:webHidden/>
          </w:rPr>
          <w:t>139</w:t>
        </w:r>
        <w:r w:rsidR="009C19BA">
          <w:rPr>
            <w:noProof/>
            <w:webHidden/>
          </w:rPr>
          <w:fldChar w:fldCharType="end"/>
        </w:r>
      </w:hyperlink>
    </w:p>
    <w:p w14:paraId="25CE4D97" w14:textId="346A3A09" w:rsidR="009C19BA" w:rsidRDefault="00B14787">
      <w:pPr>
        <w:pStyle w:val="Spisilustracji"/>
        <w:tabs>
          <w:tab w:val="right" w:leader="dot" w:pos="8920"/>
        </w:tabs>
        <w:rPr>
          <w:rFonts w:eastAsiaTheme="minorEastAsia"/>
          <w:noProof/>
          <w:sz w:val="22"/>
          <w:lang w:val="pl-PL" w:eastAsia="pl-PL"/>
        </w:rPr>
      </w:pPr>
      <w:hyperlink w:anchor="_Toc69723211" w:history="1">
        <w:r w:rsidR="009C19BA" w:rsidRPr="006A7815">
          <w:rPr>
            <w:rStyle w:val="Hipercze"/>
            <w:noProof/>
            <w:lang w:val="pl-PL"/>
          </w:rPr>
          <w:t>Wykres 53: Emisja zanieczyszczeń pyłowych na terenie Południowych Mazur w latach 2012-2019 (w tonach)</w:t>
        </w:r>
        <w:r w:rsidR="009C19BA">
          <w:rPr>
            <w:noProof/>
            <w:webHidden/>
          </w:rPr>
          <w:tab/>
        </w:r>
        <w:r w:rsidR="009C19BA">
          <w:rPr>
            <w:noProof/>
            <w:webHidden/>
          </w:rPr>
          <w:fldChar w:fldCharType="begin"/>
        </w:r>
        <w:r w:rsidR="009C19BA">
          <w:rPr>
            <w:noProof/>
            <w:webHidden/>
          </w:rPr>
          <w:instrText xml:space="preserve"> PAGEREF _Toc69723211 \h </w:instrText>
        </w:r>
        <w:r w:rsidR="009C19BA">
          <w:rPr>
            <w:noProof/>
            <w:webHidden/>
          </w:rPr>
        </w:r>
        <w:r w:rsidR="009C19BA">
          <w:rPr>
            <w:noProof/>
            <w:webHidden/>
          </w:rPr>
          <w:fldChar w:fldCharType="separate"/>
        </w:r>
        <w:r>
          <w:rPr>
            <w:noProof/>
            <w:webHidden/>
          </w:rPr>
          <w:t>140</w:t>
        </w:r>
        <w:r w:rsidR="009C19BA">
          <w:rPr>
            <w:noProof/>
            <w:webHidden/>
          </w:rPr>
          <w:fldChar w:fldCharType="end"/>
        </w:r>
      </w:hyperlink>
    </w:p>
    <w:p w14:paraId="76837304" w14:textId="2FE06743" w:rsidR="009C19BA" w:rsidRDefault="00B14787">
      <w:pPr>
        <w:pStyle w:val="Spisilustracji"/>
        <w:tabs>
          <w:tab w:val="right" w:leader="dot" w:pos="8920"/>
        </w:tabs>
        <w:rPr>
          <w:rFonts w:eastAsiaTheme="minorEastAsia"/>
          <w:noProof/>
          <w:sz w:val="22"/>
          <w:lang w:val="pl-PL" w:eastAsia="pl-PL"/>
        </w:rPr>
      </w:pPr>
      <w:hyperlink w:anchor="_Toc69723212" w:history="1">
        <w:r w:rsidR="009C19BA" w:rsidRPr="006A7815">
          <w:rPr>
            <w:rStyle w:val="Hipercze"/>
            <w:noProof/>
            <w:lang w:val="pl-PL"/>
          </w:rPr>
          <w:t>Wykres 54: Wspólne kierunki strategiczne w dokumentach strategicznych Partnerstwa</w:t>
        </w:r>
        <w:r w:rsidR="009C19BA">
          <w:rPr>
            <w:noProof/>
            <w:webHidden/>
          </w:rPr>
          <w:tab/>
        </w:r>
        <w:r w:rsidR="009C19BA">
          <w:rPr>
            <w:noProof/>
            <w:webHidden/>
          </w:rPr>
          <w:fldChar w:fldCharType="begin"/>
        </w:r>
        <w:r w:rsidR="009C19BA">
          <w:rPr>
            <w:noProof/>
            <w:webHidden/>
          </w:rPr>
          <w:instrText xml:space="preserve"> PAGEREF _Toc69723212 \h </w:instrText>
        </w:r>
        <w:r w:rsidR="009C19BA">
          <w:rPr>
            <w:noProof/>
            <w:webHidden/>
          </w:rPr>
        </w:r>
        <w:r w:rsidR="009C19BA">
          <w:rPr>
            <w:noProof/>
            <w:webHidden/>
          </w:rPr>
          <w:fldChar w:fldCharType="separate"/>
        </w:r>
        <w:r>
          <w:rPr>
            <w:noProof/>
            <w:webHidden/>
          </w:rPr>
          <w:t>172</w:t>
        </w:r>
        <w:r w:rsidR="009C19BA">
          <w:rPr>
            <w:noProof/>
            <w:webHidden/>
          </w:rPr>
          <w:fldChar w:fldCharType="end"/>
        </w:r>
      </w:hyperlink>
    </w:p>
    <w:p w14:paraId="2BE06680" w14:textId="74782809" w:rsidR="009C19BA" w:rsidRDefault="00B14787">
      <w:pPr>
        <w:pStyle w:val="Spisilustracji"/>
        <w:tabs>
          <w:tab w:val="right" w:leader="dot" w:pos="8920"/>
        </w:tabs>
        <w:rPr>
          <w:rFonts w:eastAsiaTheme="minorEastAsia"/>
          <w:noProof/>
          <w:sz w:val="22"/>
          <w:lang w:val="pl-PL" w:eastAsia="pl-PL"/>
        </w:rPr>
      </w:pPr>
      <w:hyperlink w:anchor="_Toc69723213" w:history="1">
        <w:r w:rsidR="009C19BA" w:rsidRPr="006A7815">
          <w:rPr>
            <w:rStyle w:val="Hipercze"/>
            <w:noProof/>
            <w:lang w:val="pl-PL"/>
          </w:rPr>
          <w:t>Wykres 55: Realizacja celów strategicznych</w:t>
        </w:r>
        <w:r w:rsidR="009C19BA">
          <w:rPr>
            <w:noProof/>
            <w:webHidden/>
          </w:rPr>
          <w:tab/>
        </w:r>
        <w:r w:rsidR="009C19BA">
          <w:rPr>
            <w:noProof/>
            <w:webHidden/>
          </w:rPr>
          <w:fldChar w:fldCharType="begin"/>
        </w:r>
        <w:r w:rsidR="009C19BA">
          <w:rPr>
            <w:noProof/>
            <w:webHidden/>
          </w:rPr>
          <w:instrText xml:space="preserve"> PAGEREF _Toc69723213 \h </w:instrText>
        </w:r>
        <w:r w:rsidR="009C19BA">
          <w:rPr>
            <w:noProof/>
            <w:webHidden/>
          </w:rPr>
        </w:r>
        <w:r w:rsidR="009C19BA">
          <w:rPr>
            <w:noProof/>
            <w:webHidden/>
          </w:rPr>
          <w:fldChar w:fldCharType="separate"/>
        </w:r>
        <w:r>
          <w:rPr>
            <w:noProof/>
            <w:webHidden/>
          </w:rPr>
          <w:t>172</w:t>
        </w:r>
        <w:r w:rsidR="009C19BA">
          <w:rPr>
            <w:noProof/>
            <w:webHidden/>
          </w:rPr>
          <w:fldChar w:fldCharType="end"/>
        </w:r>
      </w:hyperlink>
    </w:p>
    <w:p w14:paraId="61D29760" w14:textId="5AC914B0" w:rsidR="005C2114" w:rsidRPr="0085103A" w:rsidRDefault="002B2AC3" w:rsidP="00733091">
      <w:pPr>
        <w:ind w:left="0"/>
        <w:rPr>
          <w:rStyle w:val="Wyrnieniedelikatne"/>
          <w:b w:val="0"/>
          <w:bCs w:val="0"/>
          <w:iCs w:val="0"/>
          <w:noProof/>
          <w:sz w:val="24"/>
          <w:lang w:val="pl-PL"/>
        </w:rPr>
      </w:pPr>
      <w:r w:rsidRPr="00091BAE">
        <w:rPr>
          <w:noProof/>
          <w:lang w:val="pl-PL"/>
        </w:rPr>
        <w:fldChar w:fldCharType="end"/>
      </w:r>
      <w:r w:rsidR="005C2114" w:rsidRPr="00091BAE">
        <w:rPr>
          <w:noProof/>
          <w:lang w:val="pl-PL"/>
        </w:rPr>
        <w:br/>
      </w:r>
      <w:r w:rsidR="005C2114" w:rsidRPr="00091BAE">
        <w:rPr>
          <w:rStyle w:val="Wyrnieniedelikatne"/>
          <w:noProof/>
          <w:lang w:val="pl-PL"/>
        </w:rPr>
        <w:t>Spis tabel</w:t>
      </w:r>
    </w:p>
    <w:p w14:paraId="17508B32" w14:textId="7322142E" w:rsidR="009C19BA" w:rsidRDefault="005C2114">
      <w:pPr>
        <w:pStyle w:val="Spisilustracji"/>
        <w:tabs>
          <w:tab w:val="right" w:leader="dot" w:pos="8920"/>
        </w:tabs>
        <w:rPr>
          <w:rFonts w:eastAsiaTheme="minorEastAsia"/>
          <w:noProof/>
          <w:sz w:val="22"/>
          <w:lang w:val="pl-PL" w:eastAsia="pl-PL"/>
        </w:rPr>
      </w:pPr>
      <w:r w:rsidRPr="00091BAE">
        <w:rPr>
          <w:noProof/>
          <w:lang w:val="pl-PL"/>
        </w:rPr>
        <w:fldChar w:fldCharType="begin"/>
      </w:r>
      <w:r w:rsidRPr="00091BAE">
        <w:rPr>
          <w:noProof/>
          <w:lang w:val="pl-PL"/>
        </w:rPr>
        <w:instrText xml:space="preserve"> TOC \h \z \c "Tabela" </w:instrText>
      </w:r>
      <w:r w:rsidRPr="00091BAE">
        <w:rPr>
          <w:noProof/>
          <w:lang w:val="pl-PL"/>
        </w:rPr>
        <w:fldChar w:fldCharType="separate"/>
      </w:r>
      <w:hyperlink w:anchor="_Toc69723250" w:history="1">
        <w:r w:rsidR="009C19BA" w:rsidRPr="00DB5C28">
          <w:rPr>
            <w:rStyle w:val="Hipercze"/>
            <w:noProof/>
            <w:lang w:val="pl-PL"/>
          </w:rPr>
          <w:t>Tabela 1: Wykaz gmin i powierzchnia gmin wchodzących w skład Partnerstwa Południowe Mazury</w:t>
        </w:r>
        <w:r w:rsidR="009C19BA">
          <w:rPr>
            <w:noProof/>
            <w:webHidden/>
          </w:rPr>
          <w:tab/>
        </w:r>
        <w:r w:rsidR="009C19BA">
          <w:rPr>
            <w:noProof/>
            <w:webHidden/>
          </w:rPr>
          <w:fldChar w:fldCharType="begin"/>
        </w:r>
        <w:r w:rsidR="009C19BA">
          <w:rPr>
            <w:noProof/>
            <w:webHidden/>
          </w:rPr>
          <w:instrText xml:space="preserve"> PAGEREF _Toc69723250 \h </w:instrText>
        </w:r>
        <w:r w:rsidR="009C19BA">
          <w:rPr>
            <w:noProof/>
            <w:webHidden/>
          </w:rPr>
        </w:r>
        <w:r w:rsidR="009C19BA">
          <w:rPr>
            <w:noProof/>
            <w:webHidden/>
          </w:rPr>
          <w:fldChar w:fldCharType="separate"/>
        </w:r>
        <w:r w:rsidR="00B14787">
          <w:rPr>
            <w:noProof/>
            <w:webHidden/>
          </w:rPr>
          <w:t>17</w:t>
        </w:r>
        <w:r w:rsidR="009C19BA">
          <w:rPr>
            <w:noProof/>
            <w:webHidden/>
          </w:rPr>
          <w:fldChar w:fldCharType="end"/>
        </w:r>
      </w:hyperlink>
    </w:p>
    <w:p w14:paraId="07F8B404" w14:textId="188E57C7" w:rsidR="009C19BA" w:rsidRDefault="00B14787">
      <w:pPr>
        <w:pStyle w:val="Spisilustracji"/>
        <w:tabs>
          <w:tab w:val="right" w:leader="dot" w:pos="8920"/>
        </w:tabs>
        <w:rPr>
          <w:rFonts w:eastAsiaTheme="minorEastAsia"/>
          <w:noProof/>
          <w:sz w:val="22"/>
          <w:lang w:val="pl-PL" w:eastAsia="pl-PL"/>
        </w:rPr>
      </w:pPr>
      <w:hyperlink w:anchor="_Toc69723251" w:history="1">
        <w:r w:rsidR="009C19BA" w:rsidRPr="00DB5C28">
          <w:rPr>
            <w:rStyle w:val="Hipercze"/>
            <w:noProof/>
            <w:lang w:val="pl-PL"/>
          </w:rPr>
          <w:t>Tabela 2: Funkcje ośrodków osiedleńczych w zakresie zaspakajania indywidualnych i zbiorowych potrzeb mieszkańców</w:t>
        </w:r>
        <w:r w:rsidR="009C19BA">
          <w:rPr>
            <w:noProof/>
            <w:webHidden/>
          </w:rPr>
          <w:tab/>
        </w:r>
        <w:r w:rsidR="009C19BA">
          <w:rPr>
            <w:noProof/>
            <w:webHidden/>
          </w:rPr>
          <w:fldChar w:fldCharType="begin"/>
        </w:r>
        <w:r w:rsidR="009C19BA">
          <w:rPr>
            <w:noProof/>
            <w:webHidden/>
          </w:rPr>
          <w:instrText xml:space="preserve"> PAGEREF _Toc69723251 \h </w:instrText>
        </w:r>
        <w:r w:rsidR="009C19BA">
          <w:rPr>
            <w:noProof/>
            <w:webHidden/>
          </w:rPr>
        </w:r>
        <w:r w:rsidR="009C19BA">
          <w:rPr>
            <w:noProof/>
            <w:webHidden/>
          </w:rPr>
          <w:fldChar w:fldCharType="separate"/>
        </w:r>
        <w:r>
          <w:rPr>
            <w:noProof/>
            <w:webHidden/>
          </w:rPr>
          <w:t>30</w:t>
        </w:r>
        <w:r w:rsidR="009C19BA">
          <w:rPr>
            <w:noProof/>
            <w:webHidden/>
          </w:rPr>
          <w:fldChar w:fldCharType="end"/>
        </w:r>
      </w:hyperlink>
    </w:p>
    <w:p w14:paraId="6B1EAF6E" w14:textId="2B919397" w:rsidR="009C19BA" w:rsidRDefault="00B14787">
      <w:pPr>
        <w:pStyle w:val="Spisilustracji"/>
        <w:tabs>
          <w:tab w:val="right" w:leader="dot" w:pos="8920"/>
        </w:tabs>
        <w:rPr>
          <w:rFonts w:eastAsiaTheme="minorEastAsia"/>
          <w:noProof/>
          <w:sz w:val="22"/>
          <w:lang w:val="pl-PL" w:eastAsia="pl-PL"/>
        </w:rPr>
      </w:pPr>
      <w:hyperlink w:anchor="_Toc69723252" w:history="1">
        <w:r w:rsidR="009C19BA" w:rsidRPr="00DB5C28">
          <w:rPr>
            <w:rStyle w:val="Hipercze"/>
            <w:noProof/>
            <w:lang w:val="pl-PL"/>
          </w:rPr>
          <w:t>Tabela 3: Funkcje gmin wyznaczane alokacją zasobów</w:t>
        </w:r>
        <w:r w:rsidR="009C19BA">
          <w:rPr>
            <w:noProof/>
            <w:webHidden/>
          </w:rPr>
          <w:tab/>
        </w:r>
        <w:r w:rsidR="009C19BA">
          <w:rPr>
            <w:noProof/>
            <w:webHidden/>
          </w:rPr>
          <w:fldChar w:fldCharType="begin"/>
        </w:r>
        <w:r w:rsidR="009C19BA">
          <w:rPr>
            <w:noProof/>
            <w:webHidden/>
          </w:rPr>
          <w:instrText xml:space="preserve"> PAGEREF _Toc69723252 \h </w:instrText>
        </w:r>
        <w:r w:rsidR="009C19BA">
          <w:rPr>
            <w:noProof/>
            <w:webHidden/>
          </w:rPr>
        </w:r>
        <w:r w:rsidR="009C19BA">
          <w:rPr>
            <w:noProof/>
            <w:webHidden/>
          </w:rPr>
          <w:fldChar w:fldCharType="separate"/>
        </w:r>
        <w:r>
          <w:rPr>
            <w:noProof/>
            <w:webHidden/>
          </w:rPr>
          <w:t>32</w:t>
        </w:r>
        <w:r w:rsidR="009C19BA">
          <w:rPr>
            <w:noProof/>
            <w:webHidden/>
          </w:rPr>
          <w:fldChar w:fldCharType="end"/>
        </w:r>
      </w:hyperlink>
    </w:p>
    <w:p w14:paraId="133CEEB9" w14:textId="02EE161A" w:rsidR="009C19BA" w:rsidRDefault="00B14787">
      <w:pPr>
        <w:pStyle w:val="Spisilustracji"/>
        <w:tabs>
          <w:tab w:val="right" w:leader="dot" w:pos="8920"/>
        </w:tabs>
        <w:rPr>
          <w:rFonts w:eastAsiaTheme="minorEastAsia"/>
          <w:noProof/>
          <w:sz w:val="22"/>
          <w:lang w:val="pl-PL" w:eastAsia="pl-PL"/>
        </w:rPr>
      </w:pPr>
      <w:hyperlink w:anchor="_Toc69723253" w:history="1">
        <w:r w:rsidR="009C19BA" w:rsidRPr="00DB5C28">
          <w:rPr>
            <w:rStyle w:val="Hipercze"/>
            <w:noProof/>
            <w:lang w:val="pl-PL"/>
          </w:rPr>
          <w:t>Tabela 4: Wskaźnik bilansu usług i zatrudnienia dla JST wchodzących w skład Partnerstwa</w:t>
        </w:r>
        <w:r w:rsidR="009C19BA">
          <w:rPr>
            <w:noProof/>
            <w:webHidden/>
          </w:rPr>
          <w:tab/>
        </w:r>
        <w:r w:rsidR="009C19BA">
          <w:rPr>
            <w:noProof/>
            <w:webHidden/>
          </w:rPr>
          <w:fldChar w:fldCharType="begin"/>
        </w:r>
        <w:r w:rsidR="009C19BA">
          <w:rPr>
            <w:noProof/>
            <w:webHidden/>
          </w:rPr>
          <w:instrText xml:space="preserve"> PAGEREF _Toc69723253 \h </w:instrText>
        </w:r>
        <w:r w:rsidR="009C19BA">
          <w:rPr>
            <w:noProof/>
            <w:webHidden/>
          </w:rPr>
        </w:r>
        <w:r w:rsidR="009C19BA">
          <w:rPr>
            <w:noProof/>
            <w:webHidden/>
          </w:rPr>
          <w:fldChar w:fldCharType="separate"/>
        </w:r>
        <w:r>
          <w:rPr>
            <w:noProof/>
            <w:webHidden/>
          </w:rPr>
          <w:t>34</w:t>
        </w:r>
        <w:r w:rsidR="009C19BA">
          <w:rPr>
            <w:noProof/>
            <w:webHidden/>
          </w:rPr>
          <w:fldChar w:fldCharType="end"/>
        </w:r>
      </w:hyperlink>
    </w:p>
    <w:p w14:paraId="239EE814" w14:textId="24BF0AD3" w:rsidR="009C19BA" w:rsidRDefault="00B14787">
      <w:pPr>
        <w:pStyle w:val="Spisilustracji"/>
        <w:tabs>
          <w:tab w:val="right" w:leader="dot" w:pos="8920"/>
        </w:tabs>
        <w:rPr>
          <w:rFonts w:eastAsiaTheme="minorEastAsia"/>
          <w:noProof/>
          <w:sz w:val="22"/>
          <w:lang w:val="pl-PL" w:eastAsia="pl-PL"/>
        </w:rPr>
      </w:pPr>
      <w:hyperlink w:anchor="_Toc69723254" w:history="1">
        <w:r w:rsidR="009C19BA" w:rsidRPr="00DB5C28">
          <w:rPr>
            <w:rStyle w:val="Hipercze"/>
            <w:noProof/>
            <w:lang w:val="pl-PL"/>
          </w:rPr>
          <w:t>Tabela 5: Wskaźnik bilansu usług dla centrów usług w Partnerstwie</w:t>
        </w:r>
        <w:r w:rsidR="009C19BA">
          <w:rPr>
            <w:noProof/>
            <w:webHidden/>
          </w:rPr>
          <w:tab/>
        </w:r>
        <w:r w:rsidR="009C19BA">
          <w:rPr>
            <w:noProof/>
            <w:webHidden/>
          </w:rPr>
          <w:fldChar w:fldCharType="begin"/>
        </w:r>
        <w:r w:rsidR="009C19BA">
          <w:rPr>
            <w:noProof/>
            <w:webHidden/>
          </w:rPr>
          <w:instrText xml:space="preserve"> PAGEREF _Toc69723254 \h </w:instrText>
        </w:r>
        <w:r w:rsidR="009C19BA">
          <w:rPr>
            <w:noProof/>
            <w:webHidden/>
          </w:rPr>
        </w:r>
        <w:r w:rsidR="009C19BA">
          <w:rPr>
            <w:noProof/>
            <w:webHidden/>
          </w:rPr>
          <w:fldChar w:fldCharType="separate"/>
        </w:r>
        <w:r>
          <w:rPr>
            <w:noProof/>
            <w:webHidden/>
          </w:rPr>
          <w:t>35</w:t>
        </w:r>
        <w:r w:rsidR="009C19BA">
          <w:rPr>
            <w:noProof/>
            <w:webHidden/>
          </w:rPr>
          <w:fldChar w:fldCharType="end"/>
        </w:r>
      </w:hyperlink>
    </w:p>
    <w:p w14:paraId="223A1BF0" w14:textId="672427BB" w:rsidR="009C19BA" w:rsidRDefault="00B14787">
      <w:pPr>
        <w:pStyle w:val="Spisilustracji"/>
        <w:tabs>
          <w:tab w:val="right" w:leader="dot" w:pos="8920"/>
        </w:tabs>
        <w:rPr>
          <w:rFonts w:eastAsiaTheme="minorEastAsia"/>
          <w:noProof/>
          <w:sz w:val="22"/>
          <w:lang w:val="pl-PL" w:eastAsia="pl-PL"/>
        </w:rPr>
      </w:pPr>
      <w:hyperlink w:anchor="_Toc69723255" w:history="1">
        <w:r w:rsidR="009C19BA" w:rsidRPr="00DB5C28">
          <w:rPr>
            <w:rStyle w:val="Hipercze"/>
            <w:noProof/>
            <w:lang w:val="pl-PL"/>
          </w:rPr>
          <w:t>Tabela 6: Wskaźnik bilansu zatrudnienia dla centrów obszarów funkcjonalnych w Partnerstwie</w:t>
        </w:r>
        <w:r w:rsidR="009C19BA">
          <w:rPr>
            <w:noProof/>
            <w:webHidden/>
          </w:rPr>
          <w:tab/>
        </w:r>
        <w:r w:rsidR="009C19BA">
          <w:rPr>
            <w:noProof/>
            <w:webHidden/>
          </w:rPr>
          <w:fldChar w:fldCharType="begin"/>
        </w:r>
        <w:r w:rsidR="009C19BA">
          <w:rPr>
            <w:noProof/>
            <w:webHidden/>
          </w:rPr>
          <w:instrText xml:space="preserve"> PAGEREF _Toc69723255 \h </w:instrText>
        </w:r>
        <w:r w:rsidR="009C19BA">
          <w:rPr>
            <w:noProof/>
            <w:webHidden/>
          </w:rPr>
        </w:r>
        <w:r w:rsidR="009C19BA">
          <w:rPr>
            <w:noProof/>
            <w:webHidden/>
          </w:rPr>
          <w:fldChar w:fldCharType="separate"/>
        </w:r>
        <w:r>
          <w:rPr>
            <w:noProof/>
            <w:webHidden/>
          </w:rPr>
          <w:t>37</w:t>
        </w:r>
        <w:r w:rsidR="009C19BA">
          <w:rPr>
            <w:noProof/>
            <w:webHidden/>
          </w:rPr>
          <w:fldChar w:fldCharType="end"/>
        </w:r>
      </w:hyperlink>
    </w:p>
    <w:p w14:paraId="2A4E8368" w14:textId="400BCD50" w:rsidR="009C19BA" w:rsidRDefault="00B14787">
      <w:pPr>
        <w:pStyle w:val="Spisilustracji"/>
        <w:tabs>
          <w:tab w:val="right" w:leader="dot" w:pos="8920"/>
        </w:tabs>
        <w:rPr>
          <w:rFonts w:eastAsiaTheme="minorEastAsia"/>
          <w:noProof/>
          <w:sz w:val="22"/>
          <w:lang w:val="pl-PL" w:eastAsia="pl-PL"/>
        </w:rPr>
      </w:pPr>
      <w:hyperlink w:anchor="_Toc69723256" w:history="1">
        <w:r w:rsidR="009C19BA" w:rsidRPr="00DB5C28">
          <w:rPr>
            <w:rStyle w:val="Hipercze"/>
            <w:noProof/>
            <w:lang w:val="pl-PL"/>
          </w:rPr>
          <w:t>Tabela 7. Wyniki egzaminów ośmioklasisty w 2020 r.</w:t>
        </w:r>
        <w:r w:rsidR="009C19BA">
          <w:rPr>
            <w:noProof/>
            <w:webHidden/>
          </w:rPr>
          <w:tab/>
        </w:r>
        <w:r w:rsidR="009C19BA">
          <w:rPr>
            <w:noProof/>
            <w:webHidden/>
          </w:rPr>
          <w:fldChar w:fldCharType="begin"/>
        </w:r>
        <w:r w:rsidR="009C19BA">
          <w:rPr>
            <w:noProof/>
            <w:webHidden/>
          </w:rPr>
          <w:instrText xml:space="preserve"> PAGEREF _Toc69723256 \h </w:instrText>
        </w:r>
        <w:r w:rsidR="009C19BA">
          <w:rPr>
            <w:noProof/>
            <w:webHidden/>
          </w:rPr>
        </w:r>
        <w:r w:rsidR="009C19BA">
          <w:rPr>
            <w:noProof/>
            <w:webHidden/>
          </w:rPr>
          <w:fldChar w:fldCharType="separate"/>
        </w:r>
        <w:r>
          <w:rPr>
            <w:noProof/>
            <w:webHidden/>
          </w:rPr>
          <w:t>58</w:t>
        </w:r>
        <w:r w:rsidR="009C19BA">
          <w:rPr>
            <w:noProof/>
            <w:webHidden/>
          </w:rPr>
          <w:fldChar w:fldCharType="end"/>
        </w:r>
      </w:hyperlink>
    </w:p>
    <w:p w14:paraId="2113EF9F" w14:textId="7E89152A" w:rsidR="009C19BA" w:rsidRDefault="00B14787">
      <w:pPr>
        <w:pStyle w:val="Spisilustracji"/>
        <w:tabs>
          <w:tab w:val="right" w:leader="dot" w:pos="8920"/>
        </w:tabs>
        <w:rPr>
          <w:rFonts w:eastAsiaTheme="minorEastAsia"/>
          <w:noProof/>
          <w:sz w:val="22"/>
          <w:lang w:val="pl-PL" w:eastAsia="pl-PL"/>
        </w:rPr>
      </w:pPr>
      <w:hyperlink w:anchor="_Toc69723257" w:history="1">
        <w:r w:rsidR="009C19BA" w:rsidRPr="00DB5C28">
          <w:rPr>
            <w:rStyle w:val="Hipercze"/>
            <w:noProof/>
            <w:lang w:val="pl-PL"/>
          </w:rPr>
          <w:t>Tabela 8. Wyniki egzaminów dojrzałości w 2020 r.</w:t>
        </w:r>
        <w:r w:rsidR="009C19BA">
          <w:rPr>
            <w:noProof/>
            <w:webHidden/>
          </w:rPr>
          <w:tab/>
        </w:r>
        <w:r w:rsidR="009C19BA">
          <w:rPr>
            <w:noProof/>
            <w:webHidden/>
          </w:rPr>
          <w:fldChar w:fldCharType="begin"/>
        </w:r>
        <w:r w:rsidR="009C19BA">
          <w:rPr>
            <w:noProof/>
            <w:webHidden/>
          </w:rPr>
          <w:instrText xml:space="preserve"> PAGEREF _Toc69723257 \h </w:instrText>
        </w:r>
        <w:r w:rsidR="009C19BA">
          <w:rPr>
            <w:noProof/>
            <w:webHidden/>
          </w:rPr>
        </w:r>
        <w:r w:rsidR="009C19BA">
          <w:rPr>
            <w:noProof/>
            <w:webHidden/>
          </w:rPr>
          <w:fldChar w:fldCharType="separate"/>
        </w:r>
        <w:r>
          <w:rPr>
            <w:noProof/>
            <w:webHidden/>
          </w:rPr>
          <w:t>60</w:t>
        </w:r>
        <w:r w:rsidR="009C19BA">
          <w:rPr>
            <w:noProof/>
            <w:webHidden/>
          </w:rPr>
          <w:fldChar w:fldCharType="end"/>
        </w:r>
      </w:hyperlink>
    </w:p>
    <w:p w14:paraId="14DC5B24" w14:textId="320B5F94" w:rsidR="009C19BA" w:rsidRDefault="00B14787">
      <w:pPr>
        <w:pStyle w:val="Spisilustracji"/>
        <w:tabs>
          <w:tab w:val="right" w:leader="dot" w:pos="8920"/>
        </w:tabs>
        <w:rPr>
          <w:rFonts w:eastAsiaTheme="minorEastAsia"/>
          <w:noProof/>
          <w:sz w:val="22"/>
          <w:lang w:val="pl-PL" w:eastAsia="pl-PL"/>
        </w:rPr>
      </w:pPr>
      <w:hyperlink w:anchor="_Toc69723258" w:history="1">
        <w:r w:rsidR="009C19BA" w:rsidRPr="00DB5C28">
          <w:rPr>
            <w:rStyle w:val="Hipercze"/>
            <w:noProof/>
            <w:lang w:val="pl-PL"/>
          </w:rPr>
          <w:t>Tabela 9. Ambulatoryjna opieka specjalistyczna w powiatach Południowych Mazur</w:t>
        </w:r>
        <w:r w:rsidR="009C19BA">
          <w:rPr>
            <w:noProof/>
            <w:webHidden/>
          </w:rPr>
          <w:tab/>
        </w:r>
        <w:r w:rsidR="009C19BA">
          <w:rPr>
            <w:noProof/>
            <w:webHidden/>
          </w:rPr>
          <w:fldChar w:fldCharType="begin"/>
        </w:r>
        <w:r w:rsidR="009C19BA">
          <w:rPr>
            <w:noProof/>
            <w:webHidden/>
          </w:rPr>
          <w:instrText xml:space="preserve"> PAGEREF _Toc69723258 \h </w:instrText>
        </w:r>
        <w:r w:rsidR="009C19BA">
          <w:rPr>
            <w:noProof/>
            <w:webHidden/>
          </w:rPr>
        </w:r>
        <w:r w:rsidR="009C19BA">
          <w:rPr>
            <w:noProof/>
            <w:webHidden/>
          </w:rPr>
          <w:fldChar w:fldCharType="separate"/>
        </w:r>
        <w:r>
          <w:rPr>
            <w:noProof/>
            <w:webHidden/>
          </w:rPr>
          <w:t>67</w:t>
        </w:r>
        <w:r w:rsidR="009C19BA">
          <w:rPr>
            <w:noProof/>
            <w:webHidden/>
          </w:rPr>
          <w:fldChar w:fldCharType="end"/>
        </w:r>
      </w:hyperlink>
    </w:p>
    <w:p w14:paraId="64A12647" w14:textId="5D2D7EB2" w:rsidR="009C19BA" w:rsidRDefault="00B14787">
      <w:pPr>
        <w:pStyle w:val="Spisilustracji"/>
        <w:tabs>
          <w:tab w:val="right" w:leader="dot" w:pos="8920"/>
        </w:tabs>
        <w:rPr>
          <w:rFonts w:eastAsiaTheme="minorEastAsia"/>
          <w:noProof/>
          <w:sz w:val="22"/>
          <w:lang w:val="pl-PL" w:eastAsia="pl-PL"/>
        </w:rPr>
      </w:pPr>
      <w:hyperlink w:anchor="_Toc69723259" w:history="1">
        <w:r w:rsidR="009C19BA" w:rsidRPr="00DB5C28">
          <w:rPr>
            <w:rStyle w:val="Hipercze"/>
            <w:noProof/>
            <w:lang w:val="pl-PL"/>
          </w:rPr>
          <w:t>Tabela 10. Oddziały w szpitalach powiatowych PM wraz z liczbą łóżek (2020 r.)</w:t>
        </w:r>
        <w:r w:rsidR="009C19BA">
          <w:rPr>
            <w:noProof/>
            <w:webHidden/>
          </w:rPr>
          <w:tab/>
        </w:r>
        <w:r w:rsidR="009C19BA">
          <w:rPr>
            <w:noProof/>
            <w:webHidden/>
          </w:rPr>
          <w:fldChar w:fldCharType="begin"/>
        </w:r>
        <w:r w:rsidR="009C19BA">
          <w:rPr>
            <w:noProof/>
            <w:webHidden/>
          </w:rPr>
          <w:instrText xml:space="preserve"> PAGEREF _Toc69723259 \h </w:instrText>
        </w:r>
        <w:r w:rsidR="009C19BA">
          <w:rPr>
            <w:noProof/>
            <w:webHidden/>
          </w:rPr>
        </w:r>
        <w:r w:rsidR="009C19BA">
          <w:rPr>
            <w:noProof/>
            <w:webHidden/>
          </w:rPr>
          <w:fldChar w:fldCharType="separate"/>
        </w:r>
        <w:r>
          <w:rPr>
            <w:noProof/>
            <w:webHidden/>
          </w:rPr>
          <w:t>68</w:t>
        </w:r>
        <w:r w:rsidR="009C19BA">
          <w:rPr>
            <w:noProof/>
            <w:webHidden/>
          </w:rPr>
          <w:fldChar w:fldCharType="end"/>
        </w:r>
      </w:hyperlink>
    </w:p>
    <w:p w14:paraId="15466676" w14:textId="2ECFDC9D" w:rsidR="009C19BA" w:rsidRDefault="00B14787">
      <w:pPr>
        <w:pStyle w:val="Spisilustracji"/>
        <w:tabs>
          <w:tab w:val="right" w:leader="dot" w:pos="8920"/>
        </w:tabs>
        <w:rPr>
          <w:rFonts w:eastAsiaTheme="minorEastAsia"/>
          <w:noProof/>
          <w:sz w:val="22"/>
          <w:lang w:val="pl-PL" w:eastAsia="pl-PL"/>
        </w:rPr>
      </w:pPr>
      <w:hyperlink w:anchor="_Toc69723260" w:history="1">
        <w:r w:rsidR="009C19BA" w:rsidRPr="00DB5C28">
          <w:rPr>
            <w:rStyle w:val="Hipercze"/>
            <w:noProof/>
            <w:lang w:val="pl-PL"/>
          </w:rPr>
          <w:t>Tabela 11: Instytucjonalne formy współpracy JST wchodzących w skład Partnerstwa</w:t>
        </w:r>
        <w:r w:rsidR="009C19BA">
          <w:rPr>
            <w:noProof/>
            <w:webHidden/>
          </w:rPr>
          <w:tab/>
        </w:r>
        <w:r w:rsidR="009C19BA">
          <w:rPr>
            <w:noProof/>
            <w:webHidden/>
          </w:rPr>
          <w:fldChar w:fldCharType="begin"/>
        </w:r>
        <w:r w:rsidR="009C19BA">
          <w:rPr>
            <w:noProof/>
            <w:webHidden/>
          </w:rPr>
          <w:instrText xml:space="preserve"> PAGEREF _Toc69723260 \h </w:instrText>
        </w:r>
        <w:r w:rsidR="009C19BA">
          <w:rPr>
            <w:noProof/>
            <w:webHidden/>
          </w:rPr>
        </w:r>
        <w:r w:rsidR="009C19BA">
          <w:rPr>
            <w:noProof/>
            <w:webHidden/>
          </w:rPr>
          <w:fldChar w:fldCharType="separate"/>
        </w:r>
        <w:r>
          <w:rPr>
            <w:noProof/>
            <w:webHidden/>
          </w:rPr>
          <w:t>76</w:t>
        </w:r>
        <w:r w:rsidR="009C19BA">
          <w:rPr>
            <w:noProof/>
            <w:webHidden/>
          </w:rPr>
          <w:fldChar w:fldCharType="end"/>
        </w:r>
      </w:hyperlink>
    </w:p>
    <w:p w14:paraId="48D56939" w14:textId="32433CDC" w:rsidR="009C19BA" w:rsidRDefault="00B14787">
      <w:pPr>
        <w:pStyle w:val="Spisilustracji"/>
        <w:tabs>
          <w:tab w:val="right" w:leader="dot" w:pos="8920"/>
        </w:tabs>
        <w:rPr>
          <w:rFonts w:eastAsiaTheme="minorEastAsia"/>
          <w:noProof/>
          <w:sz w:val="22"/>
          <w:lang w:val="pl-PL" w:eastAsia="pl-PL"/>
        </w:rPr>
      </w:pPr>
      <w:hyperlink w:anchor="_Toc69723261" w:history="1">
        <w:r w:rsidR="009C19BA" w:rsidRPr="00DB5C28">
          <w:rPr>
            <w:rStyle w:val="Hipercze"/>
            <w:noProof/>
            <w:lang w:val="pl-PL"/>
          </w:rPr>
          <w:t>Tabela 12: Zakres współpracy JST wchodzących w skład Partnerstwa</w:t>
        </w:r>
        <w:r w:rsidR="009C19BA">
          <w:rPr>
            <w:noProof/>
            <w:webHidden/>
          </w:rPr>
          <w:tab/>
        </w:r>
        <w:r w:rsidR="009C19BA">
          <w:rPr>
            <w:noProof/>
            <w:webHidden/>
          </w:rPr>
          <w:fldChar w:fldCharType="begin"/>
        </w:r>
        <w:r w:rsidR="009C19BA">
          <w:rPr>
            <w:noProof/>
            <w:webHidden/>
          </w:rPr>
          <w:instrText xml:space="preserve"> PAGEREF _Toc69723261 \h </w:instrText>
        </w:r>
        <w:r w:rsidR="009C19BA">
          <w:rPr>
            <w:noProof/>
            <w:webHidden/>
          </w:rPr>
        </w:r>
        <w:r w:rsidR="009C19BA">
          <w:rPr>
            <w:noProof/>
            <w:webHidden/>
          </w:rPr>
          <w:fldChar w:fldCharType="separate"/>
        </w:r>
        <w:r>
          <w:rPr>
            <w:noProof/>
            <w:webHidden/>
          </w:rPr>
          <w:t>78</w:t>
        </w:r>
        <w:r w:rsidR="009C19BA">
          <w:rPr>
            <w:noProof/>
            <w:webHidden/>
          </w:rPr>
          <w:fldChar w:fldCharType="end"/>
        </w:r>
      </w:hyperlink>
    </w:p>
    <w:p w14:paraId="3E329DED" w14:textId="20177AB9" w:rsidR="009C19BA" w:rsidRDefault="00B14787">
      <w:pPr>
        <w:pStyle w:val="Spisilustracji"/>
        <w:tabs>
          <w:tab w:val="right" w:leader="dot" w:pos="8920"/>
        </w:tabs>
        <w:rPr>
          <w:rFonts w:eastAsiaTheme="minorEastAsia"/>
          <w:noProof/>
          <w:sz w:val="22"/>
          <w:lang w:val="pl-PL" w:eastAsia="pl-PL"/>
        </w:rPr>
      </w:pPr>
      <w:hyperlink w:anchor="_Toc69723262" w:history="1">
        <w:r w:rsidR="009C19BA" w:rsidRPr="00DB5C28">
          <w:rPr>
            <w:rStyle w:val="Hipercze"/>
            <w:noProof/>
            <w:lang w:val="pl-PL"/>
          </w:rPr>
          <w:t>Tabela 13: Udział dotacji z Unii Europejskiej w dochodach ogółem w 2019 r.</w:t>
        </w:r>
        <w:r w:rsidR="009C19BA">
          <w:rPr>
            <w:noProof/>
            <w:webHidden/>
          </w:rPr>
          <w:tab/>
        </w:r>
        <w:r w:rsidR="009C19BA">
          <w:rPr>
            <w:noProof/>
            <w:webHidden/>
          </w:rPr>
          <w:fldChar w:fldCharType="begin"/>
        </w:r>
        <w:r w:rsidR="009C19BA">
          <w:rPr>
            <w:noProof/>
            <w:webHidden/>
          </w:rPr>
          <w:instrText xml:space="preserve"> PAGEREF _Toc69723262 \h </w:instrText>
        </w:r>
        <w:r w:rsidR="009C19BA">
          <w:rPr>
            <w:noProof/>
            <w:webHidden/>
          </w:rPr>
        </w:r>
        <w:r w:rsidR="009C19BA">
          <w:rPr>
            <w:noProof/>
            <w:webHidden/>
          </w:rPr>
          <w:fldChar w:fldCharType="separate"/>
        </w:r>
        <w:r>
          <w:rPr>
            <w:noProof/>
            <w:webHidden/>
          </w:rPr>
          <w:t>84</w:t>
        </w:r>
        <w:r w:rsidR="009C19BA">
          <w:rPr>
            <w:noProof/>
            <w:webHidden/>
          </w:rPr>
          <w:fldChar w:fldCharType="end"/>
        </w:r>
      </w:hyperlink>
    </w:p>
    <w:p w14:paraId="36E16E5B" w14:textId="1A30B296" w:rsidR="009C19BA" w:rsidRDefault="00B14787">
      <w:pPr>
        <w:pStyle w:val="Spisilustracji"/>
        <w:tabs>
          <w:tab w:val="right" w:leader="dot" w:pos="8920"/>
        </w:tabs>
        <w:rPr>
          <w:rFonts w:eastAsiaTheme="minorEastAsia"/>
          <w:noProof/>
          <w:sz w:val="22"/>
          <w:lang w:val="pl-PL" w:eastAsia="pl-PL"/>
        </w:rPr>
      </w:pPr>
      <w:hyperlink w:anchor="_Toc69723263" w:history="1">
        <w:r w:rsidR="009C19BA" w:rsidRPr="00DB5C28">
          <w:rPr>
            <w:rStyle w:val="Hipercze"/>
            <w:noProof/>
          </w:rPr>
          <w:t>Tabela 14: Podsumowanie diagnozy - wymiar społeczny</w:t>
        </w:r>
        <w:r w:rsidR="009C19BA">
          <w:rPr>
            <w:noProof/>
            <w:webHidden/>
          </w:rPr>
          <w:tab/>
        </w:r>
        <w:r w:rsidR="009C19BA">
          <w:rPr>
            <w:noProof/>
            <w:webHidden/>
          </w:rPr>
          <w:fldChar w:fldCharType="begin"/>
        </w:r>
        <w:r w:rsidR="009C19BA">
          <w:rPr>
            <w:noProof/>
            <w:webHidden/>
          </w:rPr>
          <w:instrText xml:space="preserve"> PAGEREF _Toc69723263 \h </w:instrText>
        </w:r>
        <w:r w:rsidR="009C19BA">
          <w:rPr>
            <w:noProof/>
            <w:webHidden/>
          </w:rPr>
        </w:r>
        <w:r w:rsidR="009C19BA">
          <w:rPr>
            <w:noProof/>
            <w:webHidden/>
          </w:rPr>
          <w:fldChar w:fldCharType="separate"/>
        </w:r>
        <w:r>
          <w:rPr>
            <w:noProof/>
            <w:webHidden/>
          </w:rPr>
          <w:t>89</w:t>
        </w:r>
        <w:r w:rsidR="009C19BA">
          <w:rPr>
            <w:noProof/>
            <w:webHidden/>
          </w:rPr>
          <w:fldChar w:fldCharType="end"/>
        </w:r>
      </w:hyperlink>
    </w:p>
    <w:p w14:paraId="01536A0F" w14:textId="5475ED86" w:rsidR="009C19BA" w:rsidRDefault="00B14787">
      <w:pPr>
        <w:pStyle w:val="Spisilustracji"/>
        <w:tabs>
          <w:tab w:val="right" w:leader="dot" w:pos="8920"/>
        </w:tabs>
        <w:rPr>
          <w:rFonts w:eastAsiaTheme="minorEastAsia"/>
          <w:noProof/>
          <w:sz w:val="22"/>
          <w:lang w:val="pl-PL" w:eastAsia="pl-PL"/>
        </w:rPr>
      </w:pPr>
      <w:hyperlink w:anchor="_Toc69723264" w:history="1">
        <w:r w:rsidR="009C19BA" w:rsidRPr="00DB5C28">
          <w:rPr>
            <w:rStyle w:val="Hipercze"/>
            <w:noProof/>
            <w:lang w:val="pl-PL"/>
          </w:rPr>
          <w:t>Tabela 15.  Przedsiębiorcy według liczby osób zatrudnionych</w:t>
        </w:r>
        <w:r w:rsidR="009C19BA">
          <w:rPr>
            <w:noProof/>
            <w:webHidden/>
          </w:rPr>
          <w:tab/>
        </w:r>
        <w:r w:rsidR="009C19BA">
          <w:rPr>
            <w:noProof/>
            <w:webHidden/>
          </w:rPr>
          <w:fldChar w:fldCharType="begin"/>
        </w:r>
        <w:r w:rsidR="009C19BA">
          <w:rPr>
            <w:noProof/>
            <w:webHidden/>
          </w:rPr>
          <w:instrText xml:space="preserve"> PAGEREF _Toc69723264 \h </w:instrText>
        </w:r>
        <w:r w:rsidR="009C19BA">
          <w:rPr>
            <w:noProof/>
            <w:webHidden/>
          </w:rPr>
        </w:r>
        <w:r w:rsidR="009C19BA">
          <w:rPr>
            <w:noProof/>
            <w:webHidden/>
          </w:rPr>
          <w:fldChar w:fldCharType="separate"/>
        </w:r>
        <w:r>
          <w:rPr>
            <w:noProof/>
            <w:webHidden/>
          </w:rPr>
          <w:t>95</w:t>
        </w:r>
        <w:r w:rsidR="009C19BA">
          <w:rPr>
            <w:noProof/>
            <w:webHidden/>
          </w:rPr>
          <w:fldChar w:fldCharType="end"/>
        </w:r>
      </w:hyperlink>
    </w:p>
    <w:p w14:paraId="7818827C" w14:textId="7DB8A006" w:rsidR="009C19BA" w:rsidRDefault="00B14787">
      <w:pPr>
        <w:pStyle w:val="Spisilustracji"/>
        <w:tabs>
          <w:tab w:val="right" w:leader="dot" w:pos="8920"/>
        </w:tabs>
        <w:rPr>
          <w:rFonts w:eastAsiaTheme="minorEastAsia"/>
          <w:noProof/>
          <w:sz w:val="22"/>
          <w:lang w:val="pl-PL" w:eastAsia="pl-PL"/>
        </w:rPr>
      </w:pPr>
      <w:hyperlink w:anchor="_Toc69723265" w:history="1">
        <w:r w:rsidR="009C19BA" w:rsidRPr="00DB5C28">
          <w:rPr>
            <w:rStyle w:val="Hipercze"/>
            <w:noProof/>
            <w:lang w:val="pl-PL"/>
          </w:rPr>
          <w:t>Tabela 16</w:t>
        </w:r>
        <w:r w:rsidR="009C19BA" w:rsidRPr="00DB5C28">
          <w:rPr>
            <w:rStyle w:val="Hipercze"/>
            <w:noProof/>
            <w:shd w:val="clear" w:color="auto" w:fill="FFFFFF"/>
            <w:lang w:val="pl-PL"/>
          </w:rPr>
          <w:t>: Wskaźniki przedsiębiorczości w Południowych Mazurach w latach 2010-2019</w:t>
        </w:r>
        <w:r w:rsidR="009C19BA">
          <w:rPr>
            <w:noProof/>
            <w:webHidden/>
          </w:rPr>
          <w:tab/>
        </w:r>
        <w:r w:rsidR="009C19BA">
          <w:rPr>
            <w:noProof/>
            <w:webHidden/>
          </w:rPr>
          <w:fldChar w:fldCharType="begin"/>
        </w:r>
        <w:r w:rsidR="009C19BA">
          <w:rPr>
            <w:noProof/>
            <w:webHidden/>
          </w:rPr>
          <w:instrText xml:space="preserve"> PAGEREF _Toc69723265 \h </w:instrText>
        </w:r>
        <w:r w:rsidR="009C19BA">
          <w:rPr>
            <w:noProof/>
            <w:webHidden/>
          </w:rPr>
        </w:r>
        <w:r w:rsidR="009C19BA">
          <w:rPr>
            <w:noProof/>
            <w:webHidden/>
          </w:rPr>
          <w:fldChar w:fldCharType="separate"/>
        </w:r>
        <w:r>
          <w:rPr>
            <w:noProof/>
            <w:webHidden/>
          </w:rPr>
          <w:t>98</w:t>
        </w:r>
        <w:r w:rsidR="009C19BA">
          <w:rPr>
            <w:noProof/>
            <w:webHidden/>
          </w:rPr>
          <w:fldChar w:fldCharType="end"/>
        </w:r>
      </w:hyperlink>
    </w:p>
    <w:p w14:paraId="5F52C25C" w14:textId="7BF20EE0" w:rsidR="009C19BA" w:rsidRDefault="00B14787">
      <w:pPr>
        <w:pStyle w:val="Spisilustracji"/>
        <w:tabs>
          <w:tab w:val="right" w:leader="dot" w:pos="8920"/>
        </w:tabs>
        <w:rPr>
          <w:rFonts w:eastAsiaTheme="minorEastAsia"/>
          <w:noProof/>
          <w:sz w:val="22"/>
          <w:lang w:val="pl-PL" w:eastAsia="pl-PL"/>
        </w:rPr>
      </w:pPr>
      <w:hyperlink w:anchor="_Toc69723266" w:history="1">
        <w:r w:rsidR="009C19BA" w:rsidRPr="00DB5C28">
          <w:rPr>
            <w:rStyle w:val="Hipercze"/>
            <w:noProof/>
            <w:lang w:val="pl-PL"/>
          </w:rPr>
          <w:t>Tabela 17: Wskaźnik rozwoju funkcji turystycznych dla Południowych Mazur i województwa warmińsko-mazurskiego</w:t>
        </w:r>
        <w:r w:rsidR="009C19BA">
          <w:rPr>
            <w:noProof/>
            <w:webHidden/>
          </w:rPr>
          <w:tab/>
        </w:r>
        <w:r w:rsidR="009C19BA">
          <w:rPr>
            <w:noProof/>
            <w:webHidden/>
          </w:rPr>
          <w:fldChar w:fldCharType="begin"/>
        </w:r>
        <w:r w:rsidR="009C19BA">
          <w:rPr>
            <w:noProof/>
            <w:webHidden/>
          </w:rPr>
          <w:instrText xml:space="preserve"> PAGEREF _Toc69723266 \h </w:instrText>
        </w:r>
        <w:r w:rsidR="009C19BA">
          <w:rPr>
            <w:noProof/>
            <w:webHidden/>
          </w:rPr>
        </w:r>
        <w:r w:rsidR="009C19BA">
          <w:rPr>
            <w:noProof/>
            <w:webHidden/>
          </w:rPr>
          <w:fldChar w:fldCharType="separate"/>
        </w:r>
        <w:r>
          <w:rPr>
            <w:noProof/>
            <w:webHidden/>
          </w:rPr>
          <w:t>106</w:t>
        </w:r>
        <w:r w:rsidR="009C19BA">
          <w:rPr>
            <w:noProof/>
            <w:webHidden/>
          </w:rPr>
          <w:fldChar w:fldCharType="end"/>
        </w:r>
      </w:hyperlink>
    </w:p>
    <w:p w14:paraId="04F73DC9" w14:textId="27ACEA48" w:rsidR="009C19BA" w:rsidRDefault="00B14787">
      <w:pPr>
        <w:pStyle w:val="Spisilustracji"/>
        <w:tabs>
          <w:tab w:val="right" w:leader="dot" w:pos="8920"/>
        </w:tabs>
        <w:rPr>
          <w:rFonts w:eastAsiaTheme="minorEastAsia"/>
          <w:noProof/>
          <w:sz w:val="22"/>
          <w:lang w:val="pl-PL" w:eastAsia="pl-PL"/>
        </w:rPr>
      </w:pPr>
      <w:hyperlink w:anchor="_Toc69723267" w:history="1">
        <w:r w:rsidR="009C19BA" w:rsidRPr="00DB5C28">
          <w:rPr>
            <w:rStyle w:val="Hipercze"/>
            <w:noProof/>
            <w:lang w:val="pl-PL"/>
          </w:rPr>
          <w:t>Tabela 18: Osoby w wieku produkcyjnym mobilnym w Południowych Mazurach w latach 2015-2019</w:t>
        </w:r>
        <w:r w:rsidR="009C19BA">
          <w:rPr>
            <w:noProof/>
            <w:webHidden/>
          </w:rPr>
          <w:tab/>
        </w:r>
        <w:r w:rsidR="009C19BA">
          <w:rPr>
            <w:noProof/>
            <w:webHidden/>
          </w:rPr>
          <w:fldChar w:fldCharType="begin"/>
        </w:r>
        <w:r w:rsidR="009C19BA">
          <w:rPr>
            <w:noProof/>
            <w:webHidden/>
          </w:rPr>
          <w:instrText xml:space="preserve"> PAGEREF _Toc69723267 \h </w:instrText>
        </w:r>
        <w:r w:rsidR="009C19BA">
          <w:rPr>
            <w:noProof/>
            <w:webHidden/>
          </w:rPr>
        </w:r>
        <w:r w:rsidR="009C19BA">
          <w:rPr>
            <w:noProof/>
            <w:webHidden/>
          </w:rPr>
          <w:fldChar w:fldCharType="separate"/>
        </w:r>
        <w:r>
          <w:rPr>
            <w:noProof/>
            <w:webHidden/>
          </w:rPr>
          <w:t>109</w:t>
        </w:r>
        <w:r w:rsidR="009C19BA">
          <w:rPr>
            <w:noProof/>
            <w:webHidden/>
          </w:rPr>
          <w:fldChar w:fldCharType="end"/>
        </w:r>
      </w:hyperlink>
    </w:p>
    <w:p w14:paraId="1C09ECE3" w14:textId="7FA7FDF7" w:rsidR="009C19BA" w:rsidRDefault="00B14787">
      <w:pPr>
        <w:pStyle w:val="Spisilustracji"/>
        <w:tabs>
          <w:tab w:val="right" w:leader="dot" w:pos="8920"/>
        </w:tabs>
        <w:rPr>
          <w:rFonts w:eastAsiaTheme="minorEastAsia"/>
          <w:noProof/>
          <w:sz w:val="22"/>
          <w:lang w:val="pl-PL" w:eastAsia="pl-PL"/>
        </w:rPr>
      </w:pPr>
      <w:hyperlink w:anchor="_Toc69723268" w:history="1">
        <w:r w:rsidR="009C19BA" w:rsidRPr="00DB5C28">
          <w:rPr>
            <w:rStyle w:val="Hipercze"/>
            <w:noProof/>
            <w:lang w:val="pl-PL"/>
          </w:rPr>
          <w:t>Tabela 19. Lista zawodów deficytowych w powiatach Południowych Mazur (2020 r.)</w:t>
        </w:r>
        <w:r w:rsidR="009C19BA">
          <w:rPr>
            <w:noProof/>
            <w:webHidden/>
          </w:rPr>
          <w:tab/>
        </w:r>
        <w:r w:rsidR="009C19BA">
          <w:rPr>
            <w:noProof/>
            <w:webHidden/>
          </w:rPr>
          <w:fldChar w:fldCharType="begin"/>
        </w:r>
        <w:r w:rsidR="009C19BA">
          <w:rPr>
            <w:noProof/>
            <w:webHidden/>
          </w:rPr>
          <w:instrText xml:space="preserve"> PAGEREF _Toc69723268 \h </w:instrText>
        </w:r>
        <w:r w:rsidR="009C19BA">
          <w:rPr>
            <w:noProof/>
            <w:webHidden/>
          </w:rPr>
        </w:r>
        <w:r w:rsidR="009C19BA">
          <w:rPr>
            <w:noProof/>
            <w:webHidden/>
          </w:rPr>
          <w:fldChar w:fldCharType="separate"/>
        </w:r>
        <w:r>
          <w:rPr>
            <w:noProof/>
            <w:webHidden/>
          </w:rPr>
          <w:t>111</w:t>
        </w:r>
        <w:r w:rsidR="009C19BA">
          <w:rPr>
            <w:noProof/>
            <w:webHidden/>
          </w:rPr>
          <w:fldChar w:fldCharType="end"/>
        </w:r>
      </w:hyperlink>
    </w:p>
    <w:p w14:paraId="43D18207" w14:textId="2DD6AA7A" w:rsidR="009C19BA" w:rsidRDefault="00B14787">
      <w:pPr>
        <w:pStyle w:val="Spisilustracji"/>
        <w:tabs>
          <w:tab w:val="right" w:leader="dot" w:pos="8920"/>
        </w:tabs>
        <w:rPr>
          <w:rFonts w:eastAsiaTheme="minorEastAsia"/>
          <w:noProof/>
          <w:sz w:val="22"/>
          <w:lang w:val="pl-PL" w:eastAsia="pl-PL"/>
        </w:rPr>
      </w:pPr>
      <w:hyperlink w:anchor="_Toc69723269" w:history="1">
        <w:r w:rsidR="009C19BA" w:rsidRPr="00DB5C28">
          <w:rPr>
            <w:rStyle w:val="Hipercze"/>
            <w:noProof/>
            <w:lang w:val="pl-PL"/>
          </w:rPr>
          <w:t>Tabela 20: Podstawowe dane finansowe Partnerstwa za lata 2015-2019</w:t>
        </w:r>
        <w:r w:rsidR="009C19BA">
          <w:rPr>
            <w:noProof/>
            <w:webHidden/>
          </w:rPr>
          <w:tab/>
        </w:r>
        <w:r w:rsidR="009C19BA">
          <w:rPr>
            <w:noProof/>
            <w:webHidden/>
          </w:rPr>
          <w:fldChar w:fldCharType="begin"/>
        </w:r>
        <w:r w:rsidR="009C19BA">
          <w:rPr>
            <w:noProof/>
            <w:webHidden/>
          </w:rPr>
          <w:instrText xml:space="preserve"> PAGEREF _Toc69723269 \h </w:instrText>
        </w:r>
        <w:r w:rsidR="009C19BA">
          <w:rPr>
            <w:noProof/>
            <w:webHidden/>
          </w:rPr>
        </w:r>
        <w:r w:rsidR="009C19BA">
          <w:rPr>
            <w:noProof/>
            <w:webHidden/>
          </w:rPr>
          <w:fldChar w:fldCharType="separate"/>
        </w:r>
        <w:r>
          <w:rPr>
            <w:noProof/>
            <w:webHidden/>
          </w:rPr>
          <w:t>119</w:t>
        </w:r>
        <w:r w:rsidR="009C19BA">
          <w:rPr>
            <w:noProof/>
            <w:webHidden/>
          </w:rPr>
          <w:fldChar w:fldCharType="end"/>
        </w:r>
      </w:hyperlink>
    </w:p>
    <w:p w14:paraId="57761DE9" w14:textId="6103F506" w:rsidR="009C19BA" w:rsidRDefault="00B14787">
      <w:pPr>
        <w:pStyle w:val="Spisilustracji"/>
        <w:tabs>
          <w:tab w:val="right" w:leader="dot" w:pos="8920"/>
        </w:tabs>
        <w:rPr>
          <w:rFonts w:eastAsiaTheme="minorEastAsia"/>
          <w:noProof/>
          <w:sz w:val="22"/>
          <w:lang w:val="pl-PL" w:eastAsia="pl-PL"/>
        </w:rPr>
      </w:pPr>
      <w:hyperlink w:anchor="_Toc69723270" w:history="1">
        <w:r w:rsidR="009C19BA" w:rsidRPr="00DB5C28">
          <w:rPr>
            <w:rStyle w:val="Hipercze"/>
            <w:noProof/>
            <w:lang w:val="pl-PL"/>
          </w:rPr>
          <w:t>Tabela 21: Relacja kwoty zadłużenia do dochodów ogółem w latach 2015-2019 (w%)</w:t>
        </w:r>
        <w:r w:rsidR="009C19BA">
          <w:rPr>
            <w:noProof/>
            <w:webHidden/>
          </w:rPr>
          <w:tab/>
        </w:r>
        <w:r w:rsidR="009C19BA">
          <w:rPr>
            <w:noProof/>
            <w:webHidden/>
          </w:rPr>
          <w:fldChar w:fldCharType="begin"/>
        </w:r>
        <w:r w:rsidR="009C19BA">
          <w:rPr>
            <w:noProof/>
            <w:webHidden/>
          </w:rPr>
          <w:instrText xml:space="preserve"> PAGEREF _Toc69723270 \h </w:instrText>
        </w:r>
        <w:r w:rsidR="009C19BA">
          <w:rPr>
            <w:noProof/>
            <w:webHidden/>
          </w:rPr>
        </w:r>
        <w:r w:rsidR="009C19BA">
          <w:rPr>
            <w:noProof/>
            <w:webHidden/>
          </w:rPr>
          <w:fldChar w:fldCharType="separate"/>
        </w:r>
        <w:r>
          <w:rPr>
            <w:noProof/>
            <w:webHidden/>
          </w:rPr>
          <w:t>120</w:t>
        </w:r>
        <w:r w:rsidR="009C19BA">
          <w:rPr>
            <w:noProof/>
            <w:webHidden/>
          </w:rPr>
          <w:fldChar w:fldCharType="end"/>
        </w:r>
      </w:hyperlink>
    </w:p>
    <w:p w14:paraId="6966458A" w14:textId="442CD842" w:rsidR="009C19BA" w:rsidRDefault="00B14787">
      <w:pPr>
        <w:pStyle w:val="Spisilustracji"/>
        <w:tabs>
          <w:tab w:val="right" w:leader="dot" w:pos="8920"/>
        </w:tabs>
        <w:rPr>
          <w:rFonts w:eastAsiaTheme="minorEastAsia"/>
          <w:noProof/>
          <w:sz w:val="22"/>
          <w:lang w:val="pl-PL" w:eastAsia="pl-PL"/>
        </w:rPr>
      </w:pPr>
      <w:hyperlink w:anchor="_Toc69723271" w:history="1">
        <w:r w:rsidR="009C19BA" w:rsidRPr="00DB5C28">
          <w:rPr>
            <w:rStyle w:val="Hipercze"/>
            <w:noProof/>
            <w:lang w:val="pl-PL"/>
          </w:rPr>
          <w:t>Tabela 22: Wynik budżetu netto w latach 2015-20019</w:t>
        </w:r>
        <w:r w:rsidR="009C19BA">
          <w:rPr>
            <w:noProof/>
            <w:webHidden/>
          </w:rPr>
          <w:tab/>
        </w:r>
        <w:r w:rsidR="009C19BA">
          <w:rPr>
            <w:noProof/>
            <w:webHidden/>
          </w:rPr>
          <w:fldChar w:fldCharType="begin"/>
        </w:r>
        <w:r w:rsidR="009C19BA">
          <w:rPr>
            <w:noProof/>
            <w:webHidden/>
          </w:rPr>
          <w:instrText xml:space="preserve"> PAGEREF _Toc69723271 \h </w:instrText>
        </w:r>
        <w:r w:rsidR="009C19BA">
          <w:rPr>
            <w:noProof/>
            <w:webHidden/>
          </w:rPr>
        </w:r>
        <w:r w:rsidR="009C19BA">
          <w:rPr>
            <w:noProof/>
            <w:webHidden/>
          </w:rPr>
          <w:fldChar w:fldCharType="separate"/>
        </w:r>
        <w:r>
          <w:rPr>
            <w:noProof/>
            <w:webHidden/>
          </w:rPr>
          <w:t>122</w:t>
        </w:r>
        <w:r w:rsidR="009C19BA">
          <w:rPr>
            <w:noProof/>
            <w:webHidden/>
          </w:rPr>
          <w:fldChar w:fldCharType="end"/>
        </w:r>
      </w:hyperlink>
    </w:p>
    <w:p w14:paraId="1386AD6E" w14:textId="22CD618B" w:rsidR="009C19BA" w:rsidRDefault="00B14787">
      <w:pPr>
        <w:pStyle w:val="Spisilustracji"/>
        <w:tabs>
          <w:tab w:val="right" w:leader="dot" w:pos="8920"/>
        </w:tabs>
        <w:rPr>
          <w:rFonts w:eastAsiaTheme="minorEastAsia"/>
          <w:noProof/>
          <w:sz w:val="22"/>
          <w:lang w:val="pl-PL" w:eastAsia="pl-PL"/>
        </w:rPr>
      </w:pPr>
      <w:hyperlink w:anchor="_Toc69723272" w:history="1">
        <w:r w:rsidR="009C19BA" w:rsidRPr="00DB5C28">
          <w:rPr>
            <w:rStyle w:val="Hipercze"/>
            <w:noProof/>
            <w:lang w:val="pl-PL"/>
          </w:rPr>
          <w:t>Tabela 23: Relacja kwoty nadwyżki operacyjnej do kwoty dochodów bieżących [w %] w latach 2015-2019</w:t>
        </w:r>
        <w:r w:rsidR="009C19BA">
          <w:rPr>
            <w:noProof/>
            <w:webHidden/>
          </w:rPr>
          <w:tab/>
        </w:r>
        <w:r w:rsidR="009C19BA">
          <w:rPr>
            <w:noProof/>
            <w:webHidden/>
          </w:rPr>
          <w:fldChar w:fldCharType="begin"/>
        </w:r>
        <w:r w:rsidR="009C19BA">
          <w:rPr>
            <w:noProof/>
            <w:webHidden/>
          </w:rPr>
          <w:instrText xml:space="preserve"> PAGEREF _Toc69723272 \h </w:instrText>
        </w:r>
        <w:r w:rsidR="009C19BA">
          <w:rPr>
            <w:noProof/>
            <w:webHidden/>
          </w:rPr>
        </w:r>
        <w:r w:rsidR="009C19BA">
          <w:rPr>
            <w:noProof/>
            <w:webHidden/>
          </w:rPr>
          <w:fldChar w:fldCharType="separate"/>
        </w:r>
        <w:r>
          <w:rPr>
            <w:noProof/>
            <w:webHidden/>
          </w:rPr>
          <w:t>125</w:t>
        </w:r>
        <w:r w:rsidR="009C19BA">
          <w:rPr>
            <w:noProof/>
            <w:webHidden/>
          </w:rPr>
          <w:fldChar w:fldCharType="end"/>
        </w:r>
      </w:hyperlink>
    </w:p>
    <w:p w14:paraId="30B816D3" w14:textId="153B7E95" w:rsidR="009C19BA" w:rsidRDefault="00B14787">
      <w:pPr>
        <w:pStyle w:val="Spisilustracji"/>
        <w:tabs>
          <w:tab w:val="right" w:leader="dot" w:pos="8920"/>
        </w:tabs>
        <w:rPr>
          <w:rFonts w:eastAsiaTheme="minorEastAsia"/>
          <w:noProof/>
          <w:sz w:val="22"/>
          <w:lang w:val="pl-PL" w:eastAsia="pl-PL"/>
        </w:rPr>
      </w:pPr>
      <w:hyperlink w:anchor="_Toc69723273" w:history="1">
        <w:r w:rsidR="009C19BA" w:rsidRPr="00DB5C28">
          <w:rPr>
            <w:rStyle w:val="Hipercze"/>
            <w:noProof/>
            <w:lang w:val="pl-PL"/>
          </w:rPr>
          <w:t>Tabela 24: Relacja kwoty nadwyżki operacyjnej netto pomniejszonej o spłaty długu do dochodów bieżących  [w %] w latach 2015-2019</w:t>
        </w:r>
        <w:r w:rsidR="009C19BA">
          <w:rPr>
            <w:noProof/>
            <w:webHidden/>
          </w:rPr>
          <w:tab/>
        </w:r>
        <w:r w:rsidR="009C19BA">
          <w:rPr>
            <w:noProof/>
            <w:webHidden/>
          </w:rPr>
          <w:fldChar w:fldCharType="begin"/>
        </w:r>
        <w:r w:rsidR="009C19BA">
          <w:rPr>
            <w:noProof/>
            <w:webHidden/>
          </w:rPr>
          <w:instrText xml:space="preserve"> PAGEREF _Toc69723273 \h </w:instrText>
        </w:r>
        <w:r w:rsidR="009C19BA">
          <w:rPr>
            <w:noProof/>
            <w:webHidden/>
          </w:rPr>
        </w:r>
        <w:r w:rsidR="009C19BA">
          <w:rPr>
            <w:noProof/>
            <w:webHidden/>
          </w:rPr>
          <w:fldChar w:fldCharType="separate"/>
        </w:r>
        <w:r>
          <w:rPr>
            <w:noProof/>
            <w:webHidden/>
          </w:rPr>
          <w:t>126</w:t>
        </w:r>
        <w:r w:rsidR="009C19BA">
          <w:rPr>
            <w:noProof/>
            <w:webHidden/>
          </w:rPr>
          <w:fldChar w:fldCharType="end"/>
        </w:r>
      </w:hyperlink>
    </w:p>
    <w:p w14:paraId="21506988" w14:textId="40DD7B85" w:rsidR="009C19BA" w:rsidRDefault="00B14787">
      <w:pPr>
        <w:pStyle w:val="Spisilustracji"/>
        <w:tabs>
          <w:tab w:val="right" w:leader="dot" w:pos="8920"/>
        </w:tabs>
        <w:rPr>
          <w:rFonts w:eastAsiaTheme="minorEastAsia"/>
          <w:noProof/>
          <w:sz w:val="22"/>
          <w:lang w:val="pl-PL" w:eastAsia="pl-PL"/>
        </w:rPr>
      </w:pPr>
      <w:hyperlink w:anchor="_Toc69723274" w:history="1">
        <w:r w:rsidR="009C19BA" w:rsidRPr="00DB5C28">
          <w:rPr>
            <w:rStyle w:val="Hipercze"/>
            <w:noProof/>
            <w:lang w:val="pl-PL"/>
          </w:rPr>
          <w:t>Tabela 25: Podsumowanie diagnozy w wymiarze gospodarczym</w:t>
        </w:r>
        <w:r w:rsidR="009C19BA">
          <w:rPr>
            <w:noProof/>
            <w:webHidden/>
          </w:rPr>
          <w:tab/>
        </w:r>
        <w:r w:rsidR="009C19BA">
          <w:rPr>
            <w:noProof/>
            <w:webHidden/>
          </w:rPr>
          <w:fldChar w:fldCharType="begin"/>
        </w:r>
        <w:r w:rsidR="009C19BA">
          <w:rPr>
            <w:noProof/>
            <w:webHidden/>
          </w:rPr>
          <w:instrText xml:space="preserve"> PAGEREF _Toc69723274 \h </w:instrText>
        </w:r>
        <w:r w:rsidR="009C19BA">
          <w:rPr>
            <w:noProof/>
            <w:webHidden/>
          </w:rPr>
        </w:r>
        <w:r w:rsidR="009C19BA">
          <w:rPr>
            <w:noProof/>
            <w:webHidden/>
          </w:rPr>
          <w:fldChar w:fldCharType="separate"/>
        </w:r>
        <w:r>
          <w:rPr>
            <w:noProof/>
            <w:webHidden/>
          </w:rPr>
          <w:t>128</w:t>
        </w:r>
        <w:r w:rsidR="009C19BA">
          <w:rPr>
            <w:noProof/>
            <w:webHidden/>
          </w:rPr>
          <w:fldChar w:fldCharType="end"/>
        </w:r>
      </w:hyperlink>
    </w:p>
    <w:p w14:paraId="24ED47D2" w14:textId="12AE9A69" w:rsidR="009C19BA" w:rsidRDefault="00B14787">
      <w:pPr>
        <w:pStyle w:val="Spisilustracji"/>
        <w:tabs>
          <w:tab w:val="right" w:leader="dot" w:pos="8920"/>
        </w:tabs>
        <w:rPr>
          <w:rFonts w:eastAsiaTheme="minorEastAsia"/>
          <w:noProof/>
          <w:sz w:val="22"/>
          <w:lang w:val="pl-PL" w:eastAsia="pl-PL"/>
        </w:rPr>
      </w:pPr>
      <w:hyperlink w:anchor="_Toc69723275" w:history="1">
        <w:r w:rsidR="009C19BA" w:rsidRPr="00DB5C28">
          <w:rPr>
            <w:rStyle w:val="Hipercze"/>
            <w:noProof/>
            <w:lang w:val="pl-PL"/>
          </w:rPr>
          <w:t>Tabela 26: Formy ochrony przyrody na terenie Południowych Mazur (2019 r.)</w:t>
        </w:r>
        <w:r w:rsidR="009C19BA">
          <w:rPr>
            <w:noProof/>
            <w:webHidden/>
          </w:rPr>
          <w:tab/>
        </w:r>
        <w:r w:rsidR="009C19BA">
          <w:rPr>
            <w:noProof/>
            <w:webHidden/>
          </w:rPr>
          <w:fldChar w:fldCharType="begin"/>
        </w:r>
        <w:r w:rsidR="009C19BA">
          <w:rPr>
            <w:noProof/>
            <w:webHidden/>
          </w:rPr>
          <w:instrText xml:space="preserve"> PAGEREF _Toc69723275 \h </w:instrText>
        </w:r>
        <w:r w:rsidR="009C19BA">
          <w:rPr>
            <w:noProof/>
            <w:webHidden/>
          </w:rPr>
        </w:r>
        <w:r w:rsidR="009C19BA">
          <w:rPr>
            <w:noProof/>
            <w:webHidden/>
          </w:rPr>
          <w:fldChar w:fldCharType="separate"/>
        </w:r>
        <w:r>
          <w:rPr>
            <w:noProof/>
            <w:webHidden/>
          </w:rPr>
          <w:t>137</w:t>
        </w:r>
        <w:r w:rsidR="009C19BA">
          <w:rPr>
            <w:noProof/>
            <w:webHidden/>
          </w:rPr>
          <w:fldChar w:fldCharType="end"/>
        </w:r>
      </w:hyperlink>
    </w:p>
    <w:p w14:paraId="3DE90CB8" w14:textId="3E1AD31C" w:rsidR="009C19BA" w:rsidRDefault="00B14787">
      <w:pPr>
        <w:pStyle w:val="Spisilustracji"/>
        <w:tabs>
          <w:tab w:val="right" w:leader="dot" w:pos="8920"/>
        </w:tabs>
        <w:rPr>
          <w:rFonts w:eastAsiaTheme="minorEastAsia"/>
          <w:noProof/>
          <w:sz w:val="22"/>
          <w:lang w:val="pl-PL" w:eastAsia="pl-PL"/>
        </w:rPr>
      </w:pPr>
      <w:hyperlink w:anchor="_Toc69723276" w:history="1">
        <w:r w:rsidR="009C19BA" w:rsidRPr="00DB5C28">
          <w:rPr>
            <w:rStyle w:val="Hipercze"/>
            <w:noProof/>
            <w:lang w:val="pl-PL"/>
          </w:rPr>
          <w:t>Tabela 27. Klasy zanieczyszczeń w strefie warmińsko-mazurskiej uzyskane na podstawie oceny pięcioletniej (2014-2018) z uwzględnieniem kryteriów ustanowionych w celu ochrony zdrowia ludzi i ochrony roślin.</w:t>
        </w:r>
        <w:r w:rsidR="009C19BA">
          <w:rPr>
            <w:noProof/>
            <w:webHidden/>
          </w:rPr>
          <w:tab/>
        </w:r>
        <w:r w:rsidR="009C19BA">
          <w:rPr>
            <w:noProof/>
            <w:webHidden/>
          </w:rPr>
          <w:fldChar w:fldCharType="begin"/>
        </w:r>
        <w:r w:rsidR="009C19BA">
          <w:rPr>
            <w:noProof/>
            <w:webHidden/>
          </w:rPr>
          <w:instrText xml:space="preserve"> PAGEREF _Toc69723276 \h </w:instrText>
        </w:r>
        <w:r w:rsidR="009C19BA">
          <w:rPr>
            <w:noProof/>
            <w:webHidden/>
          </w:rPr>
        </w:r>
        <w:r w:rsidR="009C19BA">
          <w:rPr>
            <w:noProof/>
            <w:webHidden/>
          </w:rPr>
          <w:fldChar w:fldCharType="separate"/>
        </w:r>
        <w:r>
          <w:rPr>
            <w:noProof/>
            <w:webHidden/>
          </w:rPr>
          <w:t>141</w:t>
        </w:r>
        <w:r w:rsidR="009C19BA">
          <w:rPr>
            <w:noProof/>
            <w:webHidden/>
          </w:rPr>
          <w:fldChar w:fldCharType="end"/>
        </w:r>
      </w:hyperlink>
    </w:p>
    <w:p w14:paraId="3099C8FC" w14:textId="5077CD8B" w:rsidR="009C19BA" w:rsidRDefault="00B14787">
      <w:pPr>
        <w:pStyle w:val="Spisilustracji"/>
        <w:tabs>
          <w:tab w:val="right" w:leader="dot" w:pos="8920"/>
        </w:tabs>
        <w:rPr>
          <w:rFonts w:eastAsiaTheme="minorEastAsia"/>
          <w:noProof/>
          <w:sz w:val="22"/>
          <w:lang w:val="pl-PL" w:eastAsia="pl-PL"/>
        </w:rPr>
      </w:pPr>
      <w:hyperlink w:anchor="_Toc69723277" w:history="1">
        <w:r w:rsidR="009C19BA" w:rsidRPr="00DB5C28">
          <w:rPr>
            <w:rStyle w:val="Hipercze"/>
            <w:noProof/>
            <w:lang w:val="pl-PL"/>
          </w:rPr>
          <w:t>Tabela 28. Linie kolejowe na obszarze Południowych Mazur</w:t>
        </w:r>
        <w:r w:rsidR="009C19BA">
          <w:rPr>
            <w:noProof/>
            <w:webHidden/>
          </w:rPr>
          <w:tab/>
        </w:r>
        <w:r w:rsidR="009C19BA">
          <w:rPr>
            <w:noProof/>
            <w:webHidden/>
          </w:rPr>
          <w:fldChar w:fldCharType="begin"/>
        </w:r>
        <w:r w:rsidR="009C19BA">
          <w:rPr>
            <w:noProof/>
            <w:webHidden/>
          </w:rPr>
          <w:instrText xml:space="preserve"> PAGEREF _Toc69723277 \h </w:instrText>
        </w:r>
        <w:r w:rsidR="009C19BA">
          <w:rPr>
            <w:noProof/>
            <w:webHidden/>
          </w:rPr>
        </w:r>
        <w:r w:rsidR="009C19BA">
          <w:rPr>
            <w:noProof/>
            <w:webHidden/>
          </w:rPr>
          <w:fldChar w:fldCharType="separate"/>
        </w:r>
        <w:r>
          <w:rPr>
            <w:noProof/>
            <w:webHidden/>
          </w:rPr>
          <w:t>151</w:t>
        </w:r>
        <w:r w:rsidR="009C19BA">
          <w:rPr>
            <w:noProof/>
            <w:webHidden/>
          </w:rPr>
          <w:fldChar w:fldCharType="end"/>
        </w:r>
      </w:hyperlink>
    </w:p>
    <w:p w14:paraId="16C032BB" w14:textId="1F9A93C0" w:rsidR="009C19BA" w:rsidRDefault="00B14787">
      <w:pPr>
        <w:pStyle w:val="Spisilustracji"/>
        <w:tabs>
          <w:tab w:val="right" w:leader="dot" w:pos="8920"/>
        </w:tabs>
        <w:rPr>
          <w:rFonts w:eastAsiaTheme="minorEastAsia"/>
          <w:noProof/>
          <w:sz w:val="22"/>
          <w:lang w:val="pl-PL" w:eastAsia="pl-PL"/>
        </w:rPr>
      </w:pPr>
      <w:hyperlink w:anchor="_Toc69723278" w:history="1">
        <w:r w:rsidR="009C19BA" w:rsidRPr="00DB5C28">
          <w:rPr>
            <w:rStyle w:val="Hipercze"/>
            <w:noProof/>
            <w:lang w:val="pl-PL"/>
          </w:rPr>
          <w:t>Tabela 29: Zjawiska, deficyty i potencjały Partnerstwa w wymiarze środowiskowo-przestrzennym</w:t>
        </w:r>
        <w:r w:rsidR="009C19BA">
          <w:rPr>
            <w:noProof/>
            <w:webHidden/>
          </w:rPr>
          <w:tab/>
        </w:r>
        <w:r w:rsidR="009C19BA">
          <w:rPr>
            <w:noProof/>
            <w:webHidden/>
          </w:rPr>
          <w:fldChar w:fldCharType="begin"/>
        </w:r>
        <w:r w:rsidR="009C19BA">
          <w:rPr>
            <w:noProof/>
            <w:webHidden/>
          </w:rPr>
          <w:instrText xml:space="preserve"> PAGEREF _Toc69723278 \h </w:instrText>
        </w:r>
        <w:r w:rsidR="009C19BA">
          <w:rPr>
            <w:noProof/>
            <w:webHidden/>
          </w:rPr>
        </w:r>
        <w:r w:rsidR="009C19BA">
          <w:rPr>
            <w:noProof/>
            <w:webHidden/>
          </w:rPr>
          <w:fldChar w:fldCharType="separate"/>
        </w:r>
        <w:r>
          <w:rPr>
            <w:noProof/>
            <w:webHidden/>
          </w:rPr>
          <w:t>154</w:t>
        </w:r>
        <w:r w:rsidR="009C19BA">
          <w:rPr>
            <w:noProof/>
            <w:webHidden/>
          </w:rPr>
          <w:fldChar w:fldCharType="end"/>
        </w:r>
      </w:hyperlink>
    </w:p>
    <w:p w14:paraId="6666F8D6" w14:textId="07DB5315" w:rsidR="009C19BA" w:rsidRDefault="00B14787">
      <w:pPr>
        <w:pStyle w:val="Spisilustracji"/>
        <w:tabs>
          <w:tab w:val="right" w:leader="dot" w:pos="8920"/>
        </w:tabs>
        <w:rPr>
          <w:rFonts w:eastAsiaTheme="minorEastAsia"/>
          <w:noProof/>
          <w:sz w:val="22"/>
          <w:lang w:val="pl-PL" w:eastAsia="pl-PL"/>
        </w:rPr>
      </w:pPr>
      <w:hyperlink w:anchor="_Toc69723279" w:history="1">
        <w:r w:rsidR="009C19BA" w:rsidRPr="00DB5C28">
          <w:rPr>
            <w:rStyle w:val="Hipercze"/>
            <w:noProof/>
            <w:lang w:val="pl-PL"/>
          </w:rPr>
          <w:t>Tabela 30: Wewnętrzne czynniki rozwojowe o oddziaływaniu pozytywnym</w:t>
        </w:r>
        <w:r w:rsidR="009C19BA">
          <w:rPr>
            <w:noProof/>
            <w:webHidden/>
          </w:rPr>
          <w:tab/>
        </w:r>
        <w:r w:rsidR="009C19BA">
          <w:rPr>
            <w:noProof/>
            <w:webHidden/>
          </w:rPr>
          <w:fldChar w:fldCharType="begin"/>
        </w:r>
        <w:r w:rsidR="009C19BA">
          <w:rPr>
            <w:noProof/>
            <w:webHidden/>
          </w:rPr>
          <w:instrText xml:space="preserve"> PAGEREF _Toc69723279 \h </w:instrText>
        </w:r>
        <w:r w:rsidR="009C19BA">
          <w:rPr>
            <w:noProof/>
            <w:webHidden/>
          </w:rPr>
        </w:r>
        <w:r w:rsidR="009C19BA">
          <w:rPr>
            <w:noProof/>
            <w:webHidden/>
          </w:rPr>
          <w:fldChar w:fldCharType="separate"/>
        </w:r>
        <w:r>
          <w:rPr>
            <w:noProof/>
            <w:webHidden/>
          </w:rPr>
          <w:t>157</w:t>
        </w:r>
        <w:r w:rsidR="009C19BA">
          <w:rPr>
            <w:noProof/>
            <w:webHidden/>
          </w:rPr>
          <w:fldChar w:fldCharType="end"/>
        </w:r>
      </w:hyperlink>
    </w:p>
    <w:p w14:paraId="17651FD5" w14:textId="5455E007" w:rsidR="009C19BA" w:rsidRDefault="00B14787">
      <w:pPr>
        <w:pStyle w:val="Spisilustracji"/>
        <w:tabs>
          <w:tab w:val="right" w:leader="dot" w:pos="8920"/>
        </w:tabs>
        <w:rPr>
          <w:rFonts w:eastAsiaTheme="minorEastAsia"/>
          <w:noProof/>
          <w:sz w:val="22"/>
          <w:lang w:val="pl-PL" w:eastAsia="pl-PL"/>
        </w:rPr>
      </w:pPr>
      <w:hyperlink w:anchor="_Toc69723280" w:history="1">
        <w:r w:rsidR="009C19BA" w:rsidRPr="00DB5C28">
          <w:rPr>
            <w:rStyle w:val="Hipercze"/>
            <w:noProof/>
            <w:lang w:val="pl-PL"/>
          </w:rPr>
          <w:t>Tabela 31: Zewnętrzne czynniki rozwojowe o oddziaływaniu pozytywnym</w:t>
        </w:r>
        <w:r w:rsidR="009C19BA">
          <w:rPr>
            <w:noProof/>
            <w:webHidden/>
          </w:rPr>
          <w:tab/>
        </w:r>
        <w:r w:rsidR="009C19BA">
          <w:rPr>
            <w:noProof/>
            <w:webHidden/>
          </w:rPr>
          <w:fldChar w:fldCharType="begin"/>
        </w:r>
        <w:r w:rsidR="009C19BA">
          <w:rPr>
            <w:noProof/>
            <w:webHidden/>
          </w:rPr>
          <w:instrText xml:space="preserve"> PAGEREF _Toc69723280 \h </w:instrText>
        </w:r>
        <w:r w:rsidR="009C19BA">
          <w:rPr>
            <w:noProof/>
            <w:webHidden/>
          </w:rPr>
        </w:r>
        <w:r w:rsidR="009C19BA">
          <w:rPr>
            <w:noProof/>
            <w:webHidden/>
          </w:rPr>
          <w:fldChar w:fldCharType="separate"/>
        </w:r>
        <w:r>
          <w:rPr>
            <w:noProof/>
            <w:webHidden/>
          </w:rPr>
          <w:t>160</w:t>
        </w:r>
        <w:r w:rsidR="009C19BA">
          <w:rPr>
            <w:noProof/>
            <w:webHidden/>
          </w:rPr>
          <w:fldChar w:fldCharType="end"/>
        </w:r>
      </w:hyperlink>
    </w:p>
    <w:p w14:paraId="1D82EC0C" w14:textId="5EFA7CEE" w:rsidR="009C19BA" w:rsidRDefault="00B14787">
      <w:pPr>
        <w:pStyle w:val="Spisilustracji"/>
        <w:tabs>
          <w:tab w:val="right" w:leader="dot" w:pos="8920"/>
        </w:tabs>
        <w:rPr>
          <w:rFonts w:eastAsiaTheme="minorEastAsia"/>
          <w:noProof/>
          <w:sz w:val="22"/>
          <w:lang w:val="pl-PL" w:eastAsia="pl-PL"/>
        </w:rPr>
      </w:pPr>
      <w:hyperlink w:anchor="_Toc69723281" w:history="1">
        <w:r w:rsidR="009C19BA" w:rsidRPr="00DB5C28">
          <w:rPr>
            <w:rStyle w:val="Hipercze"/>
            <w:noProof/>
            <w:lang w:val="pl-PL"/>
          </w:rPr>
          <w:t>Tabela 32: Wewnętrzne czynniki rozwojowe o oddziaływaniu negatywnym</w:t>
        </w:r>
        <w:r w:rsidR="009C19BA">
          <w:rPr>
            <w:noProof/>
            <w:webHidden/>
          </w:rPr>
          <w:tab/>
        </w:r>
        <w:r w:rsidR="009C19BA">
          <w:rPr>
            <w:noProof/>
            <w:webHidden/>
          </w:rPr>
          <w:fldChar w:fldCharType="begin"/>
        </w:r>
        <w:r w:rsidR="009C19BA">
          <w:rPr>
            <w:noProof/>
            <w:webHidden/>
          </w:rPr>
          <w:instrText xml:space="preserve"> PAGEREF _Toc69723281 \h </w:instrText>
        </w:r>
        <w:r w:rsidR="009C19BA">
          <w:rPr>
            <w:noProof/>
            <w:webHidden/>
          </w:rPr>
        </w:r>
        <w:r w:rsidR="009C19BA">
          <w:rPr>
            <w:noProof/>
            <w:webHidden/>
          </w:rPr>
          <w:fldChar w:fldCharType="separate"/>
        </w:r>
        <w:r>
          <w:rPr>
            <w:noProof/>
            <w:webHidden/>
          </w:rPr>
          <w:t>162</w:t>
        </w:r>
        <w:r w:rsidR="009C19BA">
          <w:rPr>
            <w:noProof/>
            <w:webHidden/>
          </w:rPr>
          <w:fldChar w:fldCharType="end"/>
        </w:r>
      </w:hyperlink>
    </w:p>
    <w:p w14:paraId="42A64EA4" w14:textId="29E949BE" w:rsidR="009C19BA" w:rsidRDefault="00B14787">
      <w:pPr>
        <w:pStyle w:val="Spisilustracji"/>
        <w:tabs>
          <w:tab w:val="right" w:leader="dot" w:pos="8920"/>
        </w:tabs>
        <w:rPr>
          <w:rFonts w:eastAsiaTheme="minorEastAsia"/>
          <w:noProof/>
          <w:sz w:val="22"/>
          <w:lang w:val="pl-PL" w:eastAsia="pl-PL"/>
        </w:rPr>
      </w:pPr>
      <w:hyperlink w:anchor="_Toc69723282" w:history="1">
        <w:r w:rsidR="009C19BA" w:rsidRPr="00DB5C28">
          <w:rPr>
            <w:rStyle w:val="Hipercze"/>
            <w:noProof/>
            <w:lang w:val="pl-PL"/>
          </w:rPr>
          <w:t>Tabela 33: Zewnętrzne czynniki rozwojowe o oddziaływaniu negatywnym</w:t>
        </w:r>
        <w:r w:rsidR="009C19BA">
          <w:rPr>
            <w:noProof/>
            <w:webHidden/>
          </w:rPr>
          <w:tab/>
        </w:r>
        <w:r w:rsidR="009C19BA">
          <w:rPr>
            <w:noProof/>
            <w:webHidden/>
          </w:rPr>
          <w:fldChar w:fldCharType="begin"/>
        </w:r>
        <w:r w:rsidR="009C19BA">
          <w:rPr>
            <w:noProof/>
            <w:webHidden/>
          </w:rPr>
          <w:instrText xml:space="preserve"> PAGEREF _Toc69723282 \h </w:instrText>
        </w:r>
        <w:r w:rsidR="009C19BA">
          <w:rPr>
            <w:noProof/>
            <w:webHidden/>
          </w:rPr>
        </w:r>
        <w:r w:rsidR="009C19BA">
          <w:rPr>
            <w:noProof/>
            <w:webHidden/>
          </w:rPr>
          <w:fldChar w:fldCharType="separate"/>
        </w:r>
        <w:r>
          <w:rPr>
            <w:noProof/>
            <w:webHidden/>
          </w:rPr>
          <w:t>165</w:t>
        </w:r>
        <w:r w:rsidR="009C19BA">
          <w:rPr>
            <w:noProof/>
            <w:webHidden/>
          </w:rPr>
          <w:fldChar w:fldCharType="end"/>
        </w:r>
      </w:hyperlink>
    </w:p>
    <w:p w14:paraId="0123D1F5" w14:textId="103BAC6F" w:rsidR="009C19BA" w:rsidRDefault="00B14787">
      <w:pPr>
        <w:pStyle w:val="Spisilustracji"/>
        <w:tabs>
          <w:tab w:val="right" w:leader="dot" w:pos="8920"/>
        </w:tabs>
        <w:rPr>
          <w:rFonts w:eastAsiaTheme="minorEastAsia"/>
          <w:noProof/>
          <w:sz w:val="22"/>
          <w:lang w:val="pl-PL" w:eastAsia="pl-PL"/>
        </w:rPr>
      </w:pPr>
      <w:hyperlink w:anchor="_Toc69723283" w:history="1">
        <w:r w:rsidR="009C19BA" w:rsidRPr="00DB5C28">
          <w:rPr>
            <w:rStyle w:val="Hipercze"/>
            <w:noProof/>
            <w:lang w:val="pl-PL"/>
          </w:rPr>
          <w:t>Tabela 34: Problemy i wyzwania rozwojowe</w:t>
        </w:r>
        <w:r w:rsidR="009C19BA">
          <w:rPr>
            <w:noProof/>
            <w:webHidden/>
          </w:rPr>
          <w:tab/>
        </w:r>
        <w:r w:rsidR="009C19BA">
          <w:rPr>
            <w:noProof/>
            <w:webHidden/>
          </w:rPr>
          <w:fldChar w:fldCharType="begin"/>
        </w:r>
        <w:r w:rsidR="009C19BA">
          <w:rPr>
            <w:noProof/>
            <w:webHidden/>
          </w:rPr>
          <w:instrText xml:space="preserve"> PAGEREF _Toc69723283 \h </w:instrText>
        </w:r>
        <w:r w:rsidR="009C19BA">
          <w:rPr>
            <w:noProof/>
            <w:webHidden/>
          </w:rPr>
        </w:r>
        <w:r w:rsidR="009C19BA">
          <w:rPr>
            <w:noProof/>
            <w:webHidden/>
          </w:rPr>
          <w:fldChar w:fldCharType="separate"/>
        </w:r>
        <w:r>
          <w:rPr>
            <w:noProof/>
            <w:webHidden/>
          </w:rPr>
          <w:t>166</w:t>
        </w:r>
        <w:r w:rsidR="009C19BA">
          <w:rPr>
            <w:noProof/>
            <w:webHidden/>
          </w:rPr>
          <w:fldChar w:fldCharType="end"/>
        </w:r>
      </w:hyperlink>
    </w:p>
    <w:p w14:paraId="563A5874" w14:textId="06893772" w:rsidR="009C19BA" w:rsidRDefault="00B14787">
      <w:pPr>
        <w:pStyle w:val="Spisilustracji"/>
        <w:tabs>
          <w:tab w:val="right" w:leader="dot" w:pos="8920"/>
        </w:tabs>
        <w:rPr>
          <w:rFonts w:eastAsiaTheme="minorEastAsia"/>
          <w:noProof/>
          <w:sz w:val="22"/>
          <w:lang w:val="pl-PL" w:eastAsia="pl-PL"/>
        </w:rPr>
      </w:pPr>
      <w:hyperlink w:anchor="_Toc69723284" w:history="1">
        <w:r w:rsidR="009C19BA" w:rsidRPr="00DB5C28">
          <w:rPr>
            <w:rStyle w:val="Hipercze"/>
            <w:noProof/>
            <w:lang w:val="pl-PL"/>
          </w:rPr>
          <w:t>Tabela 35:  Zasadność przyjętych kierunków rozwojowych</w:t>
        </w:r>
        <w:r w:rsidR="009C19BA">
          <w:rPr>
            <w:noProof/>
            <w:webHidden/>
          </w:rPr>
          <w:tab/>
        </w:r>
        <w:r w:rsidR="009C19BA">
          <w:rPr>
            <w:noProof/>
            <w:webHidden/>
          </w:rPr>
          <w:fldChar w:fldCharType="begin"/>
        </w:r>
        <w:r w:rsidR="009C19BA">
          <w:rPr>
            <w:noProof/>
            <w:webHidden/>
          </w:rPr>
          <w:instrText xml:space="preserve"> PAGEREF _Toc69723284 \h </w:instrText>
        </w:r>
        <w:r w:rsidR="009C19BA">
          <w:rPr>
            <w:noProof/>
            <w:webHidden/>
          </w:rPr>
        </w:r>
        <w:r w:rsidR="009C19BA">
          <w:rPr>
            <w:noProof/>
            <w:webHidden/>
          </w:rPr>
          <w:fldChar w:fldCharType="separate"/>
        </w:r>
        <w:r>
          <w:rPr>
            <w:noProof/>
            <w:webHidden/>
          </w:rPr>
          <w:t>168</w:t>
        </w:r>
        <w:r w:rsidR="009C19BA">
          <w:rPr>
            <w:noProof/>
            <w:webHidden/>
          </w:rPr>
          <w:fldChar w:fldCharType="end"/>
        </w:r>
      </w:hyperlink>
    </w:p>
    <w:p w14:paraId="176039AE" w14:textId="7069D42E" w:rsidR="009C19BA" w:rsidRDefault="00B14787">
      <w:pPr>
        <w:pStyle w:val="Spisilustracji"/>
        <w:tabs>
          <w:tab w:val="right" w:leader="dot" w:pos="8920"/>
        </w:tabs>
        <w:rPr>
          <w:rFonts w:eastAsiaTheme="minorEastAsia"/>
          <w:noProof/>
          <w:sz w:val="22"/>
          <w:lang w:val="pl-PL" w:eastAsia="pl-PL"/>
        </w:rPr>
      </w:pPr>
      <w:hyperlink w:anchor="_Toc69723285" w:history="1">
        <w:r w:rsidR="009C19BA" w:rsidRPr="00DB5C28">
          <w:rPr>
            <w:rStyle w:val="Hipercze"/>
            <w:noProof/>
          </w:rPr>
          <w:t>Tabela 36: Determinanty rozwojowe</w:t>
        </w:r>
        <w:r w:rsidR="009C19BA">
          <w:rPr>
            <w:noProof/>
            <w:webHidden/>
          </w:rPr>
          <w:tab/>
        </w:r>
        <w:r w:rsidR="009C19BA">
          <w:rPr>
            <w:noProof/>
            <w:webHidden/>
          </w:rPr>
          <w:fldChar w:fldCharType="begin"/>
        </w:r>
        <w:r w:rsidR="009C19BA">
          <w:rPr>
            <w:noProof/>
            <w:webHidden/>
          </w:rPr>
          <w:instrText xml:space="preserve"> PAGEREF _Toc69723285 \h </w:instrText>
        </w:r>
        <w:r w:rsidR="009C19BA">
          <w:rPr>
            <w:noProof/>
            <w:webHidden/>
          </w:rPr>
        </w:r>
        <w:r w:rsidR="009C19BA">
          <w:rPr>
            <w:noProof/>
            <w:webHidden/>
          </w:rPr>
          <w:fldChar w:fldCharType="separate"/>
        </w:r>
        <w:r>
          <w:rPr>
            <w:noProof/>
            <w:webHidden/>
          </w:rPr>
          <w:t>173</w:t>
        </w:r>
        <w:r w:rsidR="009C19BA">
          <w:rPr>
            <w:noProof/>
            <w:webHidden/>
          </w:rPr>
          <w:fldChar w:fldCharType="end"/>
        </w:r>
      </w:hyperlink>
    </w:p>
    <w:p w14:paraId="1C92FC02" w14:textId="6191777D" w:rsidR="003A1916" w:rsidRPr="00091BAE" w:rsidRDefault="005C2114" w:rsidP="00733091">
      <w:pPr>
        <w:ind w:left="0"/>
        <w:rPr>
          <w:noProof/>
          <w:lang w:val="pl-PL"/>
        </w:rPr>
      </w:pPr>
      <w:r w:rsidRPr="00091BAE">
        <w:rPr>
          <w:noProof/>
          <w:lang w:val="pl-PL"/>
        </w:rPr>
        <w:fldChar w:fldCharType="end"/>
      </w:r>
      <w:bookmarkEnd w:id="188"/>
    </w:p>
    <w:p w14:paraId="4DDAAA53" w14:textId="77777777" w:rsidR="003A1916" w:rsidRPr="00091BAE" w:rsidRDefault="003A1916" w:rsidP="00733091">
      <w:pPr>
        <w:ind w:left="0"/>
        <w:rPr>
          <w:noProof/>
          <w:lang w:val="pl-PL"/>
        </w:rPr>
      </w:pPr>
      <w:r w:rsidRPr="00091BAE">
        <w:rPr>
          <w:noProof/>
          <w:lang w:val="pl-PL"/>
        </w:rPr>
        <w:br w:type="page"/>
      </w:r>
    </w:p>
    <w:p w14:paraId="58C50493" w14:textId="5ACDB600" w:rsidR="005C2114" w:rsidRDefault="003A1916" w:rsidP="00733091">
      <w:pPr>
        <w:ind w:left="0"/>
        <w:rPr>
          <w:noProof/>
          <w:lang w:val="pl-PL"/>
        </w:rPr>
      </w:pPr>
      <w:r w:rsidRPr="00091BAE">
        <w:rPr>
          <w:noProof/>
          <w:lang w:val="pl-PL"/>
        </w:rPr>
        <w:lastRenderedPageBreak/>
        <w:drawing>
          <wp:anchor distT="0" distB="0" distL="114300" distR="114300" simplePos="0" relativeHeight="251658243" behindDoc="0" locked="0" layoutInCell="1" allowOverlap="1" wp14:anchorId="68C5EA4C" wp14:editId="6CE1B213">
            <wp:simplePos x="0" y="0"/>
            <wp:positionH relativeFrom="page">
              <wp:align>right</wp:align>
            </wp:positionH>
            <wp:positionV relativeFrom="paragraph">
              <wp:posOffset>-881380</wp:posOffset>
            </wp:positionV>
            <wp:extent cx="7558768" cy="10687823"/>
            <wp:effectExtent l="0" t="0" r="4445" b="0"/>
            <wp:wrapNone/>
            <wp:docPr id="23" name="Obraz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Obraz 23">
                      <a:extLst>
                        <a:ext uri="{C183D7F6-B498-43B3-948B-1728B52AA6E4}">
                          <adec:decorative xmlns:adec="http://schemas.microsoft.com/office/drawing/2017/decorative" val="1"/>
                        </a:ext>
                      </a:extLst>
                    </pic:cNvPr>
                    <pic:cNvPicPr/>
                  </pic:nvPicPr>
                  <pic:blipFill>
                    <a:blip r:embed="rId183">
                      <a:extLst>
                        <a:ext uri="{28A0092B-C50C-407E-A947-70E740481C1C}">
                          <a14:useLocalDpi xmlns:a14="http://schemas.microsoft.com/office/drawing/2010/main" val="0"/>
                        </a:ext>
                      </a:extLst>
                    </a:blip>
                    <a:stretch>
                      <a:fillRect/>
                    </a:stretch>
                  </pic:blipFill>
                  <pic:spPr>
                    <a:xfrm>
                      <a:off x="0" y="0"/>
                      <a:ext cx="7558768" cy="10687823"/>
                    </a:xfrm>
                    <a:prstGeom prst="rect">
                      <a:avLst/>
                    </a:prstGeom>
                  </pic:spPr>
                </pic:pic>
              </a:graphicData>
            </a:graphic>
            <wp14:sizeRelH relativeFrom="margin">
              <wp14:pctWidth>0</wp14:pctWidth>
            </wp14:sizeRelH>
            <wp14:sizeRelV relativeFrom="margin">
              <wp14:pctHeight>0</wp14:pctHeight>
            </wp14:sizeRelV>
          </wp:anchor>
        </w:drawing>
      </w:r>
      <w:bookmarkEnd w:id="189"/>
    </w:p>
    <w:p w14:paraId="20CC057A" w14:textId="49B7803B" w:rsidR="006514F9" w:rsidRDefault="006514F9" w:rsidP="00733091">
      <w:pPr>
        <w:ind w:left="0"/>
        <w:rPr>
          <w:noProof/>
          <w:lang w:val="pl-PL"/>
        </w:rPr>
      </w:pPr>
    </w:p>
    <w:p w14:paraId="1FBF29B5" w14:textId="6AFE3D7C" w:rsidR="00DD31FB" w:rsidRDefault="00DD31FB" w:rsidP="00733091">
      <w:pPr>
        <w:ind w:left="0"/>
        <w:rPr>
          <w:noProof/>
          <w:lang w:val="pl-PL"/>
        </w:rPr>
      </w:pPr>
    </w:p>
    <w:p w14:paraId="3689BA94" w14:textId="5CC79568" w:rsidR="00DD31FB" w:rsidRDefault="00DD31FB" w:rsidP="00733091">
      <w:pPr>
        <w:ind w:left="0"/>
        <w:rPr>
          <w:noProof/>
          <w:lang w:val="pl-PL"/>
        </w:rPr>
      </w:pPr>
    </w:p>
    <w:p w14:paraId="6FBBA838" w14:textId="0D316CB3" w:rsidR="00DD31FB" w:rsidRDefault="00DD31FB" w:rsidP="00733091">
      <w:pPr>
        <w:ind w:left="0"/>
        <w:rPr>
          <w:noProof/>
          <w:lang w:val="pl-PL"/>
        </w:rPr>
      </w:pPr>
    </w:p>
    <w:p w14:paraId="3C23C859" w14:textId="43C9D673" w:rsidR="00DD31FB" w:rsidRDefault="00DD31FB" w:rsidP="00733091">
      <w:pPr>
        <w:ind w:left="0"/>
        <w:rPr>
          <w:noProof/>
          <w:lang w:val="pl-PL"/>
        </w:rPr>
      </w:pPr>
    </w:p>
    <w:p w14:paraId="3134C4A2" w14:textId="70944ACF" w:rsidR="00DD31FB" w:rsidRPr="00091BAE" w:rsidRDefault="00DD31FB" w:rsidP="00733091">
      <w:pPr>
        <w:ind w:left="0"/>
        <w:rPr>
          <w:noProof/>
          <w:lang w:val="pl-PL"/>
        </w:rPr>
      </w:pPr>
    </w:p>
    <w:sectPr w:rsidR="00DD31FB" w:rsidRPr="00091BAE" w:rsidSect="003E270F">
      <w:pgSz w:w="11906" w:h="16838"/>
      <w:pgMar w:top="1418" w:right="155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74E9DE9" w14:textId="77777777" w:rsidR="00B14787" w:rsidRDefault="00B14787" w:rsidP="007739FF">
      <w:pPr>
        <w:spacing w:before="0" w:after="0" w:line="240" w:lineRule="auto"/>
      </w:pPr>
      <w:r>
        <w:separator/>
      </w:r>
    </w:p>
  </w:endnote>
  <w:endnote w:type="continuationSeparator" w:id="0">
    <w:p w14:paraId="3D2B1499" w14:textId="77777777" w:rsidR="00B14787" w:rsidRDefault="00B14787" w:rsidP="007739FF">
      <w:pPr>
        <w:spacing w:before="0" w:after="0" w:line="240" w:lineRule="auto"/>
      </w:pPr>
      <w:r>
        <w:continuationSeparator/>
      </w:r>
    </w:p>
  </w:endnote>
  <w:endnote w:type="continuationNotice" w:id="1">
    <w:p w14:paraId="7BF6184C" w14:textId="77777777" w:rsidR="00FD5EBE" w:rsidRDefault="00FD5EBE">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EE"/>
    <w:family w:val="modern"/>
    <w:pitch w:val="fixed"/>
    <w:sig w:usb0="E0002EFF" w:usb1="C0007843"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Arial">
    <w:panose1 w:val="020B0604020202020204"/>
    <w:charset w:val="EE"/>
    <w:family w:val="swiss"/>
    <w:pitch w:val="variable"/>
    <w:sig w:usb0="E0002EFF" w:usb1="C000785B" w:usb2="00000009" w:usb3="00000000" w:csb0="000001FF" w:csb1="00000000"/>
  </w:font>
  <w:font w:name="Segoe UI">
    <w:panose1 w:val="020B0502040204020203"/>
    <w:charset w:val="EE"/>
    <w:family w:val="swiss"/>
    <w:pitch w:val="variable"/>
    <w:sig w:usb0="E4002EFF" w:usb1="C000E47F" w:usb2="00000009" w:usb3="00000000" w:csb0="000001FF" w:csb1="00000000"/>
  </w:font>
  <w:font w:name="Verdana">
    <w:panose1 w:val="020B0604030504040204"/>
    <w:charset w:val="EE"/>
    <w:family w:val="swiss"/>
    <w:pitch w:val="variable"/>
    <w:sig w:usb0="A00006FF" w:usb1="4000205B" w:usb2="00000010" w:usb3="00000000" w:csb0="0000019F" w:csb1="00000000"/>
  </w:font>
  <w:font w:name="Tahoma">
    <w:panose1 w:val="020B0604030504040204"/>
    <w:charset w:val="EE"/>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6B4811" w14:textId="77777777" w:rsidR="00B14787" w:rsidRPr="00CA0AB8" w:rsidRDefault="00B14787" w:rsidP="00301EE3">
    <w:pPr>
      <w:pStyle w:val="Stopka"/>
      <w:ind w:left="0"/>
      <w:rPr>
        <w:szCs w:val="24"/>
      </w:rPr>
    </w:pPr>
    <w:sdt>
      <w:sdtPr>
        <w:id w:val="-1757345523"/>
        <w:docPartObj>
          <w:docPartGallery w:val="Page Numbers (Bottom of Page)"/>
          <w:docPartUnique/>
        </w:docPartObj>
      </w:sdtPr>
      <w:sdtEndPr>
        <w:rPr>
          <w:szCs w:val="24"/>
        </w:rPr>
      </w:sdtEndPr>
      <w:sdtContent>
        <w:r w:rsidRPr="00CA0AB8">
          <w:rPr>
            <w:szCs w:val="24"/>
          </w:rPr>
          <w:fldChar w:fldCharType="begin"/>
        </w:r>
        <w:r w:rsidRPr="00CA0AB8">
          <w:rPr>
            <w:szCs w:val="24"/>
          </w:rPr>
          <w:instrText>PAGE   \* MERGEFORMAT</w:instrText>
        </w:r>
        <w:r w:rsidRPr="00CA0AB8">
          <w:rPr>
            <w:szCs w:val="24"/>
          </w:rPr>
          <w:fldChar w:fldCharType="separate"/>
        </w:r>
        <w:r w:rsidRPr="00CA0AB8">
          <w:rPr>
            <w:szCs w:val="24"/>
            <w:lang w:val="pl-PL"/>
          </w:rPr>
          <w:t>2</w:t>
        </w:r>
        <w:r w:rsidRPr="00CA0AB8">
          <w:rPr>
            <w:szCs w:val="24"/>
          </w:rPr>
          <w:fldChar w:fldCharType="end"/>
        </w:r>
      </w:sdtContent>
    </w:sdt>
  </w:p>
  <w:p w14:paraId="0CB89D87" w14:textId="77777777" w:rsidR="00B14787" w:rsidRDefault="00B14787">
    <w:pPr>
      <w:pStyle w:val="Stopka"/>
    </w:pPr>
    <w:r>
      <w:rPr>
        <w:noProof/>
      </w:rPr>
      <w:drawing>
        <wp:anchor distT="0" distB="0" distL="114300" distR="114300" simplePos="0" relativeHeight="251658240" behindDoc="1" locked="0" layoutInCell="1" allowOverlap="1" wp14:anchorId="6BE40C6B" wp14:editId="26BD6321">
          <wp:simplePos x="0" y="0"/>
          <wp:positionH relativeFrom="margin">
            <wp:posOffset>0</wp:posOffset>
          </wp:positionH>
          <wp:positionV relativeFrom="page">
            <wp:posOffset>10153650</wp:posOffset>
          </wp:positionV>
          <wp:extent cx="720000" cy="46800"/>
          <wp:effectExtent l="0" t="0" r="0" b="0"/>
          <wp:wrapNone/>
          <wp:docPr id="143" name="Obraz 1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az 14">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flipV="1">
                    <a:off x="0" y="0"/>
                    <a:ext cx="720000" cy="46800"/>
                  </a:xfrm>
                  <a:prstGeom prst="rect">
                    <a:avLst/>
                  </a:prstGeom>
                </pic:spPr>
              </pic:pic>
            </a:graphicData>
          </a:graphic>
          <wp14:sizeRelH relativeFrom="margin">
            <wp14:pctWidth>0</wp14:pctWidth>
          </wp14:sizeRelH>
          <wp14:sizeRelV relativeFrom="margin">
            <wp14:pctHeight>0</wp14:pctHeight>
          </wp14:sizeRelV>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29688936"/>
      <w:docPartObj>
        <w:docPartGallery w:val="Page Numbers (Bottom of Page)"/>
        <w:docPartUnique/>
      </w:docPartObj>
    </w:sdtPr>
    <w:sdtEndPr>
      <w:rPr>
        <w:rFonts w:cstheme="minorHAnsi"/>
        <w:b/>
        <w:bCs/>
        <w:szCs w:val="24"/>
      </w:rPr>
    </w:sdtEndPr>
    <w:sdtContent>
      <w:p w14:paraId="4786611F" w14:textId="77777777" w:rsidR="00B14787" w:rsidRPr="00422850" w:rsidRDefault="00B14787" w:rsidP="00CA0AB8">
        <w:pPr>
          <w:pStyle w:val="Stopka"/>
          <w:ind w:left="0"/>
          <w:jc w:val="right"/>
          <w:rPr>
            <w:rFonts w:cstheme="minorHAnsi"/>
            <w:szCs w:val="24"/>
          </w:rPr>
        </w:pPr>
        <w:r w:rsidRPr="00422850">
          <w:rPr>
            <w:rFonts w:cstheme="minorHAnsi"/>
            <w:szCs w:val="24"/>
          </w:rPr>
          <w:fldChar w:fldCharType="begin"/>
        </w:r>
        <w:r w:rsidRPr="00422850">
          <w:rPr>
            <w:rFonts w:cstheme="minorHAnsi"/>
            <w:szCs w:val="24"/>
          </w:rPr>
          <w:instrText>PAGE   \* MERGEFORMAT</w:instrText>
        </w:r>
        <w:r w:rsidRPr="00422850">
          <w:rPr>
            <w:rFonts w:cstheme="minorHAnsi"/>
            <w:szCs w:val="24"/>
          </w:rPr>
          <w:fldChar w:fldCharType="separate"/>
        </w:r>
        <w:r w:rsidRPr="00422850">
          <w:rPr>
            <w:rFonts w:cstheme="minorHAnsi"/>
            <w:szCs w:val="24"/>
            <w:lang w:val="pl-PL"/>
          </w:rPr>
          <w:t>2</w:t>
        </w:r>
        <w:r w:rsidRPr="00422850">
          <w:rPr>
            <w:rFonts w:cstheme="minorHAnsi"/>
            <w:szCs w:val="24"/>
          </w:rPr>
          <w:fldChar w:fldCharType="end"/>
        </w:r>
      </w:p>
    </w:sdtContent>
  </w:sdt>
  <w:p w14:paraId="0948CF70" w14:textId="77777777" w:rsidR="00B14787" w:rsidRDefault="00B14787">
    <w:pPr>
      <w:pStyle w:val="Stopka"/>
    </w:pPr>
    <w:r>
      <w:rPr>
        <w:noProof/>
      </w:rPr>
      <w:drawing>
        <wp:anchor distT="0" distB="0" distL="114300" distR="114300" simplePos="0" relativeHeight="251658241" behindDoc="1" locked="0" layoutInCell="1" allowOverlap="1" wp14:anchorId="4A909F03" wp14:editId="29310E82">
          <wp:simplePos x="0" y="0"/>
          <wp:positionH relativeFrom="margin">
            <wp:posOffset>5040630</wp:posOffset>
          </wp:positionH>
          <wp:positionV relativeFrom="page">
            <wp:posOffset>10153650</wp:posOffset>
          </wp:positionV>
          <wp:extent cx="720000" cy="46800"/>
          <wp:effectExtent l="0" t="0" r="0" b="0"/>
          <wp:wrapNone/>
          <wp:docPr id="144" name="Obraz 1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Obraz 18">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flipV="1">
                    <a:off x="0" y="0"/>
                    <a:ext cx="720000" cy="46800"/>
                  </a:xfrm>
                  <a:prstGeom prst="rect">
                    <a:avLst/>
                  </a:prstGeom>
                </pic:spPr>
              </pic:pic>
            </a:graphicData>
          </a:graphic>
          <wp14:sizeRelH relativeFrom="margin">
            <wp14:pctWidth>0</wp14:pctWidth>
          </wp14:sizeRelH>
          <wp14:sizeRelV relativeFrom="margin">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7A797B" w14:textId="77777777" w:rsidR="00B14787" w:rsidRDefault="00B14787">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8A480D0" w14:textId="77777777" w:rsidR="00B14787" w:rsidRDefault="00B14787" w:rsidP="007739FF">
      <w:pPr>
        <w:spacing w:before="0" w:after="0" w:line="240" w:lineRule="auto"/>
      </w:pPr>
      <w:r>
        <w:separator/>
      </w:r>
    </w:p>
  </w:footnote>
  <w:footnote w:type="continuationSeparator" w:id="0">
    <w:p w14:paraId="5A08858F" w14:textId="77777777" w:rsidR="00B14787" w:rsidRDefault="00B14787" w:rsidP="007739FF">
      <w:pPr>
        <w:spacing w:before="0" w:after="0" w:line="240" w:lineRule="auto"/>
      </w:pPr>
      <w:r>
        <w:continuationSeparator/>
      </w:r>
    </w:p>
  </w:footnote>
  <w:footnote w:type="continuationNotice" w:id="1">
    <w:p w14:paraId="012E40C2" w14:textId="77777777" w:rsidR="00FD5EBE" w:rsidRDefault="00FD5EBE">
      <w:pPr>
        <w:spacing w:before="0" w:after="0" w:line="240" w:lineRule="auto"/>
      </w:pPr>
    </w:p>
  </w:footnote>
  <w:footnote w:id="2">
    <w:p w14:paraId="3130E9F7" w14:textId="77777777" w:rsidR="00B14787" w:rsidRPr="005B63BD" w:rsidRDefault="00B14787" w:rsidP="00A53827">
      <w:pPr>
        <w:pStyle w:val="Tekstprzypisudolnego"/>
        <w:spacing w:before="100" w:beforeAutospacing="1" w:after="100" w:afterAutospacing="1" w:line="240" w:lineRule="auto"/>
        <w:contextualSpacing/>
        <w:jc w:val="both"/>
        <w:rPr>
          <w:rFonts w:asciiTheme="minorHAnsi" w:hAnsiTheme="minorHAnsi" w:cstheme="minorHAnsi"/>
          <w:sz w:val="20"/>
          <w:lang w:val="pl-PL"/>
        </w:rPr>
      </w:pPr>
      <w:r w:rsidRPr="005B63BD">
        <w:rPr>
          <w:rStyle w:val="Odwoanieprzypisudolnego"/>
          <w:rFonts w:asciiTheme="minorHAnsi" w:hAnsiTheme="minorHAnsi" w:cstheme="minorHAnsi"/>
          <w:i/>
          <w:iCs/>
          <w:sz w:val="20"/>
        </w:rPr>
        <w:footnoteRef/>
      </w:r>
      <w:r w:rsidRPr="005B63BD">
        <w:rPr>
          <w:rFonts w:asciiTheme="minorHAnsi" w:hAnsiTheme="minorHAnsi" w:cstheme="minorHAnsi"/>
          <w:i/>
          <w:iCs/>
          <w:sz w:val="20"/>
          <w:lang w:val="pl-PL"/>
        </w:rPr>
        <w:t xml:space="preserve"> </w:t>
      </w:r>
      <w:r w:rsidRPr="005B63BD">
        <w:rPr>
          <w:rFonts w:asciiTheme="minorHAnsi" w:hAnsiTheme="minorHAnsi" w:cstheme="minorHAnsi"/>
          <w:sz w:val="20"/>
          <w:lang w:val="pl-PL"/>
        </w:rPr>
        <w:t>W statystyce publicznej na dzień opracowania diagnozy nie były dostępne dane za 2020 r.</w:t>
      </w:r>
      <w:r w:rsidRPr="005B63BD">
        <w:rPr>
          <w:rFonts w:asciiTheme="minorHAnsi" w:hAnsiTheme="minorHAnsi" w:cstheme="minorHAnsi"/>
          <w:i/>
          <w:iCs/>
          <w:sz w:val="20"/>
          <w:lang w:val="pl-PL"/>
        </w:rPr>
        <w:t xml:space="preserve"> </w:t>
      </w:r>
      <w:r w:rsidRPr="005B63BD">
        <w:rPr>
          <w:rFonts w:asciiTheme="minorHAnsi" w:hAnsiTheme="minorHAnsi" w:cstheme="minorHAnsi"/>
          <w:sz w:val="20"/>
          <w:lang w:val="pl-PL"/>
        </w:rPr>
        <w:t>Zakres czasowy diagnozy jest różny w zależności od analizowanego obszaru.</w:t>
      </w:r>
    </w:p>
  </w:footnote>
  <w:footnote w:id="3">
    <w:p w14:paraId="3C8C76E2" w14:textId="622F7E19" w:rsidR="00B14787" w:rsidRPr="005B63BD" w:rsidRDefault="00B14787" w:rsidP="00A53827">
      <w:pPr>
        <w:pStyle w:val="Tekstprzypisudolnego"/>
        <w:spacing w:before="100" w:beforeAutospacing="1" w:after="100" w:afterAutospacing="1" w:line="240" w:lineRule="auto"/>
        <w:contextualSpacing/>
        <w:jc w:val="both"/>
        <w:rPr>
          <w:rFonts w:asciiTheme="minorHAnsi" w:hAnsiTheme="minorHAnsi" w:cstheme="minorHAnsi"/>
          <w:sz w:val="20"/>
          <w:lang w:val="pl-PL"/>
        </w:rPr>
      </w:pPr>
      <w:r w:rsidRPr="005B63BD">
        <w:rPr>
          <w:rStyle w:val="Odwoanieprzypisudolnego"/>
          <w:rFonts w:asciiTheme="minorHAnsi" w:hAnsiTheme="minorHAnsi" w:cstheme="minorHAnsi"/>
          <w:sz w:val="20"/>
        </w:rPr>
        <w:footnoteRef/>
      </w:r>
      <w:r w:rsidRPr="005B63BD">
        <w:rPr>
          <w:rFonts w:asciiTheme="minorHAnsi" w:hAnsiTheme="minorHAnsi" w:cstheme="minorHAnsi"/>
          <w:sz w:val="20"/>
          <w:lang w:val="pl-PL"/>
        </w:rPr>
        <w:t xml:space="preserve"> Ankietowe badania powiązań funkcjonalnych na obszarze Partnerstwa (luty 2021 r.), badanie kultury organizacyjnej Partnerstwa (luty 2021 r.), badanie ankietowe realizacji celów strategicznych JST wchodzących w skład Partnerstwa (luty 2021 r.), badanie potencjału instytucjonalnego Partnerstwa (marzec 2021 r.)</w:t>
      </w:r>
    </w:p>
  </w:footnote>
  <w:footnote w:id="4">
    <w:p w14:paraId="73B980E2" w14:textId="77777777" w:rsidR="00B14787" w:rsidRPr="005B63BD" w:rsidRDefault="00B14787" w:rsidP="00A53827">
      <w:pPr>
        <w:pStyle w:val="Tekstprzypisudolnego"/>
        <w:spacing w:before="100" w:beforeAutospacing="1" w:after="100" w:afterAutospacing="1" w:line="240" w:lineRule="auto"/>
        <w:contextualSpacing/>
        <w:jc w:val="both"/>
        <w:rPr>
          <w:rFonts w:asciiTheme="minorHAnsi" w:hAnsiTheme="minorHAnsi" w:cstheme="minorHAnsi"/>
          <w:sz w:val="20"/>
          <w:lang w:val="pl-PL"/>
        </w:rPr>
      </w:pPr>
      <w:r w:rsidRPr="005B63BD">
        <w:rPr>
          <w:rStyle w:val="Odwoanieprzypisudolnego"/>
          <w:rFonts w:asciiTheme="minorHAnsi" w:hAnsiTheme="minorHAnsi" w:cstheme="minorHAnsi"/>
          <w:sz w:val="20"/>
        </w:rPr>
        <w:footnoteRef/>
      </w:r>
      <w:r w:rsidRPr="005B63BD">
        <w:rPr>
          <w:rFonts w:asciiTheme="minorHAnsi" w:hAnsiTheme="minorHAnsi" w:cstheme="minorHAnsi"/>
          <w:sz w:val="20"/>
          <w:lang w:val="pl-PL"/>
        </w:rPr>
        <w:t xml:space="preserve"> Anonimowe badanie ankietowe liderów lokalnych: społecznych, gospodarczych, samorządowych (marzec 2021 r.)</w:t>
      </w:r>
    </w:p>
  </w:footnote>
  <w:footnote w:id="5">
    <w:p w14:paraId="2E925491" w14:textId="224DFC03" w:rsidR="00B14787" w:rsidRPr="005B63BD" w:rsidRDefault="00B14787" w:rsidP="00A53827">
      <w:pPr>
        <w:pStyle w:val="Tekstprzypisudolnego"/>
        <w:spacing w:before="100" w:beforeAutospacing="1" w:after="100" w:afterAutospacing="1" w:line="240" w:lineRule="auto"/>
        <w:contextualSpacing/>
        <w:jc w:val="both"/>
        <w:rPr>
          <w:rFonts w:asciiTheme="minorHAnsi" w:hAnsiTheme="minorHAnsi" w:cstheme="minorHAnsi"/>
          <w:sz w:val="20"/>
          <w:lang w:val="pl-PL"/>
        </w:rPr>
      </w:pPr>
      <w:r w:rsidRPr="005B63BD">
        <w:rPr>
          <w:rStyle w:val="Odwoanieprzypisudolnego"/>
          <w:rFonts w:asciiTheme="minorHAnsi" w:hAnsiTheme="minorHAnsi" w:cstheme="minorHAnsi"/>
          <w:sz w:val="20"/>
        </w:rPr>
        <w:footnoteRef/>
      </w:r>
      <w:r w:rsidRPr="005B63BD">
        <w:rPr>
          <w:rFonts w:asciiTheme="minorHAnsi" w:hAnsiTheme="minorHAnsi" w:cstheme="minorHAnsi"/>
          <w:sz w:val="20"/>
          <w:lang w:val="pl-PL"/>
        </w:rPr>
        <w:t xml:space="preserve"> Anonimowe badanie ankietowe mieszkańców obszaru Partnerstwa: jakość życia (sierpień 2020 r.), powiązania funkcjonalne i jakość życia (luty 2021 r.), </w:t>
      </w:r>
    </w:p>
  </w:footnote>
  <w:footnote w:id="6">
    <w:p w14:paraId="3EC2F8E5" w14:textId="77777777" w:rsidR="00B14787" w:rsidRPr="00733091" w:rsidRDefault="00B14787" w:rsidP="00A53827">
      <w:pPr>
        <w:pStyle w:val="Tekstprzypisudolnego"/>
        <w:spacing w:before="100" w:beforeAutospacing="1" w:after="100" w:afterAutospacing="1" w:line="240" w:lineRule="auto"/>
        <w:contextualSpacing/>
        <w:jc w:val="both"/>
        <w:rPr>
          <w:sz w:val="18"/>
          <w:szCs w:val="18"/>
          <w:lang w:val="pl-PL"/>
        </w:rPr>
      </w:pPr>
      <w:r w:rsidRPr="005B63BD">
        <w:rPr>
          <w:rStyle w:val="Odwoanieprzypisudolnego"/>
          <w:rFonts w:asciiTheme="minorHAnsi" w:hAnsiTheme="minorHAnsi" w:cstheme="minorHAnsi"/>
          <w:sz w:val="20"/>
        </w:rPr>
        <w:footnoteRef/>
      </w:r>
      <w:r w:rsidRPr="005B63BD">
        <w:rPr>
          <w:rFonts w:asciiTheme="minorHAnsi" w:hAnsiTheme="minorHAnsi" w:cstheme="minorHAnsi"/>
          <w:sz w:val="20"/>
          <w:lang w:val="pl-PL"/>
        </w:rPr>
        <w:t xml:space="preserve"> Anonimowe badania ankietowe uczniów ostatnich klas szkół ponadpodstawowych obszaru Partnerstwa: opinie i plany życiowe młodzieży (styczeń 2021 r.)</w:t>
      </w:r>
    </w:p>
  </w:footnote>
  <w:footnote w:id="7">
    <w:p w14:paraId="79B3E938" w14:textId="67404B1F" w:rsidR="00B14787" w:rsidRPr="00136B5A" w:rsidRDefault="00B14787" w:rsidP="00136B5A">
      <w:pPr>
        <w:pStyle w:val="Tekstprzypisudolnego"/>
        <w:spacing w:before="100" w:beforeAutospacing="1" w:after="100" w:afterAutospacing="1" w:line="240" w:lineRule="auto"/>
        <w:contextualSpacing/>
        <w:rPr>
          <w:sz w:val="18"/>
          <w:szCs w:val="18"/>
          <w:lang w:val="pl-PL"/>
        </w:rPr>
      </w:pPr>
      <w:r w:rsidRPr="00136B5A">
        <w:rPr>
          <w:rStyle w:val="Odwoanieprzypisudolnego"/>
          <w:sz w:val="18"/>
          <w:szCs w:val="18"/>
        </w:rPr>
        <w:footnoteRef/>
      </w:r>
      <w:r w:rsidRPr="00136B5A">
        <w:rPr>
          <w:sz w:val="18"/>
          <w:szCs w:val="18"/>
          <w:lang w:val="pl-PL"/>
        </w:rPr>
        <w:t xml:space="preserve"> </w:t>
      </w:r>
      <w:r w:rsidRPr="00136B5A">
        <w:rPr>
          <w:rFonts w:asciiTheme="minorHAnsi" w:hAnsiTheme="minorHAnsi" w:cstheme="minorHAnsi"/>
          <w:sz w:val="20"/>
          <w:lang w:val="pl-PL"/>
        </w:rPr>
        <w:t xml:space="preserve">Wykorzystano dane dostępne na dzień </w:t>
      </w:r>
      <w:r w:rsidRPr="00F91E78">
        <w:rPr>
          <w:rFonts w:asciiTheme="minorHAnsi" w:hAnsiTheme="minorHAnsi" w:cstheme="minorHAnsi"/>
          <w:b/>
          <w:bCs/>
          <w:sz w:val="20"/>
          <w:lang w:val="pl-PL"/>
        </w:rPr>
        <w:t>19.04.2021 r.</w:t>
      </w:r>
      <w:r w:rsidRPr="00136B5A">
        <w:rPr>
          <w:rFonts w:asciiTheme="minorHAnsi" w:hAnsiTheme="minorHAnsi" w:cstheme="minorHAnsi"/>
          <w:sz w:val="22"/>
          <w:szCs w:val="22"/>
          <w:lang w:val="pl-PL"/>
        </w:rPr>
        <w:t xml:space="preserve"> </w:t>
      </w:r>
    </w:p>
  </w:footnote>
  <w:footnote w:id="8">
    <w:p w14:paraId="58D34833" w14:textId="77777777" w:rsidR="00B14787" w:rsidRPr="00733091" w:rsidRDefault="00B14787" w:rsidP="00136B5A">
      <w:pPr>
        <w:pStyle w:val="Tekstprzypisudolnego"/>
        <w:spacing w:before="100" w:beforeAutospacing="1" w:after="100" w:afterAutospacing="1" w:line="240" w:lineRule="auto"/>
        <w:contextualSpacing/>
        <w:jc w:val="both"/>
        <w:rPr>
          <w:rFonts w:asciiTheme="minorHAnsi" w:hAnsiTheme="minorHAnsi" w:cstheme="minorHAnsi"/>
          <w:sz w:val="20"/>
          <w:lang w:val="pl-PL"/>
        </w:rPr>
      </w:pPr>
      <w:r w:rsidRPr="00733091">
        <w:rPr>
          <w:rStyle w:val="Odwoanieprzypisudolnego"/>
          <w:rFonts w:asciiTheme="minorHAnsi" w:hAnsiTheme="minorHAnsi" w:cstheme="minorHAnsi"/>
          <w:sz w:val="20"/>
        </w:rPr>
        <w:footnoteRef/>
      </w:r>
      <w:r w:rsidRPr="00733091">
        <w:rPr>
          <w:rFonts w:asciiTheme="minorHAnsi" w:hAnsiTheme="minorHAnsi" w:cstheme="minorHAnsi"/>
          <w:sz w:val="20"/>
          <w:lang w:val="pl-PL"/>
        </w:rPr>
        <w:t xml:space="preserve"> Metodykę diagnozy obszaru opracowano z uwzględnieniem zaawansowania prac Partnerstwa nad określeniem kierunków strategicznych </w:t>
      </w:r>
    </w:p>
  </w:footnote>
  <w:footnote w:id="9">
    <w:p w14:paraId="3C85B2A8" w14:textId="77777777" w:rsidR="00B14787" w:rsidRPr="00733091" w:rsidRDefault="00B14787" w:rsidP="00136B5A">
      <w:pPr>
        <w:pStyle w:val="Tekstprzypisudolnego"/>
        <w:spacing w:before="100" w:beforeAutospacing="1" w:after="100" w:afterAutospacing="1" w:line="240" w:lineRule="auto"/>
        <w:contextualSpacing/>
        <w:jc w:val="both"/>
        <w:rPr>
          <w:rFonts w:asciiTheme="minorHAnsi" w:hAnsiTheme="minorHAnsi" w:cstheme="minorHAnsi"/>
          <w:sz w:val="20"/>
          <w:lang w:val="pl-PL"/>
        </w:rPr>
      </w:pPr>
      <w:r w:rsidRPr="00733091">
        <w:rPr>
          <w:rStyle w:val="Odwoanieprzypisudolnego"/>
          <w:rFonts w:asciiTheme="minorHAnsi" w:hAnsiTheme="minorHAnsi" w:cstheme="minorHAnsi"/>
          <w:sz w:val="20"/>
        </w:rPr>
        <w:footnoteRef/>
      </w:r>
      <w:r w:rsidRPr="00733091">
        <w:rPr>
          <w:rFonts w:asciiTheme="minorHAnsi" w:hAnsiTheme="minorHAnsi" w:cstheme="minorHAnsi"/>
          <w:sz w:val="20"/>
          <w:lang w:val="pl-PL"/>
        </w:rPr>
        <w:t xml:space="preserve"> Diagnoza wstępna obszaru Partnerstwa zawarta jest w Rozdziale 2.1. niniejszego opracowania  </w:t>
      </w:r>
    </w:p>
  </w:footnote>
  <w:footnote w:id="10">
    <w:p w14:paraId="7023A09C" w14:textId="77777777" w:rsidR="00B14787" w:rsidRPr="00733091" w:rsidRDefault="00B14787" w:rsidP="00136B5A">
      <w:pPr>
        <w:pStyle w:val="Tekstprzypisudolnego"/>
        <w:spacing w:before="100" w:beforeAutospacing="1" w:after="100" w:afterAutospacing="1" w:line="240" w:lineRule="auto"/>
        <w:contextualSpacing/>
        <w:jc w:val="both"/>
        <w:rPr>
          <w:lang w:val="pl-PL"/>
        </w:rPr>
      </w:pPr>
      <w:r w:rsidRPr="00733091">
        <w:rPr>
          <w:rStyle w:val="Odwoanieprzypisudolnego"/>
          <w:rFonts w:asciiTheme="minorHAnsi" w:hAnsiTheme="minorHAnsi" w:cstheme="minorHAnsi"/>
          <w:sz w:val="20"/>
        </w:rPr>
        <w:footnoteRef/>
      </w:r>
      <w:r w:rsidRPr="00733091">
        <w:rPr>
          <w:rFonts w:asciiTheme="minorHAnsi" w:hAnsiTheme="minorHAnsi" w:cstheme="minorHAnsi"/>
          <w:sz w:val="20"/>
          <w:lang w:val="pl-PL"/>
        </w:rPr>
        <w:t xml:space="preserve"> Stosowana w tekście nazwa „Południowe Mazury” odnosi się wyłącznie do Partnerstwa Południowe Mazury, a nie obszaru geograficznego.</w:t>
      </w:r>
    </w:p>
  </w:footnote>
  <w:footnote w:id="11">
    <w:p w14:paraId="21D568C0" w14:textId="77777777" w:rsidR="00B14787" w:rsidRPr="00733091" w:rsidRDefault="00B14787" w:rsidP="00A53827">
      <w:pPr>
        <w:pStyle w:val="Tekstprzypisudolnego"/>
        <w:spacing w:before="100" w:beforeAutospacing="1" w:after="100" w:afterAutospacing="1" w:line="240" w:lineRule="auto"/>
        <w:contextualSpacing/>
        <w:jc w:val="both"/>
        <w:rPr>
          <w:rFonts w:asciiTheme="minorHAnsi" w:hAnsiTheme="minorHAnsi" w:cstheme="minorHAnsi"/>
          <w:sz w:val="20"/>
          <w:lang w:val="pl-PL"/>
        </w:rPr>
      </w:pPr>
      <w:r w:rsidRPr="00733091">
        <w:rPr>
          <w:rStyle w:val="Odwoanieprzypisudolnego"/>
          <w:rFonts w:asciiTheme="minorHAnsi" w:hAnsiTheme="minorHAnsi" w:cstheme="minorHAnsi"/>
          <w:sz w:val="20"/>
        </w:rPr>
        <w:footnoteRef/>
      </w:r>
      <w:r w:rsidRPr="00733091">
        <w:rPr>
          <w:rFonts w:asciiTheme="minorHAnsi" w:hAnsiTheme="minorHAnsi" w:cstheme="minorHAnsi"/>
          <w:sz w:val="20"/>
          <w:lang w:val="pl-PL"/>
        </w:rPr>
        <w:t xml:space="preserve"> Diagnoza pogłębiona obszaru Partnerstwa zawarta jest w Rozdziale 2.2, 2.3 i 2.4 niniejszego opracowania  </w:t>
      </w:r>
    </w:p>
  </w:footnote>
  <w:footnote w:id="12">
    <w:p w14:paraId="13204CC5" w14:textId="77777777" w:rsidR="00B14787" w:rsidRPr="00733091" w:rsidRDefault="00B14787" w:rsidP="00A53827">
      <w:pPr>
        <w:pStyle w:val="Tekstprzypisudolnego"/>
        <w:spacing w:before="100" w:beforeAutospacing="1" w:after="100" w:afterAutospacing="1" w:line="240" w:lineRule="auto"/>
        <w:contextualSpacing/>
        <w:jc w:val="both"/>
        <w:rPr>
          <w:rFonts w:asciiTheme="minorHAnsi" w:hAnsiTheme="minorHAnsi" w:cstheme="minorHAnsi"/>
          <w:sz w:val="20"/>
          <w:lang w:val="pl-PL"/>
        </w:rPr>
      </w:pPr>
      <w:r w:rsidRPr="00733091">
        <w:rPr>
          <w:rStyle w:val="Odwoanieprzypisudolnego"/>
          <w:rFonts w:asciiTheme="minorHAnsi" w:hAnsiTheme="minorHAnsi" w:cstheme="minorHAnsi"/>
          <w:sz w:val="20"/>
        </w:rPr>
        <w:footnoteRef/>
      </w:r>
      <w:r w:rsidRPr="00733091">
        <w:rPr>
          <w:rFonts w:asciiTheme="minorHAnsi" w:hAnsiTheme="minorHAnsi" w:cstheme="minorHAnsi"/>
          <w:sz w:val="20"/>
          <w:lang w:val="pl-PL"/>
        </w:rPr>
        <w:t xml:space="preserve"> Diagnoza zasobów instytucjonalnych, współpracy i aktywności partnerstwa zawarta jest w Rozdziale 2.2.5.3 i 2.2.5.4. niniejszego opracowania </w:t>
      </w:r>
    </w:p>
  </w:footnote>
  <w:footnote w:id="13">
    <w:p w14:paraId="592DCBD3" w14:textId="77777777" w:rsidR="00B14787" w:rsidRPr="00733091" w:rsidRDefault="00B14787" w:rsidP="00A53827">
      <w:pPr>
        <w:pStyle w:val="Tekstprzypisudolnego"/>
        <w:spacing w:before="100" w:beforeAutospacing="1" w:after="100" w:afterAutospacing="1" w:line="240" w:lineRule="auto"/>
        <w:contextualSpacing/>
        <w:jc w:val="both"/>
        <w:rPr>
          <w:lang w:val="pl-PL"/>
        </w:rPr>
      </w:pPr>
      <w:r w:rsidRPr="00733091">
        <w:rPr>
          <w:rStyle w:val="Odwoanieprzypisudolnego"/>
          <w:rFonts w:asciiTheme="minorHAnsi" w:hAnsiTheme="minorHAnsi" w:cstheme="minorHAnsi"/>
          <w:sz w:val="20"/>
        </w:rPr>
        <w:footnoteRef/>
      </w:r>
      <w:r w:rsidRPr="00733091">
        <w:rPr>
          <w:rFonts w:asciiTheme="minorHAnsi" w:hAnsiTheme="minorHAnsi" w:cstheme="minorHAnsi"/>
          <w:sz w:val="20"/>
          <w:lang w:val="pl-PL"/>
        </w:rPr>
        <w:t xml:space="preserve"> Diagnoza zdolności Partnerstwa do finansowania rozwoju zawarta jest w Rozdziale 2.3.3 niniejszego opracowania</w:t>
      </w:r>
      <w:r w:rsidRPr="00733091">
        <w:rPr>
          <w:lang w:val="pl-PL"/>
        </w:rPr>
        <w:t xml:space="preserve"> </w:t>
      </w:r>
    </w:p>
  </w:footnote>
  <w:footnote w:id="14">
    <w:p w14:paraId="6C01A45A" w14:textId="545ACEBC" w:rsidR="00B14787" w:rsidRPr="00D467C8" w:rsidRDefault="00B14787">
      <w:pPr>
        <w:pStyle w:val="Tekstprzypisudolnego"/>
        <w:rPr>
          <w:rFonts w:asciiTheme="minorHAnsi" w:hAnsiTheme="minorHAnsi" w:cstheme="minorHAnsi"/>
          <w:sz w:val="20"/>
          <w:lang w:val="pl-PL"/>
        </w:rPr>
      </w:pPr>
      <w:r w:rsidRPr="00D467C8">
        <w:rPr>
          <w:rStyle w:val="Odwoanieprzypisudolnego"/>
          <w:rFonts w:asciiTheme="minorHAnsi" w:hAnsiTheme="minorHAnsi" w:cstheme="minorHAnsi"/>
          <w:sz w:val="20"/>
        </w:rPr>
        <w:footnoteRef/>
      </w:r>
      <w:r w:rsidRPr="00D467C8">
        <w:rPr>
          <w:rFonts w:asciiTheme="minorHAnsi" w:hAnsiTheme="minorHAnsi" w:cstheme="minorHAnsi"/>
          <w:sz w:val="20"/>
          <w:lang w:val="pl-PL"/>
        </w:rPr>
        <w:t xml:space="preserve"> Użyty </w:t>
      </w:r>
      <w:r>
        <w:rPr>
          <w:rFonts w:asciiTheme="minorHAnsi" w:hAnsiTheme="minorHAnsi" w:cstheme="minorHAnsi"/>
          <w:sz w:val="20"/>
          <w:lang w:val="pl-PL"/>
        </w:rPr>
        <w:t xml:space="preserve">w opracowaniu skrót JST </w:t>
      </w:r>
      <w:r w:rsidRPr="00D467C8">
        <w:rPr>
          <w:rFonts w:asciiTheme="minorHAnsi" w:hAnsiTheme="minorHAnsi" w:cstheme="minorHAnsi"/>
          <w:sz w:val="20"/>
          <w:lang w:val="pl-PL"/>
        </w:rPr>
        <w:t xml:space="preserve">oznacza jednostki samorządu terytorialnego </w:t>
      </w:r>
    </w:p>
  </w:footnote>
  <w:footnote w:id="15">
    <w:p w14:paraId="0B86FE03" w14:textId="77777777" w:rsidR="00B14787" w:rsidRPr="00CD14BE" w:rsidRDefault="00B14787" w:rsidP="002E24A9">
      <w:pPr>
        <w:pStyle w:val="Legenda"/>
        <w:rPr>
          <w:i/>
          <w:lang w:val="pl-PL"/>
        </w:rPr>
      </w:pPr>
      <w:r w:rsidRPr="00CD14BE">
        <w:rPr>
          <w:rStyle w:val="Odwoanieprzypisudolnego"/>
          <w:b/>
          <w:bCs w:val="0"/>
          <w:iCs w:val="0"/>
        </w:rPr>
        <w:footnoteRef/>
      </w:r>
      <w:r w:rsidRPr="00CD14BE">
        <w:rPr>
          <w:lang w:val="pl-PL"/>
        </w:rPr>
        <w:t xml:space="preserve"> Klasyfikacja według P. Śleszyńskiego i T. Komornickiego, „Klasyfikacja funkcjonalna gmin na potrzeby monitoringu planowania przestrzennego” Przegląd Geograficzny, 2016</w:t>
      </w:r>
    </w:p>
    <w:p w14:paraId="54CB6F90" w14:textId="77777777" w:rsidR="00B14787" w:rsidRPr="00733091" w:rsidRDefault="00B14787" w:rsidP="004C537B">
      <w:pPr>
        <w:pStyle w:val="Tekstprzypisudolnego"/>
        <w:rPr>
          <w:lang w:val="pl-PL"/>
        </w:rPr>
      </w:pPr>
    </w:p>
  </w:footnote>
  <w:footnote w:id="16">
    <w:p w14:paraId="1B83C32D" w14:textId="77777777" w:rsidR="00B14787" w:rsidRPr="008A652D" w:rsidRDefault="00B14787" w:rsidP="008A652D">
      <w:pPr>
        <w:pStyle w:val="Tekstprzypisudolnego"/>
        <w:spacing w:after="100" w:afterAutospacing="1" w:line="240" w:lineRule="auto"/>
        <w:contextualSpacing/>
        <w:jc w:val="both"/>
        <w:rPr>
          <w:rFonts w:asciiTheme="minorHAnsi" w:hAnsiTheme="minorHAnsi" w:cstheme="minorHAnsi"/>
          <w:sz w:val="20"/>
          <w:lang w:val="pl-PL"/>
        </w:rPr>
      </w:pPr>
      <w:r w:rsidRPr="008A652D">
        <w:rPr>
          <w:rStyle w:val="Odwoanieprzypisudolnego"/>
          <w:rFonts w:asciiTheme="minorHAnsi" w:hAnsiTheme="minorHAnsi" w:cstheme="minorHAnsi"/>
          <w:sz w:val="20"/>
        </w:rPr>
        <w:footnoteRef/>
      </w:r>
      <w:r w:rsidRPr="008A652D">
        <w:rPr>
          <w:rFonts w:asciiTheme="minorHAnsi" w:hAnsiTheme="minorHAnsi" w:cstheme="minorHAnsi"/>
          <w:sz w:val="20"/>
          <w:lang w:val="pl-PL"/>
        </w:rPr>
        <w:t xml:space="preserve"> OSI wskazuje „Strategia rozwoju społeczno-gospodarczego województwa warmińsko-mazurskiego” do 2030 r.</w:t>
      </w:r>
      <w:r w:rsidRPr="008A652D">
        <w:rPr>
          <w:rFonts w:asciiTheme="minorHAnsi" w:hAnsiTheme="minorHAnsi" w:cstheme="minorHAnsi"/>
          <w:i/>
          <w:iCs/>
          <w:sz w:val="20"/>
          <w:lang w:val="pl-PL"/>
        </w:rPr>
        <w:t xml:space="preserve"> </w:t>
      </w:r>
    </w:p>
  </w:footnote>
  <w:footnote w:id="17">
    <w:p w14:paraId="28E3635A" w14:textId="77777777" w:rsidR="00B14787" w:rsidRPr="00CD14BE" w:rsidRDefault="00B14787" w:rsidP="008A652D">
      <w:pPr>
        <w:pStyle w:val="Tekstprzypisudolnego"/>
        <w:spacing w:before="100" w:beforeAutospacing="1" w:after="100" w:afterAutospacing="1" w:line="240" w:lineRule="auto"/>
        <w:contextualSpacing/>
        <w:jc w:val="both"/>
        <w:rPr>
          <w:rFonts w:asciiTheme="minorHAnsi" w:hAnsiTheme="minorHAnsi" w:cstheme="minorHAnsi"/>
          <w:sz w:val="20"/>
          <w:lang w:val="pl-PL"/>
        </w:rPr>
      </w:pPr>
      <w:r w:rsidRPr="00CD14BE">
        <w:rPr>
          <w:rStyle w:val="Odwoanieprzypisudolnego"/>
          <w:rFonts w:asciiTheme="minorHAnsi" w:hAnsiTheme="minorHAnsi" w:cstheme="minorHAnsi"/>
          <w:sz w:val="20"/>
        </w:rPr>
        <w:footnoteRef/>
      </w:r>
      <w:r w:rsidRPr="00CD14BE">
        <w:rPr>
          <w:rFonts w:asciiTheme="minorHAnsi" w:hAnsiTheme="minorHAnsi" w:cstheme="minorHAnsi"/>
          <w:sz w:val="20"/>
          <w:lang w:val="pl-PL"/>
        </w:rPr>
        <w:t xml:space="preserve"> </w:t>
      </w:r>
      <w:r w:rsidRPr="00CD14BE">
        <w:rPr>
          <w:rFonts w:asciiTheme="minorHAnsi" w:hAnsiTheme="minorHAnsi" w:cstheme="minorHAnsi"/>
          <w:color w:val="000000" w:themeColor="text1"/>
          <w:sz w:val="20"/>
          <w:lang w:val="pl-PL"/>
        </w:rPr>
        <w:t>Przemysław Śleszyński, Jerzy Bański Marek Degórski, Tomasz Komornicki, „Aktualizacja delimitacji obszarów problemowych na 2018 rok”, PAN, Warszawa 2019</w:t>
      </w:r>
    </w:p>
  </w:footnote>
  <w:footnote w:id="18">
    <w:p w14:paraId="36672A8B" w14:textId="77777777" w:rsidR="00B14787" w:rsidRPr="00CD14BE" w:rsidRDefault="00B14787" w:rsidP="008A652D">
      <w:pPr>
        <w:pStyle w:val="Tekstprzypisudolnego"/>
        <w:spacing w:before="100" w:beforeAutospacing="1" w:after="100" w:afterAutospacing="1" w:line="240" w:lineRule="auto"/>
        <w:contextualSpacing/>
        <w:jc w:val="both"/>
        <w:rPr>
          <w:rFonts w:asciiTheme="minorHAnsi" w:hAnsiTheme="minorHAnsi" w:cstheme="minorHAnsi"/>
          <w:sz w:val="20"/>
          <w:lang w:val="pl-PL"/>
        </w:rPr>
      </w:pPr>
      <w:r w:rsidRPr="00CD14BE">
        <w:rPr>
          <w:rStyle w:val="Odwoanieprzypisudolnego"/>
          <w:rFonts w:asciiTheme="minorHAnsi" w:hAnsiTheme="minorHAnsi" w:cstheme="minorHAnsi"/>
          <w:sz w:val="20"/>
        </w:rPr>
        <w:footnoteRef/>
      </w:r>
      <w:r w:rsidRPr="00CD14BE">
        <w:rPr>
          <w:rFonts w:asciiTheme="minorHAnsi" w:hAnsiTheme="minorHAnsi" w:cstheme="minorHAnsi"/>
          <w:sz w:val="20"/>
          <w:lang w:val="pl-PL"/>
        </w:rPr>
        <w:t xml:space="preserve"> Obszary charakteryzujące się niekorzystnymi procesami społeczno-gospodarczymi wywołanymi załamaniem społeczno-gospodarczym w latach 90 XX w. związanym m.in. z upadkiem rolnictwa uspołecznionego oraz powiązanego z nim przetwórstwa rolno-spożywczego. </w:t>
      </w:r>
    </w:p>
  </w:footnote>
  <w:footnote w:id="19">
    <w:p w14:paraId="2ED7EED7" w14:textId="77777777" w:rsidR="00B14787" w:rsidRPr="00733091" w:rsidRDefault="00B14787" w:rsidP="008A652D">
      <w:pPr>
        <w:pStyle w:val="Tekstprzypisudolnego"/>
        <w:spacing w:before="100" w:beforeAutospacing="1" w:after="100" w:afterAutospacing="1" w:line="240" w:lineRule="auto"/>
        <w:contextualSpacing/>
        <w:jc w:val="both"/>
        <w:rPr>
          <w:lang w:val="pl-PL"/>
        </w:rPr>
      </w:pPr>
      <w:r w:rsidRPr="00CD14BE">
        <w:rPr>
          <w:rStyle w:val="Odwoanieprzypisudolnego"/>
          <w:rFonts w:asciiTheme="minorHAnsi" w:hAnsiTheme="minorHAnsi" w:cstheme="minorHAnsi"/>
          <w:sz w:val="20"/>
        </w:rPr>
        <w:footnoteRef/>
      </w:r>
      <w:r w:rsidRPr="00CD14BE">
        <w:rPr>
          <w:rFonts w:asciiTheme="minorHAnsi" w:hAnsiTheme="minorHAnsi" w:cstheme="minorHAnsi"/>
          <w:sz w:val="20"/>
          <w:lang w:val="pl-PL"/>
        </w:rPr>
        <w:t xml:space="preserve"> Obszary charakteryzujące się złą dostępnością przestrzenną (czasową, komunikacyjną) do ośrodków wojewódzkich, determinującą brak możliwości efektywnego korzystania z bodźców rozwojowych generowanych przez te ośrodki.</w:t>
      </w:r>
    </w:p>
  </w:footnote>
  <w:footnote w:id="20">
    <w:p w14:paraId="3EB95D5F" w14:textId="3B192500" w:rsidR="00B14787" w:rsidRPr="0029554C" w:rsidRDefault="00B14787" w:rsidP="008A652D">
      <w:pPr>
        <w:pStyle w:val="Tekstprzypisudolnego"/>
        <w:spacing w:before="100" w:beforeAutospacing="1" w:after="100" w:afterAutospacing="1" w:line="240" w:lineRule="auto"/>
        <w:contextualSpacing/>
        <w:jc w:val="both"/>
        <w:rPr>
          <w:rFonts w:asciiTheme="minorHAnsi" w:hAnsiTheme="minorHAnsi" w:cstheme="minorHAnsi"/>
          <w:sz w:val="20"/>
          <w:lang w:val="pl-PL"/>
        </w:rPr>
      </w:pPr>
      <w:r w:rsidRPr="0029554C">
        <w:rPr>
          <w:rStyle w:val="Odwoanieprzypisudolnego"/>
          <w:rFonts w:asciiTheme="minorHAnsi" w:hAnsiTheme="minorHAnsi" w:cstheme="minorHAnsi"/>
          <w:sz w:val="20"/>
        </w:rPr>
        <w:footnoteRef/>
      </w:r>
      <w:r w:rsidRPr="0029554C">
        <w:rPr>
          <w:rFonts w:asciiTheme="minorHAnsi" w:hAnsiTheme="minorHAnsi" w:cstheme="minorHAnsi"/>
          <w:sz w:val="20"/>
          <w:lang w:val="pl-PL"/>
        </w:rPr>
        <w:t xml:space="preserve"> Gmina </w:t>
      </w:r>
      <w:r w:rsidRPr="0029554C">
        <w:rPr>
          <w:rFonts w:asciiTheme="minorHAnsi" w:eastAsia="Times New Roman" w:hAnsiTheme="minorHAnsi" w:cstheme="minorHAnsi"/>
          <w:sz w:val="20"/>
          <w:lang w:val="pl-PL" w:eastAsia="pl-PL"/>
        </w:rPr>
        <w:t>jest</w:t>
      </w:r>
      <w:r w:rsidRPr="0029554C">
        <w:rPr>
          <w:rFonts w:asciiTheme="minorHAnsi" w:eastAsia="Times New Roman" w:hAnsiTheme="minorHAnsi" w:cstheme="minorHAnsi"/>
          <w:sz w:val="20"/>
          <w:u w:val="single"/>
          <w:lang w:val="pl-PL" w:eastAsia="pl-PL"/>
        </w:rPr>
        <w:t xml:space="preserve"> </w:t>
      </w:r>
      <w:r w:rsidRPr="0029554C">
        <w:rPr>
          <w:rFonts w:asciiTheme="minorHAnsi" w:eastAsia="Times New Roman" w:hAnsiTheme="minorHAnsi" w:cstheme="minorHAnsi"/>
          <w:sz w:val="20"/>
          <w:lang w:val="pl-PL" w:eastAsia="pl-PL"/>
        </w:rPr>
        <w:t xml:space="preserve">importerem usługi, gdy udział zainteresowanych usługą mieszkańców gminy, którzy korzystają z niej poza gminą jest większy od odsetka zewnętrznych użytkowników w grupie korzystających z tej usługi w </w:t>
      </w:r>
      <w:r w:rsidRPr="00D467C8">
        <w:rPr>
          <w:rFonts w:asciiTheme="minorHAnsi" w:eastAsia="Times New Roman" w:hAnsiTheme="minorHAnsi" w:cstheme="minorHAnsi"/>
          <w:sz w:val="20"/>
          <w:lang w:val="pl-PL" w:eastAsia="pl-PL"/>
        </w:rPr>
        <w:t>gminie.</w:t>
      </w:r>
      <w:r w:rsidRPr="00D467C8">
        <w:rPr>
          <w:rFonts w:asciiTheme="minorHAnsi" w:eastAsia="Times New Roman" w:hAnsiTheme="minorHAnsi" w:cstheme="minorHAnsi"/>
          <w:color w:val="0070C0"/>
          <w:sz w:val="20"/>
          <w:lang w:val="pl-PL" w:eastAsia="pl-PL"/>
        </w:rPr>
        <w:t xml:space="preserve"> </w:t>
      </w:r>
      <w:r w:rsidRPr="00D467C8">
        <w:rPr>
          <w:rFonts w:asciiTheme="minorHAnsi" w:eastAsia="Times New Roman" w:hAnsiTheme="minorHAnsi" w:cstheme="minorHAnsi"/>
          <w:sz w:val="20"/>
          <w:lang w:val="pl-PL" w:eastAsia="pl-PL"/>
        </w:rPr>
        <w:t>Gmina</w:t>
      </w:r>
      <w:r w:rsidRPr="0029554C">
        <w:rPr>
          <w:rFonts w:asciiTheme="minorHAnsi" w:eastAsia="Times New Roman" w:hAnsiTheme="minorHAnsi" w:cstheme="minorHAnsi"/>
          <w:sz w:val="20"/>
          <w:lang w:val="pl-PL" w:eastAsia="pl-PL"/>
        </w:rPr>
        <w:t xml:space="preserve"> jest eksporterem usługi – gdy udział zewnętrznych użytkowników w grupie korzystających z tej usługi w gminie jest większy od odsetka zainteresowanych usługą mieszkańców gminy, którzy korzystają z niej poza gminą</w:t>
      </w:r>
    </w:p>
  </w:footnote>
  <w:footnote w:id="21">
    <w:p w14:paraId="683FD41C" w14:textId="77777777" w:rsidR="00B14787" w:rsidRPr="00733091" w:rsidRDefault="00B14787" w:rsidP="008A652D">
      <w:pPr>
        <w:pStyle w:val="Tekstprzypisudolnego"/>
        <w:spacing w:before="100" w:beforeAutospacing="1" w:after="100" w:afterAutospacing="1" w:line="240" w:lineRule="auto"/>
        <w:contextualSpacing/>
        <w:jc w:val="both"/>
        <w:rPr>
          <w:lang w:val="pl-PL"/>
        </w:rPr>
      </w:pPr>
      <w:r w:rsidRPr="0029554C">
        <w:rPr>
          <w:rStyle w:val="Odwoanieprzypisudolnego"/>
          <w:rFonts w:asciiTheme="minorHAnsi" w:hAnsiTheme="minorHAnsi" w:cstheme="minorHAnsi"/>
          <w:sz w:val="20"/>
        </w:rPr>
        <w:footnoteRef/>
      </w:r>
      <w:r w:rsidRPr="0029554C">
        <w:rPr>
          <w:rFonts w:asciiTheme="minorHAnsi" w:hAnsiTheme="minorHAnsi" w:cstheme="minorHAnsi"/>
          <w:sz w:val="20"/>
          <w:lang w:val="pl-PL"/>
        </w:rPr>
        <w:t xml:space="preserve"> Analizę przeprowadzono na podstawie opinii JST wchodzących w skład Partnerstwa oraz badań sondażowych mieszkańców Partnerstwa </w:t>
      </w:r>
      <w:r w:rsidRPr="0029554C">
        <w:rPr>
          <w:rFonts w:asciiTheme="minorHAnsi" w:hAnsiTheme="minorHAnsi" w:cstheme="minorHAnsi"/>
          <w:sz w:val="20"/>
          <w:shd w:val="clear" w:color="auto" w:fill="FFFFFF"/>
          <w:lang w:val="pl-PL"/>
        </w:rPr>
        <w:t>wg autorskiej metody opracowanej przez Związek Miast Polskich</w:t>
      </w:r>
    </w:p>
  </w:footnote>
  <w:footnote w:id="22">
    <w:p w14:paraId="5B5F61F8" w14:textId="7ED447ED" w:rsidR="00B14787" w:rsidRPr="0029554C" w:rsidRDefault="00B14787" w:rsidP="008A652D">
      <w:pPr>
        <w:pStyle w:val="Tekstprzypisudolnego"/>
        <w:spacing w:before="100" w:beforeAutospacing="1" w:after="100" w:afterAutospacing="1" w:line="240" w:lineRule="auto"/>
        <w:contextualSpacing/>
        <w:jc w:val="both"/>
        <w:rPr>
          <w:rFonts w:asciiTheme="minorHAnsi" w:hAnsiTheme="minorHAnsi" w:cstheme="minorHAnsi"/>
          <w:sz w:val="20"/>
          <w:lang w:val="pl-PL"/>
        </w:rPr>
      </w:pPr>
      <w:r w:rsidRPr="008A652D">
        <w:rPr>
          <w:rStyle w:val="Odwoanieprzypisudolnego"/>
          <w:rFonts w:asciiTheme="minorHAnsi" w:hAnsiTheme="minorHAnsi" w:cstheme="minorHAnsi"/>
          <w:sz w:val="20"/>
        </w:rPr>
        <w:footnoteRef/>
      </w:r>
      <w:r w:rsidRPr="008A652D">
        <w:rPr>
          <w:rFonts w:asciiTheme="minorHAnsi" w:hAnsiTheme="minorHAnsi" w:cstheme="minorHAnsi"/>
          <w:sz w:val="20"/>
          <w:lang w:val="pl-PL"/>
        </w:rPr>
        <w:t xml:space="preserve"> Zgodnie z „Klasyfikacją funkcjonalną gmin na potrzeby monitoringu planowania przestrzennego” wg P. Śleszyńskiego, T. Komornickiego,</w:t>
      </w:r>
    </w:p>
  </w:footnote>
  <w:footnote w:id="23">
    <w:p w14:paraId="6AE7EB63" w14:textId="77777777" w:rsidR="00B14787" w:rsidRPr="0029554C" w:rsidRDefault="00B14787" w:rsidP="008A652D">
      <w:pPr>
        <w:pStyle w:val="Tekstprzypisudolnego"/>
        <w:spacing w:before="100" w:beforeAutospacing="1" w:after="100" w:afterAutospacing="1" w:line="240" w:lineRule="auto"/>
        <w:contextualSpacing/>
        <w:jc w:val="both"/>
        <w:rPr>
          <w:rFonts w:asciiTheme="minorHAnsi" w:hAnsiTheme="minorHAnsi" w:cstheme="minorHAnsi"/>
          <w:sz w:val="20"/>
          <w:lang w:val="pl-PL"/>
        </w:rPr>
      </w:pPr>
      <w:r w:rsidRPr="0029554C">
        <w:rPr>
          <w:rStyle w:val="Odwoanieprzypisudolnego"/>
          <w:rFonts w:asciiTheme="minorHAnsi" w:hAnsiTheme="minorHAnsi" w:cstheme="minorHAnsi"/>
          <w:sz w:val="20"/>
        </w:rPr>
        <w:footnoteRef/>
      </w:r>
      <w:r w:rsidRPr="0029554C">
        <w:rPr>
          <w:rFonts w:asciiTheme="minorHAnsi" w:hAnsiTheme="minorHAnsi" w:cstheme="minorHAnsi"/>
          <w:sz w:val="20"/>
          <w:lang w:val="pl-PL"/>
        </w:rPr>
        <w:t xml:space="preserve"> Mieszkańcy badanych gmin korzystają z niektórych z usług zbilansowanych również poza obszarem Partnerstwa.</w:t>
      </w:r>
    </w:p>
  </w:footnote>
  <w:footnote w:id="24">
    <w:p w14:paraId="5E3E1ACA" w14:textId="77777777" w:rsidR="00B14787" w:rsidRPr="009B403E" w:rsidRDefault="00B14787" w:rsidP="009B403E">
      <w:pPr>
        <w:pStyle w:val="Tekstprzypisudolnego"/>
        <w:spacing w:before="100" w:beforeAutospacing="1" w:after="100" w:afterAutospacing="1" w:line="240" w:lineRule="auto"/>
        <w:contextualSpacing/>
        <w:jc w:val="both"/>
        <w:rPr>
          <w:rFonts w:asciiTheme="minorHAnsi" w:hAnsiTheme="minorHAnsi" w:cstheme="minorHAnsi"/>
          <w:sz w:val="20"/>
          <w:lang w:val="pl-PL"/>
        </w:rPr>
      </w:pPr>
      <w:r w:rsidRPr="009B403E">
        <w:rPr>
          <w:rStyle w:val="Odwoanieprzypisudolnego"/>
          <w:rFonts w:asciiTheme="minorHAnsi" w:hAnsiTheme="minorHAnsi" w:cstheme="minorHAnsi"/>
          <w:sz w:val="20"/>
        </w:rPr>
        <w:footnoteRef/>
      </w:r>
      <w:r w:rsidRPr="009B403E">
        <w:rPr>
          <w:rFonts w:asciiTheme="minorHAnsi" w:hAnsiTheme="minorHAnsi" w:cstheme="minorHAnsi"/>
          <w:sz w:val="20"/>
          <w:lang w:val="pl-PL"/>
        </w:rPr>
        <w:t xml:space="preserve"> Niska dostępność komunikacyjna niektórych gmin obszaru Partnerstwa stanowiła także podstawę kwalifikacji ich do kategorii </w:t>
      </w:r>
      <w:r w:rsidRPr="009B403E">
        <w:rPr>
          <w:rFonts w:asciiTheme="minorHAnsi" w:hAnsiTheme="minorHAnsi" w:cstheme="minorHAnsi"/>
          <w:color w:val="000000" w:themeColor="text1"/>
          <w:sz w:val="20"/>
          <w:lang w:val="pl-PL"/>
        </w:rPr>
        <w:t xml:space="preserve">obszarów wewnętrznie peryferyjnych – podrozdział 1.1. diagnozy </w:t>
      </w:r>
    </w:p>
  </w:footnote>
  <w:footnote w:id="25">
    <w:p w14:paraId="0F96B1E5" w14:textId="77777777" w:rsidR="00B14787" w:rsidRPr="009B403E" w:rsidRDefault="00B14787" w:rsidP="009B403E">
      <w:pPr>
        <w:pStyle w:val="Tekstprzypisudolnego"/>
        <w:spacing w:before="100" w:beforeAutospacing="1" w:after="100" w:afterAutospacing="1" w:line="240" w:lineRule="auto"/>
        <w:contextualSpacing/>
        <w:jc w:val="both"/>
        <w:rPr>
          <w:rFonts w:asciiTheme="minorHAnsi" w:hAnsiTheme="minorHAnsi" w:cstheme="minorHAnsi"/>
          <w:sz w:val="20"/>
          <w:lang w:val="pl-PL"/>
        </w:rPr>
      </w:pPr>
      <w:r w:rsidRPr="009B403E">
        <w:rPr>
          <w:rStyle w:val="Odwoanieprzypisudolnego"/>
          <w:rFonts w:asciiTheme="minorHAnsi" w:hAnsiTheme="minorHAnsi" w:cstheme="minorHAnsi"/>
          <w:sz w:val="20"/>
        </w:rPr>
        <w:footnoteRef/>
      </w:r>
      <w:r w:rsidRPr="009B403E">
        <w:rPr>
          <w:rFonts w:asciiTheme="minorHAnsi" w:hAnsiTheme="minorHAnsi" w:cstheme="minorHAnsi"/>
          <w:sz w:val="20"/>
          <w:lang w:val="pl-PL"/>
        </w:rPr>
        <w:t xml:space="preserve"> Dokonana na podstawie analizy usług zbilansowanych</w:t>
      </w:r>
    </w:p>
  </w:footnote>
  <w:footnote w:id="26">
    <w:p w14:paraId="233350FF" w14:textId="77777777" w:rsidR="00B14787" w:rsidRPr="009B403E" w:rsidRDefault="00B14787" w:rsidP="009B403E">
      <w:pPr>
        <w:pStyle w:val="Tekstprzypisudolnego"/>
        <w:spacing w:before="100" w:beforeAutospacing="1" w:after="100" w:afterAutospacing="1" w:line="240" w:lineRule="auto"/>
        <w:contextualSpacing/>
        <w:jc w:val="both"/>
        <w:rPr>
          <w:rFonts w:asciiTheme="minorHAnsi" w:hAnsiTheme="minorHAnsi" w:cstheme="minorHAnsi"/>
          <w:sz w:val="20"/>
          <w:lang w:val="pl-PL"/>
        </w:rPr>
      </w:pPr>
      <w:r w:rsidRPr="009B403E">
        <w:rPr>
          <w:rStyle w:val="Odwoanieprzypisudolnego"/>
          <w:rFonts w:asciiTheme="minorHAnsi" w:hAnsiTheme="minorHAnsi" w:cstheme="minorHAnsi"/>
          <w:sz w:val="20"/>
        </w:rPr>
        <w:footnoteRef/>
      </w:r>
      <w:r w:rsidRPr="009B403E">
        <w:rPr>
          <w:rFonts w:asciiTheme="minorHAnsi" w:hAnsiTheme="minorHAnsi" w:cstheme="minorHAnsi"/>
          <w:sz w:val="20"/>
          <w:lang w:val="pl-PL"/>
        </w:rPr>
        <w:t xml:space="preserve"> Wskaźnik nie uwzględnia usług administracyjnych. Taki sam wskaźnik jak Nidzica też osiągnął Orzysz, jednak z uwagi na to, że nie pełni on funkcji administracyjnej specjalistycznej nie został on uznany za ośrodek ciążenia.</w:t>
      </w:r>
    </w:p>
  </w:footnote>
  <w:footnote w:id="27">
    <w:p w14:paraId="02B6FFF6" w14:textId="77777777" w:rsidR="00B14787" w:rsidRPr="009B403E" w:rsidRDefault="00B14787" w:rsidP="009B403E">
      <w:pPr>
        <w:pStyle w:val="Tekstprzypisudolnego"/>
        <w:spacing w:before="100" w:beforeAutospacing="1" w:after="100" w:afterAutospacing="1" w:line="240" w:lineRule="auto"/>
        <w:contextualSpacing/>
        <w:jc w:val="both"/>
        <w:rPr>
          <w:rFonts w:asciiTheme="minorHAnsi" w:hAnsiTheme="minorHAnsi" w:cstheme="minorHAnsi"/>
          <w:sz w:val="20"/>
          <w:lang w:val="pl-PL"/>
        </w:rPr>
      </w:pPr>
      <w:r w:rsidRPr="009B403E">
        <w:rPr>
          <w:rStyle w:val="Odwoanieprzypisudolnego"/>
          <w:rFonts w:asciiTheme="minorHAnsi" w:hAnsiTheme="minorHAnsi" w:cstheme="minorHAnsi"/>
          <w:sz w:val="20"/>
        </w:rPr>
        <w:footnoteRef/>
      </w:r>
      <w:r w:rsidRPr="009B403E">
        <w:rPr>
          <w:rFonts w:asciiTheme="minorHAnsi" w:hAnsiTheme="minorHAnsi" w:cstheme="minorHAnsi"/>
          <w:sz w:val="20"/>
          <w:lang w:val="pl-PL"/>
        </w:rPr>
        <w:t xml:space="preserve"> </w:t>
      </w:r>
      <w:r w:rsidRPr="009B403E">
        <w:rPr>
          <w:rFonts w:asciiTheme="minorHAnsi" w:eastAsia="Times New Roman" w:hAnsiTheme="minorHAnsi" w:cstheme="minorHAnsi"/>
          <w:sz w:val="20"/>
          <w:lang w:val="pl-PL" w:eastAsia="pl-PL"/>
        </w:rPr>
        <w:t>Wskaźnik bilansu usług wyraża różnicę między odsetkiem wskazań na daną gminę jako eksportera i importera usługi. Eksportera lub importera usługi określono pod kątem udziału wskazań na daną gminę (w liczbie wszystkich wskazań), jako miejsca skąd przyjeżdżają zewnętrzni użytkownicy lub miejsca, do którego mieszkańcy danych gmin wyjeżdżają w celu skorzystania z usługi.</w:t>
      </w:r>
    </w:p>
  </w:footnote>
  <w:footnote w:id="28">
    <w:p w14:paraId="4186321F" w14:textId="1D65B0F7" w:rsidR="00B14787" w:rsidRPr="009B403E" w:rsidRDefault="00B14787" w:rsidP="009B403E">
      <w:pPr>
        <w:pStyle w:val="Tekstprzypisudolnego"/>
        <w:spacing w:before="100" w:beforeAutospacing="1" w:after="100" w:afterAutospacing="1" w:line="240" w:lineRule="auto"/>
        <w:contextualSpacing/>
        <w:jc w:val="both"/>
        <w:rPr>
          <w:rFonts w:asciiTheme="minorHAnsi" w:hAnsiTheme="minorHAnsi" w:cstheme="minorHAnsi"/>
          <w:sz w:val="20"/>
          <w:lang w:val="pl-PL"/>
        </w:rPr>
      </w:pPr>
      <w:r w:rsidRPr="009B403E">
        <w:rPr>
          <w:rStyle w:val="Odwoanieprzypisudolnego"/>
          <w:rFonts w:asciiTheme="minorHAnsi" w:hAnsiTheme="minorHAnsi" w:cstheme="minorHAnsi"/>
          <w:sz w:val="20"/>
        </w:rPr>
        <w:footnoteRef/>
      </w:r>
      <w:r w:rsidRPr="009B403E">
        <w:rPr>
          <w:rFonts w:asciiTheme="minorHAnsi" w:hAnsiTheme="minorHAnsi" w:cstheme="minorHAnsi"/>
          <w:sz w:val="20"/>
          <w:lang w:val="pl-PL"/>
        </w:rPr>
        <w:t xml:space="preserve"> </w:t>
      </w:r>
      <w:r w:rsidRPr="009B403E">
        <w:rPr>
          <w:rFonts w:asciiTheme="minorHAnsi" w:eastAsia="Times New Roman" w:hAnsiTheme="minorHAnsi" w:cstheme="minorHAnsi"/>
          <w:sz w:val="20"/>
          <w:lang w:val="pl-PL" w:eastAsia="pl-PL"/>
        </w:rPr>
        <w:t>Wskaźnik bilansu zatrudnienia wyraża różnicę między odsetkiem wskazań na daną gminę jako eksportera i importera zatrudnienia. Eksportera lub importera zatrudnienia określono pod kątem udziału wskazań na daną gminę (w liczbie wszystkich wskazań), jako miejsca</w:t>
      </w:r>
      <w:r>
        <w:rPr>
          <w:rFonts w:asciiTheme="minorHAnsi" w:eastAsia="Times New Roman" w:hAnsiTheme="minorHAnsi" w:cstheme="minorHAnsi"/>
          <w:sz w:val="20"/>
          <w:lang w:val="pl-PL" w:eastAsia="pl-PL"/>
        </w:rPr>
        <w:t>,</w:t>
      </w:r>
      <w:r w:rsidRPr="009B403E">
        <w:rPr>
          <w:rFonts w:asciiTheme="minorHAnsi" w:eastAsia="Times New Roman" w:hAnsiTheme="minorHAnsi" w:cstheme="minorHAnsi"/>
          <w:sz w:val="20"/>
          <w:lang w:val="pl-PL" w:eastAsia="pl-PL"/>
        </w:rPr>
        <w:t xml:space="preserve"> z którego przyjeżdżają pracownicy lub miejsca</w:t>
      </w:r>
      <w:r>
        <w:rPr>
          <w:rFonts w:asciiTheme="minorHAnsi" w:eastAsia="Times New Roman" w:hAnsiTheme="minorHAnsi" w:cstheme="minorHAnsi"/>
          <w:sz w:val="20"/>
          <w:lang w:val="pl-PL" w:eastAsia="pl-PL"/>
        </w:rPr>
        <w:t>,</w:t>
      </w:r>
      <w:r w:rsidRPr="009B403E">
        <w:rPr>
          <w:rFonts w:asciiTheme="minorHAnsi" w:eastAsia="Times New Roman" w:hAnsiTheme="minorHAnsi" w:cstheme="minorHAnsi"/>
          <w:sz w:val="20"/>
          <w:lang w:val="pl-PL" w:eastAsia="pl-PL"/>
        </w:rPr>
        <w:t xml:space="preserve"> do którego pracownicy wyjeżdżają w celu podjęcia zatrudnienia.</w:t>
      </w:r>
    </w:p>
    <w:p w14:paraId="543D9A1E" w14:textId="77777777" w:rsidR="00B14787" w:rsidRPr="00733091" w:rsidRDefault="00B14787" w:rsidP="00400B4E">
      <w:pPr>
        <w:pStyle w:val="Tekstprzypisudolnego"/>
        <w:jc w:val="both"/>
        <w:rPr>
          <w:lang w:val="pl-PL"/>
        </w:rPr>
      </w:pPr>
    </w:p>
  </w:footnote>
  <w:footnote w:id="29">
    <w:p w14:paraId="06124269" w14:textId="121DC53B" w:rsidR="00B14787" w:rsidRPr="0029554C" w:rsidRDefault="00B14787" w:rsidP="00A53827">
      <w:pPr>
        <w:pStyle w:val="Akapitzlist"/>
        <w:numPr>
          <w:ilvl w:val="0"/>
          <w:numId w:val="0"/>
        </w:numPr>
        <w:tabs>
          <w:tab w:val="left" w:pos="851"/>
        </w:tabs>
        <w:spacing w:before="100" w:beforeAutospacing="1" w:after="100" w:afterAutospacing="1" w:line="240" w:lineRule="auto"/>
        <w:ind w:left="851"/>
        <w:jc w:val="both"/>
        <w:rPr>
          <w:rFonts w:cstheme="minorHAnsi"/>
          <w:sz w:val="20"/>
          <w:szCs w:val="20"/>
          <w:lang w:val="pl-PL"/>
        </w:rPr>
      </w:pPr>
      <w:r w:rsidRPr="0029554C">
        <w:rPr>
          <w:rStyle w:val="Odwoanieprzypisudolnego"/>
          <w:rFonts w:cstheme="minorHAnsi"/>
          <w:sz w:val="20"/>
          <w:szCs w:val="20"/>
        </w:rPr>
        <w:footnoteRef/>
      </w:r>
      <w:r w:rsidRPr="0029554C">
        <w:rPr>
          <w:rFonts w:cstheme="minorHAnsi"/>
          <w:sz w:val="20"/>
          <w:szCs w:val="20"/>
          <w:lang w:val="pl-PL"/>
        </w:rPr>
        <w:t xml:space="preserve"> Grupą porównawcza są wszystkie gminy wchodzące w skład 7 grup funkcjonalnych zdefiniowanych przez prof. Przemysława Śleszyńskiego, czyli gminy stanowiące ośrodki wielofunkcyjne, gminy pełniące funkcje pozarolnicze, gminy pełniące funkcje umiarkowanie rolnicze, gminy pełniące funkcje i</w:t>
      </w:r>
      <w:r>
        <w:rPr>
          <w:rFonts w:cstheme="minorHAnsi"/>
          <w:sz w:val="20"/>
          <w:szCs w:val="20"/>
          <w:lang w:val="pl-PL"/>
        </w:rPr>
        <w:t xml:space="preserve"> </w:t>
      </w:r>
      <w:r w:rsidRPr="0029554C">
        <w:rPr>
          <w:rFonts w:cstheme="minorHAnsi"/>
          <w:sz w:val="20"/>
          <w:szCs w:val="20"/>
          <w:lang w:val="pl-PL"/>
        </w:rPr>
        <w:t>ntensywnie rolnicze, gminy ekstensywnie zagospodarowane i gminy rozwinięte transportowo.</w:t>
      </w:r>
    </w:p>
  </w:footnote>
  <w:footnote w:id="30">
    <w:p w14:paraId="058A5EC2" w14:textId="3AF02627" w:rsidR="00B14787" w:rsidRPr="00733091" w:rsidRDefault="00B14787" w:rsidP="00A53827">
      <w:pPr>
        <w:pStyle w:val="Tekstprzypisudolnego"/>
        <w:tabs>
          <w:tab w:val="left" w:pos="851"/>
        </w:tabs>
        <w:spacing w:before="100" w:beforeAutospacing="1" w:after="100" w:afterAutospacing="1" w:line="240" w:lineRule="auto"/>
        <w:contextualSpacing/>
        <w:jc w:val="both"/>
        <w:rPr>
          <w:lang w:val="pl-PL"/>
        </w:rPr>
      </w:pPr>
      <w:r w:rsidRPr="0029554C">
        <w:rPr>
          <w:rStyle w:val="Odwoanieprzypisudolnego"/>
          <w:rFonts w:asciiTheme="minorHAnsi" w:hAnsiTheme="minorHAnsi" w:cstheme="minorHAnsi"/>
          <w:sz w:val="20"/>
        </w:rPr>
        <w:footnoteRef/>
      </w:r>
      <w:r w:rsidRPr="0029554C">
        <w:rPr>
          <w:rFonts w:asciiTheme="minorHAnsi" w:hAnsiTheme="minorHAnsi" w:cstheme="minorHAnsi"/>
          <w:sz w:val="20"/>
          <w:lang w:val="pl-PL"/>
        </w:rPr>
        <w:t xml:space="preserve"> Wskaźnik rozwoju jest sumą wartości wskaźników syntetycznych gmin wchodzących w skład Partnerstwa ważonych udziałem mieszkańców danej gminy w liczbie w liczbie mieszkańców Partnerstwa. Wskaźnik syntetyczny wyliczony jest w oparciu o relację wartości wskaźników gmin tworzących Partnerstwo do wartości średniej dla wskaźnika wszystkich JST z grup porównawczych. Wskaźnik syntetyczny rozwoju stanowi jednocześnie średnią arytmetyczną wartości standaryzowanych wszystkich wskaźników diagnostycznych w badanych 12 obszarach.</w:t>
      </w:r>
    </w:p>
  </w:footnote>
  <w:footnote w:id="31">
    <w:p w14:paraId="58EA4773" w14:textId="77777777" w:rsidR="00B14787" w:rsidRPr="00733091" w:rsidRDefault="00B14787" w:rsidP="005366B1">
      <w:pPr>
        <w:pStyle w:val="Tekstprzypisudolnego"/>
        <w:rPr>
          <w:sz w:val="18"/>
          <w:szCs w:val="18"/>
          <w:lang w:val="pl-PL"/>
        </w:rPr>
      </w:pPr>
      <w:r w:rsidRPr="006E0D49">
        <w:rPr>
          <w:rStyle w:val="Odwoanieprzypisudolnego"/>
          <w:sz w:val="18"/>
          <w:szCs w:val="18"/>
        </w:rPr>
        <w:footnoteRef/>
      </w:r>
      <w:r w:rsidRPr="00733091">
        <w:rPr>
          <w:sz w:val="18"/>
          <w:szCs w:val="18"/>
          <w:lang w:val="pl-PL"/>
        </w:rPr>
        <w:t xml:space="preserve"> </w:t>
      </w:r>
      <w:r w:rsidRPr="00F91E78">
        <w:rPr>
          <w:rFonts w:asciiTheme="minorHAnsi" w:hAnsiTheme="minorHAnsi" w:cstheme="minorHAnsi"/>
          <w:sz w:val="20"/>
          <w:lang w:val="pl-PL"/>
        </w:rPr>
        <w:t xml:space="preserve">Źródło: ZMP, </w:t>
      </w:r>
      <w:hyperlink r:id="rId1" w:history="1">
        <w:r w:rsidRPr="00F91E78">
          <w:rPr>
            <w:rStyle w:val="Hipercze"/>
            <w:rFonts w:asciiTheme="minorHAnsi" w:hAnsiTheme="minorHAnsi" w:cstheme="minorHAnsi"/>
            <w:sz w:val="20"/>
            <w:lang w:val="pl-PL"/>
          </w:rPr>
          <w:t>www.systemanaliz.pl</w:t>
        </w:r>
      </w:hyperlink>
    </w:p>
  </w:footnote>
  <w:footnote w:id="32">
    <w:p w14:paraId="2EC3E99C" w14:textId="77777777" w:rsidR="00B14787" w:rsidRPr="001C373F" w:rsidRDefault="00B14787" w:rsidP="002F493F">
      <w:pPr>
        <w:pStyle w:val="Tekstprzypisudolnego"/>
        <w:spacing w:before="100" w:beforeAutospacing="1" w:after="100" w:afterAutospacing="1" w:line="240" w:lineRule="auto"/>
        <w:contextualSpacing/>
        <w:jc w:val="both"/>
        <w:rPr>
          <w:rFonts w:asciiTheme="minorHAnsi" w:hAnsiTheme="minorHAnsi" w:cstheme="minorHAnsi"/>
          <w:sz w:val="20"/>
          <w:lang w:val="pl-PL"/>
        </w:rPr>
      </w:pPr>
      <w:r w:rsidRPr="001C373F">
        <w:rPr>
          <w:rStyle w:val="Odwoanieprzypisudolnego"/>
          <w:rFonts w:asciiTheme="minorHAnsi" w:hAnsiTheme="minorHAnsi" w:cstheme="minorHAnsi"/>
          <w:sz w:val="20"/>
        </w:rPr>
        <w:footnoteRef/>
      </w:r>
      <w:r w:rsidRPr="001C373F">
        <w:rPr>
          <w:rFonts w:asciiTheme="minorHAnsi" w:hAnsiTheme="minorHAnsi" w:cstheme="minorHAnsi"/>
          <w:sz w:val="20"/>
          <w:lang w:val="pl-PL"/>
        </w:rPr>
        <w:t xml:space="preserve"> Wskaźnik syntetyczny wyliczony jest w oparciu o relację wartości wskaźników gmin tworzących Partnerstwo do wartości średniej dla wskaźnika wszystkich JST z grup porównawczych. Wskaźnik syntetyczny rozwoju Partnerstwa stanowi jednocześnie średnią arytmetyczną wartości standaryzowanych wszystkich wskaźników diagnostycznych w badanych 5 obszarach.</w:t>
      </w:r>
    </w:p>
  </w:footnote>
  <w:footnote w:id="33">
    <w:p w14:paraId="2CE5CF8D" w14:textId="77777777" w:rsidR="00B14787" w:rsidRPr="00733091" w:rsidRDefault="00B14787" w:rsidP="002F493F">
      <w:pPr>
        <w:pStyle w:val="Tekstprzypisudolnego"/>
        <w:spacing w:before="100" w:beforeAutospacing="1" w:after="100" w:afterAutospacing="1" w:line="240" w:lineRule="auto"/>
        <w:contextualSpacing/>
        <w:rPr>
          <w:lang w:val="pl-PL"/>
        </w:rPr>
      </w:pPr>
      <w:r w:rsidRPr="001C373F">
        <w:rPr>
          <w:rStyle w:val="Odwoanieprzypisudolnego"/>
          <w:rFonts w:asciiTheme="minorHAnsi" w:hAnsiTheme="minorHAnsi" w:cstheme="minorHAnsi"/>
          <w:sz w:val="20"/>
        </w:rPr>
        <w:footnoteRef/>
      </w:r>
      <w:r w:rsidRPr="001C373F">
        <w:rPr>
          <w:rFonts w:asciiTheme="minorHAnsi" w:hAnsiTheme="minorHAnsi" w:cstheme="minorHAnsi"/>
          <w:sz w:val="20"/>
          <w:lang w:val="pl-PL"/>
        </w:rPr>
        <w:t xml:space="preserve"> Okres badawczy obejmuje lata 2015-2019</w:t>
      </w:r>
    </w:p>
  </w:footnote>
  <w:footnote w:id="34">
    <w:p w14:paraId="0D982203" w14:textId="77777777" w:rsidR="00B14787" w:rsidRPr="00A53827" w:rsidRDefault="00B14787" w:rsidP="00A53827">
      <w:pPr>
        <w:pStyle w:val="Tekstprzypisudolnego"/>
        <w:spacing w:before="100" w:beforeAutospacing="1" w:after="100" w:afterAutospacing="1" w:line="240" w:lineRule="auto"/>
        <w:contextualSpacing/>
        <w:jc w:val="both"/>
        <w:rPr>
          <w:rFonts w:asciiTheme="minorHAnsi" w:hAnsiTheme="minorHAnsi" w:cstheme="minorHAnsi"/>
          <w:sz w:val="20"/>
          <w:lang w:val="pl-PL"/>
        </w:rPr>
      </w:pPr>
      <w:r w:rsidRPr="00A53827">
        <w:rPr>
          <w:rStyle w:val="Odwoanieprzypisudolnego"/>
          <w:rFonts w:asciiTheme="minorHAnsi" w:hAnsiTheme="minorHAnsi" w:cstheme="minorHAnsi"/>
          <w:sz w:val="20"/>
        </w:rPr>
        <w:footnoteRef/>
      </w:r>
      <w:r w:rsidRPr="00A53827">
        <w:rPr>
          <w:rFonts w:asciiTheme="minorHAnsi" w:hAnsiTheme="minorHAnsi" w:cstheme="minorHAnsi"/>
          <w:sz w:val="20"/>
          <w:lang w:val="pl-PL"/>
        </w:rPr>
        <w:t xml:space="preserve"> W zestawieniu brane były pod uwagę tylko powiaty ziemskie województwa warmińsko-mazurskiego (19 jednostek).</w:t>
      </w:r>
    </w:p>
  </w:footnote>
  <w:footnote w:id="35">
    <w:p w14:paraId="4C577FB6" w14:textId="2C9115B9" w:rsidR="00B14787" w:rsidRPr="00462BEC" w:rsidRDefault="00B14787" w:rsidP="00C35A02">
      <w:pPr>
        <w:pStyle w:val="Tekstprzypisudolnego"/>
        <w:rPr>
          <w:rFonts w:asciiTheme="minorHAnsi" w:hAnsiTheme="minorHAnsi" w:cstheme="minorHAnsi"/>
          <w:sz w:val="20"/>
          <w:lang w:val="pl-PL"/>
        </w:rPr>
      </w:pPr>
      <w:r w:rsidRPr="00462BEC">
        <w:rPr>
          <w:rStyle w:val="Odwoanieprzypisudolnego"/>
          <w:rFonts w:asciiTheme="minorHAnsi" w:hAnsiTheme="minorHAnsi" w:cstheme="minorHAnsi"/>
          <w:sz w:val="20"/>
        </w:rPr>
        <w:footnoteRef/>
      </w:r>
      <w:r w:rsidRPr="00462BEC">
        <w:rPr>
          <w:rFonts w:asciiTheme="minorHAnsi" w:hAnsiTheme="minorHAnsi" w:cstheme="minorHAnsi"/>
          <w:sz w:val="20"/>
          <w:lang w:val="pl-PL"/>
        </w:rPr>
        <w:t xml:space="preserve"> Gmina wiejska Szczytno notuje przyrost ludności z uwagi na proces suburbanizacji </w:t>
      </w:r>
      <w:r>
        <w:rPr>
          <w:rFonts w:asciiTheme="minorHAnsi" w:hAnsiTheme="minorHAnsi" w:cstheme="minorHAnsi"/>
          <w:sz w:val="20"/>
          <w:lang w:val="pl-PL"/>
        </w:rPr>
        <w:t xml:space="preserve">dotykający </w:t>
      </w:r>
      <w:r w:rsidRPr="00462BEC">
        <w:rPr>
          <w:rFonts w:asciiTheme="minorHAnsi" w:hAnsiTheme="minorHAnsi" w:cstheme="minorHAnsi"/>
          <w:sz w:val="20"/>
          <w:lang w:val="pl-PL"/>
        </w:rPr>
        <w:t>gmin</w:t>
      </w:r>
      <w:r>
        <w:rPr>
          <w:rFonts w:asciiTheme="minorHAnsi" w:hAnsiTheme="minorHAnsi" w:cstheme="minorHAnsi"/>
          <w:sz w:val="20"/>
          <w:lang w:val="pl-PL"/>
        </w:rPr>
        <w:t xml:space="preserve">ę </w:t>
      </w:r>
      <w:r w:rsidRPr="00462BEC">
        <w:rPr>
          <w:rFonts w:asciiTheme="minorHAnsi" w:hAnsiTheme="minorHAnsi" w:cstheme="minorHAnsi"/>
          <w:sz w:val="20"/>
          <w:lang w:val="pl-PL"/>
        </w:rPr>
        <w:t>miejsk</w:t>
      </w:r>
      <w:r>
        <w:rPr>
          <w:rFonts w:asciiTheme="minorHAnsi" w:hAnsiTheme="minorHAnsi" w:cstheme="minorHAnsi"/>
          <w:sz w:val="20"/>
          <w:lang w:val="pl-PL"/>
        </w:rPr>
        <w:t>ą</w:t>
      </w:r>
      <w:r w:rsidRPr="00462BEC">
        <w:rPr>
          <w:rFonts w:asciiTheme="minorHAnsi" w:hAnsiTheme="minorHAnsi" w:cstheme="minorHAnsi"/>
          <w:sz w:val="20"/>
          <w:lang w:val="pl-PL"/>
        </w:rPr>
        <w:t xml:space="preserve"> Szczytno. </w:t>
      </w:r>
    </w:p>
  </w:footnote>
  <w:footnote w:id="36">
    <w:p w14:paraId="569A1478" w14:textId="77777777" w:rsidR="00B14787" w:rsidRPr="001C373F" w:rsidRDefault="00B14787" w:rsidP="00636B20">
      <w:pPr>
        <w:pStyle w:val="Tekstprzypisudolnego"/>
        <w:rPr>
          <w:rFonts w:asciiTheme="minorHAnsi" w:hAnsiTheme="minorHAnsi" w:cstheme="minorHAnsi"/>
          <w:sz w:val="20"/>
          <w:lang w:val="pl-PL"/>
        </w:rPr>
      </w:pPr>
      <w:r w:rsidRPr="001C373F">
        <w:rPr>
          <w:rStyle w:val="Odwoanieprzypisudolnego"/>
          <w:rFonts w:asciiTheme="minorHAnsi" w:hAnsiTheme="minorHAnsi" w:cstheme="minorHAnsi"/>
          <w:sz w:val="20"/>
        </w:rPr>
        <w:footnoteRef/>
      </w:r>
      <w:r w:rsidRPr="001C373F">
        <w:rPr>
          <w:rFonts w:asciiTheme="minorHAnsi" w:hAnsiTheme="minorHAnsi" w:cstheme="minorHAnsi"/>
          <w:sz w:val="20"/>
          <w:lang w:val="pl-PL"/>
        </w:rPr>
        <w:t xml:space="preserve"> Co oznacza, że liczba osób w wieku 70 lat i więcej na 1 tys. mieszkańców spadła</w:t>
      </w:r>
    </w:p>
  </w:footnote>
  <w:footnote w:id="37">
    <w:p w14:paraId="701026C4" w14:textId="77777777" w:rsidR="00B14787" w:rsidRPr="00462BEC" w:rsidRDefault="00B14787" w:rsidP="00462BEC">
      <w:pPr>
        <w:pStyle w:val="Tekstprzypisudolnego"/>
        <w:spacing w:before="100" w:beforeAutospacing="1" w:after="100" w:afterAutospacing="1" w:line="240" w:lineRule="auto"/>
        <w:contextualSpacing/>
        <w:rPr>
          <w:rFonts w:asciiTheme="minorHAnsi" w:hAnsiTheme="minorHAnsi" w:cstheme="minorHAnsi"/>
          <w:sz w:val="20"/>
          <w:lang w:val="pl-PL"/>
        </w:rPr>
      </w:pPr>
      <w:r w:rsidRPr="00462BEC">
        <w:rPr>
          <w:rStyle w:val="Odwoanieprzypisudolnego"/>
          <w:rFonts w:asciiTheme="minorHAnsi" w:hAnsiTheme="minorHAnsi" w:cstheme="minorHAnsi"/>
          <w:sz w:val="20"/>
        </w:rPr>
        <w:footnoteRef/>
      </w:r>
      <w:r w:rsidRPr="00462BEC">
        <w:rPr>
          <w:rFonts w:asciiTheme="minorHAnsi" w:hAnsiTheme="minorHAnsi" w:cstheme="minorHAnsi"/>
          <w:sz w:val="20"/>
          <w:lang w:val="pl-PL"/>
        </w:rPr>
        <w:t xml:space="preserve"> Dynamika liczona w okresie 2020-2050</w:t>
      </w:r>
    </w:p>
  </w:footnote>
  <w:footnote w:id="38">
    <w:p w14:paraId="36AC31FA" w14:textId="77777777" w:rsidR="00B14787" w:rsidRPr="00462BEC" w:rsidRDefault="00B14787" w:rsidP="00462BEC">
      <w:pPr>
        <w:pStyle w:val="Tekstprzypisudolnego"/>
        <w:spacing w:before="100" w:beforeAutospacing="1" w:after="100" w:afterAutospacing="1" w:line="240" w:lineRule="auto"/>
        <w:contextualSpacing/>
        <w:rPr>
          <w:rFonts w:asciiTheme="minorHAnsi" w:hAnsiTheme="minorHAnsi" w:cstheme="minorHAnsi"/>
          <w:sz w:val="20"/>
          <w:lang w:val="pl-PL"/>
        </w:rPr>
      </w:pPr>
      <w:r w:rsidRPr="00462BEC">
        <w:rPr>
          <w:rStyle w:val="Odwoanieprzypisudolnego"/>
          <w:rFonts w:asciiTheme="minorHAnsi" w:hAnsiTheme="minorHAnsi" w:cstheme="minorHAnsi"/>
          <w:sz w:val="20"/>
        </w:rPr>
        <w:footnoteRef/>
      </w:r>
      <w:r w:rsidRPr="00462BEC">
        <w:rPr>
          <w:rFonts w:asciiTheme="minorHAnsi" w:hAnsiTheme="minorHAnsi" w:cstheme="minorHAnsi"/>
          <w:sz w:val="20"/>
          <w:lang w:val="pl-PL"/>
        </w:rPr>
        <w:t xml:space="preserve"> </w:t>
      </w:r>
      <w:r w:rsidRPr="00462BEC">
        <w:rPr>
          <w:rFonts w:asciiTheme="minorHAnsi" w:hAnsiTheme="minorHAnsi" w:cstheme="minorHAnsi"/>
          <w:color w:val="000000"/>
          <w:sz w:val="20"/>
          <w:lang w:val="pl-PL"/>
        </w:rPr>
        <w:t>Udział osób w wieku 25-34 lat w ogólnej liczbie ludności</w:t>
      </w:r>
    </w:p>
  </w:footnote>
  <w:footnote w:id="39">
    <w:p w14:paraId="07061891" w14:textId="33B39ABB" w:rsidR="00B14787" w:rsidRPr="00733091" w:rsidRDefault="00B14787" w:rsidP="00462BEC">
      <w:pPr>
        <w:pStyle w:val="Tekstprzypisudolnego"/>
        <w:spacing w:before="100" w:beforeAutospacing="1" w:after="100" w:afterAutospacing="1" w:line="240" w:lineRule="auto"/>
        <w:contextualSpacing/>
        <w:rPr>
          <w:sz w:val="18"/>
          <w:szCs w:val="18"/>
          <w:lang w:val="pl-PL"/>
        </w:rPr>
      </w:pPr>
      <w:r w:rsidRPr="00462BEC">
        <w:rPr>
          <w:rStyle w:val="Odwoanieprzypisudolnego"/>
          <w:rFonts w:asciiTheme="minorHAnsi" w:hAnsiTheme="minorHAnsi" w:cstheme="minorHAnsi"/>
          <w:sz w:val="20"/>
        </w:rPr>
        <w:footnoteRef/>
      </w:r>
      <w:r w:rsidRPr="00462BEC">
        <w:rPr>
          <w:rFonts w:asciiTheme="minorHAnsi" w:hAnsiTheme="minorHAnsi" w:cstheme="minorHAnsi"/>
          <w:sz w:val="20"/>
          <w:lang w:val="pl-PL"/>
        </w:rPr>
        <w:t xml:space="preserve"> Prognoza demograficzna do 2050 r. dla powiatów – opracowanie G</w:t>
      </w:r>
      <w:r>
        <w:rPr>
          <w:rFonts w:asciiTheme="minorHAnsi" w:hAnsiTheme="minorHAnsi" w:cstheme="minorHAnsi"/>
          <w:sz w:val="20"/>
          <w:lang w:val="pl-PL"/>
        </w:rPr>
        <w:t xml:space="preserve">łównego </w:t>
      </w:r>
      <w:r w:rsidRPr="00462BEC">
        <w:rPr>
          <w:rFonts w:asciiTheme="minorHAnsi" w:hAnsiTheme="minorHAnsi" w:cstheme="minorHAnsi"/>
          <w:sz w:val="20"/>
          <w:lang w:val="pl-PL"/>
        </w:rPr>
        <w:t>U</w:t>
      </w:r>
      <w:r>
        <w:rPr>
          <w:rFonts w:asciiTheme="minorHAnsi" w:hAnsiTheme="minorHAnsi" w:cstheme="minorHAnsi"/>
          <w:sz w:val="20"/>
          <w:lang w:val="pl-PL"/>
        </w:rPr>
        <w:t xml:space="preserve">rzędu </w:t>
      </w:r>
      <w:r w:rsidRPr="00462BEC">
        <w:rPr>
          <w:rFonts w:asciiTheme="minorHAnsi" w:hAnsiTheme="minorHAnsi" w:cstheme="minorHAnsi"/>
          <w:sz w:val="20"/>
          <w:lang w:val="pl-PL"/>
        </w:rPr>
        <w:t>S</w:t>
      </w:r>
      <w:r>
        <w:rPr>
          <w:rFonts w:asciiTheme="minorHAnsi" w:hAnsiTheme="minorHAnsi" w:cstheme="minorHAnsi"/>
          <w:sz w:val="20"/>
          <w:lang w:val="pl-PL"/>
        </w:rPr>
        <w:t xml:space="preserve">tatystycznego z 2014 r. </w:t>
      </w:r>
    </w:p>
  </w:footnote>
  <w:footnote w:id="40">
    <w:p w14:paraId="2E5B4967" w14:textId="1E53635C" w:rsidR="00B14787" w:rsidRPr="00DD0997" w:rsidRDefault="00B14787">
      <w:pPr>
        <w:pStyle w:val="Tekstprzypisudolnego"/>
        <w:rPr>
          <w:rFonts w:asciiTheme="minorHAnsi" w:hAnsiTheme="minorHAnsi" w:cstheme="minorHAnsi"/>
          <w:sz w:val="20"/>
          <w:lang w:val="pl-PL"/>
        </w:rPr>
      </w:pPr>
      <w:r w:rsidRPr="00DD0997">
        <w:rPr>
          <w:rStyle w:val="Odwoanieprzypisudolnego"/>
          <w:rFonts w:asciiTheme="minorHAnsi" w:hAnsiTheme="minorHAnsi" w:cstheme="minorHAnsi"/>
          <w:sz w:val="20"/>
        </w:rPr>
        <w:footnoteRef/>
      </w:r>
      <w:r w:rsidRPr="00DD0997">
        <w:rPr>
          <w:rFonts w:asciiTheme="minorHAnsi" w:hAnsiTheme="minorHAnsi" w:cstheme="minorHAnsi"/>
          <w:sz w:val="20"/>
          <w:lang w:val="pl-PL"/>
        </w:rPr>
        <w:t xml:space="preserve"> Współczynnik w tej wysokości nie gwarantuje zastępowalności pokoleń</w:t>
      </w:r>
    </w:p>
  </w:footnote>
  <w:footnote w:id="41">
    <w:p w14:paraId="29DDEC9A" w14:textId="77777777" w:rsidR="00B14787" w:rsidRPr="00462BEC" w:rsidRDefault="00B14787" w:rsidP="00462BEC">
      <w:pPr>
        <w:pStyle w:val="Tekstprzypisudolnego"/>
        <w:spacing w:before="100" w:beforeAutospacing="1" w:after="100" w:afterAutospacing="1" w:line="240" w:lineRule="auto"/>
        <w:contextualSpacing/>
        <w:rPr>
          <w:rFonts w:asciiTheme="minorHAnsi" w:hAnsiTheme="minorHAnsi" w:cstheme="minorHAnsi"/>
          <w:sz w:val="20"/>
          <w:lang w:val="pl-PL"/>
        </w:rPr>
      </w:pPr>
      <w:r w:rsidRPr="00462BEC">
        <w:rPr>
          <w:rStyle w:val="Odwoanieprzypisudolnego"/>
          <w:rFonts w:asciiTheme="minorHAnsi" w:hAnsiTheme="minorHAnsi" w:cstheme="minorHAnsi"/>
          <w:sz w:val="20"/>
        </w:rPr>
        <w:footnoteRef/>
      </w:r>
      <w:r w:rsidRPr="00462BEC">
        <w:rPr>
          <w:rFonts w:asciiTheme="minorHAnsi" w:hAnsiTheme="minorHAnsi" w:cstheme="minorHAnsi"/>
          <w:sz w:val="20"/>
          <w:lang w:val="pl-PL"/>
        </w:rPr>
        <w:t xml:space="preserve"> Z wyłączeniem 2015 r., dla którego Główny Urząd Statystyczny nie publikuje danych.</w:t>
      </w:r>
    </w:p>
  </w:footnote>
  <w:footnote w:id="42">
    <w:p w14:paraId="41CA87EB" w14:textId="77777777" w:rsidR="00B14787" w:rsidRPr="00733091" w:rsidRDefault="00B14787" w:rsidP="00462BEC">
      <w:pPr>
        <w:pStyle w:val="Tekstprzypisudolnego"/>
        <w:spacing w:before="100" w:beforeAutospacing="1" w:after="100" w:afterAutospacing="1" w:line="240" w:lineRule="auto"/>
        <w:contextualSpacing/>
        <w:rPr>
          <w:rFonts w:cstheme="minorHAnsi"/>
          <w:sz w:val="18"/>
          <w:szCs w:val="18"/>
          <w:lang w:val="pl-PL"/>
        </w:rPr>
      </w:pPr>
      <w:r w:rsidRPr="00462BEC">
        <w:rPr>
          <w:rStyle w:val="Odwoanieprzypisudolnego"/>
          <w:rFonts w:asciiTheme="minorHAnsi" w:hAnsiTheme="minorHAnsi" w:cstheme="minorHAnsi"/>
          <w:sz w:val="20"/>
        </w:rPr>
        <w:footnoteRef/>
      </w:r>
      <w:r w:rsidRPr="00462BEC">
        <w:rPr>
          <w:rFonts w:asciiTheme="minorHAnsi" w:hAnsiTheme="minorHAnsi" w:cstheme="minorHAnsi"/>
          <w:sz w:val="20"/>
          <w:lang w:val="pl-PL"/>
        </w:rPr>
        <w:t xml:space="preserve"> W okresie 2009-2019 na terenie województwa warmińsko-mazurskiego zameldowało się ogółem 167.951 osób</w:t>
      </w:r>
    </w:p>
  </w:footnote>
  <w:footnote w:id="43">
    <w:p w14:paraId="11CD1026" w14:textId="77777777" w:rsidR="00B14787" w:rsidRPr="00462BEC" w:rsidRDefault="00B14787" w:rsidP="00462BEC">
      <w:pPr>
        <w:pStyle w:val="Tekstprzypisudolnego"/>
        <w:spacing w:before="100" w:beforeAutospacing="1" w:after="100" w:afterAutospacing="1" w:line="240" w:lineRule="auto"/>
        <w:contextualSpacing/>
        <w:rPr>
          <w:rFonts w:asciiTheme="minorHAnsi" w:hAnsiTheme="minorHAnsi" w:cstheme="minorHAnsi"/>
          <w:sz w:val="20"/>
          <w:lang w:val="pl-PL"/>
        </w:rPr>
      </w:pPr>
      <w:r w:rsidRPr="00462BEC">
        <w:rPr>
          <w:rStyle w:val="Odwoanieprzypisudolnego"/>
          <w:rFonts w:asciiTheme="minorHAnsi" w:hAnsiTheme="minorHAnsi" w:cstheme="minorHAnsi"/>
          <w:sz w:val="20"/>
        </w:rPr>
        <w:footnoteRef/>
      </w:r>
      <w:r w:rsidRPr="00462BEC">
        <w:rPr>
          <w:rFonts w:asciiTheme="minorHAnsi" w:hAnsiTheme="minorHAnsi" w:cstheme="minorHAnsi"/>
          <w:sz w:val="20"/>
          <w:lang w:val="pl-PL"/>
        </w:rPr>
        <w:t xml:space="preserve"> W okresie 2009-2019 z województwa warmińsko-mazurskiego wymeldowało się ogółem 199.268 osób</w:t>
      </w:r>
    </w:p>
  </w:footnote>
  <w:footnote w:id="44">
    <w:p w14:paraId="02F14A1D" w14:textId="77777777" w:rsidR="00B14787" w:rsidRPr="00462BEC" w:rsidRDefault="00B14787" w:rsidP="00462BEC">
      <w:pPr>
        <w:pStyle w:val="Tekstprzypisudolnego"/>
        <w:spacing w:before="100" w:beforeAutospacing="1" w:after="100" w:afterAutospacing="1" w:line="240" w:lineRule="auto"/>
        <w:contextualSpacing/>
        <w:rPr>
          <w:rFonts w:asciiTheme="minorHAnsi" w:hAnsiTheme="minorHAnsi" w:cstheme="minorHAnsi"/>
          <w:sz w:val="20"/>
          <w:lang w:val="pl-PL"/>
        </w:rPr>
      </w:pPr>
      <w:r w:rsidRPr="00462BEC">
        <w:rPr>
          <w:rStyle w:val="Odwoanieprzypisudolnego"/>
          <w:rFonts w:asciiTheme="minorHAnsi" w:hAnsiTheme="minorHAnsi" w:cstheme="minorHAnsi"/>
          <w:sz w:val="20"/>
        </w:rPr>
        <w:footnoteRef/>
      </w:r>
      <w:r w:rsidRPr="00462BEC">
        <w:rPr>
          <w:rFonts w:asciiTheme="minorHAnsi" w:hAnsiTheme="minorHAnsi" w:cstheme="minorHAnsi"/>
          <w:sz w:val="20"/>
          <w:lang w:val="pl-PL"/>
        </w:rPr>
        <w:t xml:space="preserve"> Z wyłączeniem 2015 r., dla którego Główny Urząd Statystyczny nie publikuje danych.</w:t>
      </w:r>
    </w:p>
  </w:footnote>
  <w:footnote w:id="45">
    <w:p w14:paraId="7DB4F8DF" w14:textId="77777777" w:rsidR="00B14787" w:rsidRPr="00733091" w:rsidRDefault="00B14787" w:rsidP="00462BEC">
      <w:pPr>
        <w:pStyle w:val="Tekstprzypisudolnego"/>
        <w:spacing w:before="100" w:beforeAutospacing="1" w:after="100" w:afterAutospacing="1" w:line="240" w:lineRule="auto"/>
        <w:contextualSpacing/>
        <w:jc w:val="both"/>
        <w:rPr>
          <w:lang w:val="pl-PL"/>
        </w:rPr>
      </w:pPr>
      <w:r w:rsidRPr="00462BEC">
        <w:rPr>
          <w:rStyle w:val="Odwoanieprzypisudolnego"/>
          <w:rFonts w:asciiTheme="minorHAnsi" w:hAnsiTheme="minorHAnsi" w:cstheme="minorHAnsi"/>
          <w:sz w:val="20"/>
        </w:rPr>
        <w:footnoteRef/>
      </w:r>
      <w:r w:rsidRPr="00462BEC">
        <w:rPr>
          <w:rFonts w:asciiTheme="minorHAnsi" w:hAnsiTheme="minorHAnsi" w:cstheme="minorHAnsi"/>
          <w:sz w:val="20"/>
          <w:lang w:val="pl-PL"/>
        </w:rPr>
        <w:t xml:space="preserve"> Wyjątek stanowią: gmina miejska Szczytno, gmina wiejska Szczytno, Ruciane-Nida, Nidzica, Lidzbark, Janowiec Kościelny, Działdowo, w których saldo migracji w latach 2009-2019 było dodatnie</w:t>
      </w:r>
    </w:p>
  </w:footnote>
  <w:footnote w:id="46">
    <w:p w14:paraId="5E71D504" w14:textId="2DC29A1D" w:rsidR="00B14787" w:rsidRPr="006120C4" w:rsidRDefault="00B14787" w:rsidP="006120C4">
      <w:pPr>
        <w:pStyle w:val="Tekstprzypisudolnego"/>
        <w:spacing w:before="100" w:beforeAutospacing="1" w:after="100" w:afterAutospacing="1" w:line="240" w:lineRule="auto"/>
        <w:contextualSpacing/>
        <w:jc w:val="both"/>
        <w:rPr>
          <w:rFonts w:asciiTheme="minorHAnsi" w:hAnsiTheme="minorHAnsi" w:cstheme="minorHAnsi"/>
          <w:sz w:val="20"/>
          <w:lang w:val="pl-PL"/>
        </w:rPr>
      </w:pPr>
      <w:r w:rsidRPr="006120C4">
        <w:rPr>
          <w:rStyle w:val="Odwoanieprzypisudolnego"/>
          <w:rFonts w:asciiTheme="minorHAnsi" w:hAnsiTheme="minorHAnsi" w:cstheme="minorHAnsi"/>
          <w:sz w:val="20"/>
        </w:rPr>
        <w:footnoteRef/>
      </w:r>
      <w:r w:rsidRPr="006120C4">
        <w:rPr>
          <w:rFonts w:asciiTheme="minorHAnsi" w:hAnsiTheme="minorHAnsi" w:cstheme="minorHAnsi"/>
          <w:sz w:val="20"/>
          <w:lang w:val="pl-PL"/>
        </w:rPr>
        <w:t xml:space="preserve"> W okresie badawczym 2015-2019 liczba miejsc oferowanych żłobów na terenie Południowych Mazur wzrosła prawie 3-krotnie, a liczba dzieci do lat 3 objętych opieką w placówkach ponad 2-krotnie</w:t>
      </w:r>
    </w:p>
  </w:footnote>
  <w:footnote w:id="47">
    <w:p w14:paraId="5005D38B" w14:textId="77777777" w:rsidR="00B14787" w:rsidRPr="006120C4" w:rsidRDefault="00B14787" w:rsidP="006120C4">
      <w:pPr>
        <w:pStyle w:val="Tekstprzypisudolnego"/>
        <w:spacing w:before="100" w:beforeAutospacing="1" w:after="100" w:afterAutospacing="1" w:line="240" w:lineRule="auto"/>
        <w:contextualSpacing/>
        <w:rPr>
          <w:rFonts w:asciiTheme="minorHAnsi" w:hAnsiTheme="minorHAnsi" w:cstheme="minorHAnsi"/>
          <w:sz w:val="20"/>
          <w:lang w:val="pl-PL"/>
        </w:rPr>
      </w:pPr>
      <w:r w:rsidRPr="006120C4">
        <w:rPr>
          <w:rStyle w:val="Odwoanieprzypisudolnego"/>
          <w:rFonts w:asciiTheme="minorHAnsi" w:hAnsiTheme="minorHAnsi" w:cstheme="minorHAnsi"/>
          <w:sz w:val="20"/>
        </w:rPr>
        <w:footnoteRef/>
      </w:r>
      <w:r w:rsidRPr="006120C4">
        <w:rPr>
          <w:rFonts w:asciiTheme="minorHAnsi" w:hAnsiTheme="minorHAnsi" w:cstheme="minorHAnsi"/>
          <w:sz w:val="20"/>
          <w:lang w:val="pl-PL"/>
        </w:rPr>
        <w:t xml:space="preserve">Jednocześnie prognozy pokazują, że liczba dzieci w wieku od 0-2 lat oraz w wieku od 3-6 lat będzie spadać </w:t>
      </w:r>
    </w:p>
  </w:footnote>
  <w:footnote w:id="48">
    <w:p w14:paraId="0A915437" w14:textId="77777777" w:rsidR="00B14787" w:rsidRPr="006120C4" w:rsidRDefault="00B14787" w:rsidP="006120C4">
      <w:pPr>
        <w:pStyle w:val="Tekstprzypisudolnego"/>
        <w:spacing w:before="100" w:beforeAutospacing="1" w:after="100" w:afterAutospacing="1" w:line="240" w:lineRule="auto"/>
        <w:contextualSpacing/>
        <w:jc w:val="both"/>
        <w:rPr>
          <w:rFonts w:asciiTheme="minorHAnsi" w:hAnsiTheme="minorHAnsi" w:cstheme="minorHAnsi"/>
          <w:sz w:val="20"/>
          <w:lang w:val="pl-PL"/>
        </w:rPr>
      </w:pPr>
      <w:r w:rsidRPr="006120C4">
        <w:rPr>
          <w:rStyle w:val="Odwoanieprzypisudolnego"/>
          <w:rFonts w:asciiTheme="minorHAnsi" w:hAnsiTheme="minorHAnsi" w:cstheme="minorHAnsi"/>
          <w:sz w:val="20"/>
        </w:rPr>
        <w:footnoteRef/>
      </w:r>
      <w:r w:rsidRPr="006120C4">
        <w:rPr>
          <w:rFonts w:asciiTheme="minorHAnsi" w:hAnsiTheme="minorHAnsi" w:cstheme="minorHAnsi"/>
          <w:sz w:val="20"/>
          <w:lang w:val="pl-PL"/>
        </w:rPr>
        <w:t xml:space="preserve"> Przedszkola i zespoły wychowania przedszkolnego przeznaczone są dla dzieci w wieku 3−6 lat, punkty przedszkolne – dla dzieci w wieku 3-5-lat, a oddziały przedszkolne w szkołach podstawowych – dla dzieci 6-letnich</w:t>
      </w:r>
    </w:p>
  </w:footnote>
  <w:footnote w:id="49">
    <w:p w14:paraId="045877DC" w14:textId="77777777" w:rsidR="00B14787" w:rsidRPr="00733091" w:rsidRDefault="00B14787" w:rsidP="006120C4">
      <w:pPr>
        <w:pStyle w:val="Tekstprzypisudolnego"/>
        <w:spacing w:before="100" w:beforeAutospacing="1" w:after="100" w:afterAutospacing="1" w:line="240" w:lineRule="auto"/>
        <w:contextualSpacing/>
        <w:jc w:val="both"/>
        <w:rPr>
          <w:lang w:val="pl-PL"/>
        </w:rPr>
      </w:pPr>
      <w:r w:rsidRPr="006120C4">
        <w:rPr>
          <w:rStyle w:val="Odwoanieprzypisudolnego"/>
          <w:rFonts w:asciiTheme="minorHAnsi" w:hAnsiTheme="minorHAnsi" w:cstheme="minorHAnsi"/>
          <w:sz w:val="20"/>
        </w:rPr>
        <w:footnoteRef/>
      </w:r>
      <w:r w:rsidRPr="006120C4">
        <w:rPr>
          <w:rFonts w:asciiTheme="minorHAnsi" w:hAnsiTheme="minorHAnsi" w:cstheme="minorHAnsi"/>
          <w:sz w:val="20"/>
          <w:lang w:val="pl-PL"/>
        </w:rPr>
        <w:t xml:space="preserve"> Przy planowaniu oferty usług należy wziąć też pod uwagę rosnącą skłonność rodziców do zapewniania dzieciom zinstytucjonalizowanej opieki.</w:t>
      </w:r>
    </w:p>
  </w:footnote>
  <w:footnote w:id="50">
    <w:p w14:paraId="3D09BE19" w14:textId="77777777" w:rsidR="00B14787" w:rsidRPr="00BC488F" w:rsidRDefault="00B14787" w:rsidP="00A0313D">
      <w:pPr>
        <w:pStyle w:val="Tekstprzypisudolnego"/>
        <w:spacing w:before="100" w:beforeAutospacing="1" w:after="100" w:afterAutospacing="1" w:line="240" w:lineRule="auto"/>
        <w:contextualSpacing/>
        <w:rPr>
          <w:rFonts w:asciiTheme="minorHAnsi" w:hAnsiTheme="minorHAnsi"/>
          <w:sz w:val="20"/>
          <w:lang w:val="pl-PL"/>
        </w:rPr>
      </w:pPr>
      <w:r w:rsidRPr="00BC488F">
        <w:rPr>
          <w:rStyle w:val="Odwoanieprzypisudolnego"/>
          <w:rFonts w:asciiTheme="minorHAnsi" w:hAnsiTheme="minorHAnsi"/>
          <w:sz w:val="20"/>
        </w:rPr>
        <w:footnoteRef/>
      </w:r>
      <w:r w:rsidRPr="00BC488F">
        <w:rPr>
          <w:rFonts w:asciiTheme="minorHAnsi" w:hAnsiTheme="minorHAnsi"/>
          <w:sz w:val="20"/>
          <w:lang w:val="pl-PL"/>
        </w:rPr>
        <w:t xml:space="preserve"> Od 2010 r. wydatki Partnerstwa na oświatę i wychowanie oraz utrzymanie szkół podstawowych rosną.</w:t>
      </w:r>
    </w:p>
  </w:footnote>
  <w:footnote w:id="51">
    <w:p w14:paraId="4A2BDBA1" w14:textId="77777777" w:rsidR="00B14787" w:rsidRPr="00733091" w:rsidRDefault="00B14787" w:rsidP="003A308C">
      <w:pPr>
        <w:pStyle w:val="Tekstprzypisudolnego"/>
        <w:spacing w:before="100" w:beforeAutospacing="1" w:after="100" w:afterAutospacing="1" w:line="240" w:lineRule="auto"/>
        <w:contextualSpacing/>
        <w:jc w:val="both"/>
        <w:rPr>
          <w:lang w:val="pl-PL"/>
        </w:rPr>
      </w:pPr>
      <w:r w:rsidRPr="00BC488F">
        <w:rPr>
          <w:rStyle w:val="Odwoanieprzypisudolnego"/>
          <w:rFonts w:asciiTheme="minorHAnsi" w:hAnsiTheme="minorHAnsi"/>
          <w:sz w:val="20"/>
        </w:rPr>
        <w:footnoteRef/>
      </w:r>
      <w:r w:rsidRPr="00BC488F">
        <w:rPr>
          <w:rFonts w:asciiTheme="minorHAnsi" w:hAnsiTheme="minorHAnsi"/>
          <w:sz w:val="20"/>
          <w:lang w:val="pl-PL"/>
        </w:rPr>
        <w:t xml:space="preserve"> Przeanalizowano wyniki z języka angielskiego jako najpopularniejszego języka nowożytnego wybieranego na egzaminie ośmioklasisty</w:t>
      </w:r>
    </w:p>
  </w:footnote>
  <w:footnote w:id="52">
    <w:p w14:paraId="012430A9" w14:textId="77777777" w:rsidR="00B14787" w:rsidRPr="00BC488F" w:rsidRDefault="00B14787" w:rsidP="00AE4C8C">
      <w:pPr>
        <w:pStyle w:val="Tekstprzypisudolnego"/>
        <w:spacing w:before="100" w:beforeAutospacing="1" w:after="100" w:afterAutospacing="1" w:line="240" w:lineRule="auto"/>
        <w:contextualSpacing/>
        <w:rPr>
          <w:rFonts w:asciiTheme="minorHAnsi" w:hAnsiTheme="minorHAnsi"/>
          <w:sz w:val="20"/>
          <w:lang w:val="pl-PL"/>
        </w:rPr>
      </w:pPr>
      <w:r w:rsidRPr="00BC488F">
        <w:rPr>
          <w:rStyle w:val="Odwoanieprzypisudolnego"/>
          <w:rFonts w:asciiTheme="minorHAnsi" w:hAnsiTheme="minorHAnsi"/>
          <w:sz w:val="20"/>
        </w:rPr>
        <w:footnoteRef/>
      </w:r>
      <w:r w:rsidRPr="00BC488F">
        <w:rPr>
          <w:rFonts w:asciiTheme="minorHAnsi" w:hAnsiTheme="minorHAnsi"/>
          <w:sz w:val="20"/>
          <w:lang w:val="pl-PL"/>
        </w:rPr>
        <w:t xml:space="preserve"> Współczynnik skolaryzacji </w:t>
      </w:r>
      <w:r w:rsidRPr="00BC488F">
        <w:rPr>
          <w:rFonts w:asciiTheme="minorHAnsi" w:hAnsiTheme="minorHAnsi" w:cstheme="majorHAnsi"/>
          <w:sz w:val="20"/>
          <w:lang w:val="pl-PL"/>
        </w:rPr>
        <w:t>wynosił w 2019 r. 17,96%, w 2010 – 17,54%</w:t>
      </w:r>
    </w:p>
  </w:footnote>
  <w:footnote w:id="53">
    <w:p w14:paraId="646B80E9" w14:textId="071E1EA6" w:rsidR="00B14787" w:rsidRPr="00BC488F" w:rsidRDefault="00B14787" w:rsidP="00AE4C8C">
      <w:pPr>
        <w:pStyle w:val="Tekstprzypisudolnego"/>
        <w:spacing w:before="100" w:beforeAutospacing="1" w:after="100" w:afterAutospacing="1" w:line="240" w:lineRule="auto"/>
        <w:contextualSpacing/>
        <w:jc w:val="both"/>
        <w:rPr>
          <w:rFonts w:asciiTheme="minorHAnsi" w:hAnsiTheme="minorHAnsi"/>
          <w:sz w:val="20"/>
          <w:lang w:val="pl-PL"/>
        </w:rPr>
      </w:pPr>
      <w:r w:rsidRPr="00BC488F">
        <w:rPr>
          <w:rStyle w:val="Odwoanieprzypisudolnego"/>
          <w:rFonts w:asciiTheme="minorHAnsi" w:hAnsiTheme="minorHAnsi"/>
          <w:sz w:val="20"/>
        </w:rPr>
        <w:footnoteRef/>
      </w:r>
      <w:r w:rsidRPr="00BC488F">
        <w:rPr>
          <w:rFonts w:asciiTheme="minorHAnsi" w:hAnsiTheme="minorHAnsi"/>
          <w:sz w:val="20"/>
          <w:lang w:val="pl-PL"/>
        </w:rPr>
        <w:t xml:space="preserve"> Na terenie Południowych Mazur nie ma wyższych uczelni, co powoduje migrację ludzi młodych poza obszar Partnerstwa w celu kontynuowania nauki. Z badań młodzieży wynika, że 53,35% młodych ludzi zamierza kontynuować naukę poza miejscem zamieszkania. </w:t>
      </w:r>
    </w:p>
  </w:footnote>
  <w:footnote w:id="54">
    <w:p w14:paraId="0B3D495C" w14:textId="77777777" w:rsidR="00B14787" w:rsidRPr="00BC488F" w:rsidRDefault="00B14787" w:rsidP="00AE4C8C">
      <w:pPr>
        <w:pStyle w:val="Tekstprzypisudolnego"/>
        <w:spacing w:before="100" w:beforeAutospacing="1" w:after="100" w:afterAutospacing="1" w:line="240" w:lineRule="auto"/>
        <w:contextualSpacing/>
        <w:jc w:val="both"/>
        <w:rPr>
          <w:rFonts w:asciiTheme="minorHAnsi" w:hAnsiTheme="minorHAnsi"/>
          <w:sz w:val="20"/>
          <w:lang w:val="pl-PL"/>
        </w:rPr>
      </w:pPr>
      <w:r w:rsidRPr="00BC488F">
        <w:rPr>
          <w:rStyle w:val="Odwoanieprzypisudolnego"/>
          <w:rFonts w:asciiTheme="minorHAnsi" w:hAnsiTheme="minorHAnsi"/>
          <w:sz w:val="20"/>
        </w:rPr>
        <w:footnoteRef/>
      </w:r>
      <w:r w:rsidRPr="00BC488F">
        <w:rPr>
          <w:rFonts w:asciiTheme="minorHAnsi" w:hAnsiTheme="minorHAnsi"/>
          <w:sz w:val="20"/>
          <w:lang w:val="pl-PL"/>
        </w:rPr>
        <w:t xml:space="preserve"> Od 2010 r. liczba </w:t>
      </w:r>
      <w:r w:rsidRPr="00BC488F">
        <w:rPr>
          <w:rFonts w:asciiTheme="minorHAnsi" w:hAnsiTheme="minorHAnsi" w:cstheme="majorHAnsi"/>
          <w:sz w:val="20"/>
          <w:lang w:val="pl-PL"/>
        </w:rPr>
        <w:t>szkół ogólnokształcących zmniejszyła się o 46,5%.</w:t>
      </w:r>
    </w:p>
  </w:footnote>
  <w:footnote w:id="55">
    <w:p w14:paraId="4933FDC7" w14:textId="77777777" w:rsidR="00B14787" w:rsidRPr="00733091" w:rsidRDefault="00B14787" w:rsidP="00AE4C8C">
      <w:pPr>
        <w:pStyle w:val="Tekstprzypisudolnego"/>
        <w:spacing w:before="100" w:beforeAutospacing="1" w:after="100" w:afterAutospacing="1" w:line="240" w:lineRule="auto"/>
        <w:contextualSpacing/>
        <w:jc w:val="both"/>
        <w:rPr>
          <w:lang w:val="pl-PL"/>
        </w:rPr>
      </w:pPr>
      <w:r w:rsidRPr="00BC488F">
        <w:rPr>
          <w:rStyle w:val="Odwoanieprzypisudolnego"/>
          <w:rFonts w:asciiTheme="minorHAnsi" w:hAnsiTheme="minorHAnsi"/>
          <w:sz w:val="20"/>
        </w:rPr>
        <w:footnoteRef/>
      </w:r>
      <w:r w:rsidRPr="00BC488F">
        <w:rPr>
          <w:rFonts w:asciiTheme="minorHAnsi" w:hAnsiTheme="minorHAnsi"/>
          <w:sz w:val="20"/>
          <w:lang w:val="pl-PL"/>
        </w:rPr>
        <w:t xml:space="preserve"> Przeanalizowano wyniki z języka angielskiego jako najpopularniejszego języka nowożytnego wybieranego na egzaminie maturalnym</w:t>
      </w:r>
    </w:p>
  </w:footnote>
  <w:footnote w:id="56">
    <w:p w14:paraId="78B16930" w14:textId="77777777" w:rsidR="00B14787" w:rsidRPr="001C373F" w:rsidRDefault="00B14787" w:rsidP="003711E3">
      <w:pPr>
        <w:pStyle w:val="Tekstprzypisudolnego"/>
        <w:spacing w:before="100" w:beforeAutospacing="1" w:after="100" w:afterAutospacing="1"/>
        <w:jc w:val="both"/>
        <w:rPr>
          <w:rFonts w:asciiTheme="minorHAnsi" w:hAnsiTheme="minorHAnsi" w:cstheme="minorHAnsi"/>
          <w:sz w:val="20"/>
          <w:lang w:val="pl-PL"/>
        </w:rPr>
      </w:pPr>
      <w:r w:rsidRPr="001C373F">
        <w:rPr>
          <w:rStyle w:val="Odwoanieprzypisudolnego"/>
          <w:rFonts w:asciiTheme="minorHAnsi" w:hAnsiTheme="minorHAnsi" w:cstheme="minorHAnsi"/>
          <w:sz w:val="20"/>
        </w:rPr>
        <w:footnoteRef/>
      </w:r>
      <w:r w:rsidRPr="001C373F">
        <w:rPr>
          <w:rFonts w:asciiTheme="minorHAnsi" w:hAnsiTheme="minorHAnsi" w:cstheme="minorHAnsi"/>
          <w:sz w:val="20"/>
          <w:lang w:val="pl-PL"/>
        </w:rPr>
        <w:t xml:space="preserve"> Instytucje są zlokalizowane są przede wszystkim w Olsztynie, a także w mniejszym stopniu w Elblągu. </w:t>
      </w:r>
    </w:p>
  </w:footnote>
  <w:footnote w:id="57">
    <w:p w14:paraId="5F945358" w14:textId="36618016" w:rsidR="00B14787" w:rsidRPr="006C4290" w:rsidRDefault="00B14787" w:rsidP="006C4290">
      <w:pPr>
        <w:pStyle w:val="Tekstprzypisudolnego"/>
        <w:spacing w:before="100" w:beforeAutospacing="1" w:after="100" w:afterAutospacing="1" w:line="240" w:lineRule="auto"/>
        <w:contextualSpacing/>
        <w:jc w:val="both"/>
        <w:rPr>
          <w:lang w:val="pl-PL"/>
        </w:rPr>
      </w:pPr>
      <w:r>
        <w:rPr>
          <w:rStyle w:val="Odwoanieprzypisudolnego"/>
        </w:rPr>
        <w:footnoteRef/>
      </w:r>
      <w:r w:rsidRPr="006C4290">
        <w:rPr>
          <w:lang w:val="pl-PL"/>
        </w:rPr>
        <w:t xml:space="preserve"> </w:t>
      </w:r>
      <w:r w:rsidRPr="006C4290">
        <w:rPr>
          <w:rFonts w:asciiTheme="minorHAnsi" w:hAnsiTheme="minorHAnsi" w:cstheme="minorHAnsi"/>
          <w:sz w:val="20"/>
          <w:lang w:val="pl-PL"/>
        </w:rPr>
        <w:t>Grup</w:t>
      </w:r>
      <w:r>
        <w:rPr>
          <w:rFonts w:asciiTheme="minorHAnsi" w:hAnsiTheme="minorHAnsi" w:cstheme="minorHAnsi"/>
          <w:sz w:val="20"/>
          <w:lang w:val="pl-PL"/>
        </w:rPr>
        <w:t>ę</w:t>
      </w:r>
      <w:r w:rsidRPr="006C4290">
        <w:rPr>
          <w:rFonts w:asciiTheme="minorHAnsi" w:hAnsiTheme="minorHAnsi" w:cstheme="minorHAnsi"/>
          <w:sz w:val="20"/>
          <w:lang w:val="pl-PL"/>
        </w:rPr>
        <w:t xml:space="preserve"> porównawczą </w:t>
      </w:r>
      <w:r>
        <w:rPr>
          <w:rFonts w:asciiTheme="minorHAnsi" w:hAnsiTheme="minorHAnsi" w:cstheme="minorHAnsi"/>
          <w:sz w:val="20"/>
          <w:lang w:val="pl-PL"/>
        </w:rPr>
        <w:t xml:space="preserve">stanowią </w:t>
      </w:r>
      <w:r w:rsidRPr="006C4290">
        <w:rPr>
          <w:rFonts w:asciiTheme="minorHAnsi" w:hAnsiTheme="minorHAnsi" w:cstheme="minorHAnsi"/>
          <w:sz w:val="20"/>
          <w:lang w:val="pl-PL"/>
        </w:rPr>
        <w:t>wszystkie gminy wchodzące w skład 7 grup funkcjonalnych zdefiniowanych przez prof. Przemysława Śleszyńskiego, czyli gminy stanowiące ośrodki wielofunkcyjne, gminy pełniące funkcje pozarolnicze, gminy pełniące funkcje umiarkowanie rolnicze, gminy pełniące funkcje intensywnie rolnicze, gminy ekstensywnie zagospodarowane i gminy rozwinięte transportowo</w:t>
      </w:r>
      <w:r>
        <w:rPr>
          <w:rFonts w:asciiTheme="minorHAnsi" w:hAnsiTheme="minorHAnsi" w:cstheme="minorHAnsi"/>
          <w:sz w:val="20"/>
          <w:lang w:val="pl-PL"/>
        </w:rPr>
        <w:t>.</w:t>
      </w:r>
    </w:p>
  </w:footnote>
  <w:footnote w:id="58">
    <w:p w14:paraId="4C025DBD" w14:textId="77777777" w:rsidR="00B14787" w:rsidRPr="00BC488F" w:rsidRDefault="00B14787" w:rsidP="00AE4C8C">
      <w:pPr>
        <w:shd w:val="clear" w:color="auto" w:fill="FFFFFF" w:themeFill="background1"/>
        <w:spacing w:before="100" w:beforeAutospacing="1" w:after="100" w:afterAutospacing="1" w:line="240" w:lineRule="auto"/>
        <w:contextualSpacing/>
        <w:jc w:val="both"/>
        <w:rPr>
          <w:rFonts w:cstheme="majorHAnsi"/>
          <w:sz w:val="20"/>
          <w:szCs w:val="20"/>
          <w:lang w:val="pl-PL"/>
        </w:rPr>
      </w:pPr>
      <w:r w:rsidRPr="00BC488F">
        <w:rPr>
          <w:rStyle w:val="Odwoanieprzypisudolnego"/>
          <w:sz w:val="20"/>
          <w:szCs w:val="20"/>
        </w:rPr>
        <w:footnoteRef/>
      </w:r>
      <w:r w:rsidRPr="00BC488F">
        <w:rPr>
          <w:sz w:val="20"/>
          <w:szCs w:val="20"/>
          <w:lang w:val="pl-PL"/>
        </w:rPr>
        <w:t xml:space="preserve"> </w:t>
      </w:r>
      <w:r w:rsidRPr="00BC488F">
        <w:rPr>
          <w:rFonts w:cstheme="majorHAnsi"/>
          <w:sz w:val="20"/>
          <w:szCs w:val="20"/>
          <w:lang w:val="pl-PL"/>
        </w:rPr>
        <w:t>Wskaźnik atrakcyjności miejsca zamieszkania liczony jako stosunek trzyletniej średniej oddanej do użytkowania mieszkalnej powierzchni użytkowej w odniesieniu do grupy wiekowej 25-34 na tle sytuacji w całym kraju.</w:t>
      </w:r>
    </w:p>
  </w:footnote>
  <w:footnote w:id="59">
    <w:p w14:paraId="4446C61A" w14:textId="77777777" w:rsidR="00B14787" w:rsidRPr="001C373F" w:rsidRDefault="00B14787" w:rsidP="00BB7F69">
      <w:pPr>
        <w:pStyle w:val="Tekstprzypisudolnego"/>
        <w:spacing w:before="100" w:beforeAutospacing="1" w:after="100" w:afterAutospacing="1" w:line="240" w:lineRule="auto"/>
        <w:contextualSpacing/>
        <w:jc w:val="both"/>
        <w:rPr>
          <w:rFonts w:asciiTheme="minorHAnsi" w:hAnsiTheme="minorHAnsi" w:cstheme="minorHAnsi"/>
          <w:sz w:val="20"/>
          <w:lang w:val="pl-PL"/>
        </w:rPr>
      </w:pPr>
      <w:r w:rsidRPr="001C373F">
        <w:rPr>
          <w:rStyle w:val="Odwoanieprzypisudolnego"/>
          <w:rFonts w:asciiTheme="minorHAnsi" w:hAnsiTheme="minorHAnsi" w:cstheme="minorHAnsi"/>
          <w:sz w:val="20"/>
        </w:rPr>
        <w:footnoteRef/>
      </w:r>
      <w:r w:rsidRPr="001C373F">
        <w:rPr>
          <w:rFonts w:asciiTheme="minorHAnsi" w:hAnsiTheme="minorHAnsi" w:cstheme="minorHAnsi"/>
          <w:sz w:val="20"/>
          <w:lang w:val="pl-PL"/>
        </w:rPr>
        <w:t xml:space="preserve"> Indeksy łańcuchowe (o zmiennej podstawie) informują o tym jak zmieniła się wartość zjawiska w danym roku względem roku poprzedniego.</w:t>
      </w:r>
    </w:p>
  </w:footnote>
  <w:footnote w:id="60">
    <w:p w14:paraId="6A2AAD35" w14:textId="77777777" w:rsidR="00B14787" w:rsidRPr="004E378E" w:rsidRDefault="00B14787" w:rsidP="00BB7F69">
      <w:pPr>
        <w:pStyle w:val="Tekstprzypisudolnego"/>
        <w:spacing w:before="100" w:beforeAutospacing="1" w:after="100" w:afterAutospacing="1" w:line="240" w:lineRule="auto"/>
        <w:contextualSpacing/>
        <w:jc w:val="both"/>
        <w:rPr>
          <w:rFonts w:asciiTheme="minorHAnsi" w:hAnsiTheme="minorHAnsi" w:cstheme="minorHAnsi"/>
          <w:sz w:val="20"/>
          <w:lang w:val="pl-PL"/>
        </w:rPr>
      </w:pPr>
      <w:r w:rsidRPr="004E378E">
        <w:rPr>
          <w:rStyle w:val="Odwoanieprzypisudolnego"/>
          <w:rFonts w:asciiTheme="minorHAnsi" w:hAnsiTheme="minorHAnsi" w:cstheme="minorHAnsi"/>
          <w:sz w:val="20"/>
        </w:rPr>
        <w:footnoteRef/>
      </w:r>
      <w:r w:rsidRPr="004E378E">
        <w:rPr>
          <w:rFonts w:asciiTheme="minorHAnsi" w:hAnsiTheme="minorHAnsi" w:cstheme="minorHAnsi"/>
          <w:sz w:val="20"/>
          <w:lang w:val="pl-PL"/>
        </w:rPr>
        <w:t xml:space="preserve"> Szpital jest zakwalifikowany do tzw. sieci szpitali, tj. do I poziomu systemu zabezpieczenia świadczeń opieki zdrowotnej (PSZ), zapewniając świadczeniobiorcom dostęp do świadczeń opieki zdrowotnej w zakresie: leczenia szpitalnego, ambulatoryjnej opieki specjalistycznej realizowanej w poradniach przyszpitalnych, rehabilitacji leczniczej, programów lekowych oraz nocnej i świątecznej opieki zdrowotnej, przy jednoczesnym zagwarantowaniu ciągłości i kompleksowości udzielanych świadczeń medycznych.</w:t>
      </w:r>
    </w:p>
  </w:footnote>
  <w:footnote w:id="61">
    <w:p w14:paraId="0BBCA9C2" w14:textId="77777777" w:rsidR="00B14787" w:rsidRPr="004E378E" w:rsidRDefault="00B14787" w:rsidP="00EE6958">
      <w:pPr>
        <w:pStyle w:val="Tekstprzypisudolnego"/>
        <w:rPr>
          <w:rFonts w:asciiTheme="minorHAnsi" w:hAnsiTheme="minorHAnsi" w:cstheme="minorHAnsi"/>
          <w:sz w:val="20"/>
          <w:lang w:val="pl-PL"/>
        </w:rPr>
      </w:pPr>
      <w:r w:rsidRPr="004E378E">
        <w:rPr>
          <w:rStyle w:val="Odwoanieprzypisudolnego"/>
          <w:rFonts w:asciiTheme="minorHAnsi" w:hAnsiTheme="minorHAnsi" w:cstheme="minorHAnsi"/>
          <w:sz w:val="20"/>
        </w:rPr>
        <w:footnoteRef/>
      </w:r>
      <w:r w:rsidRPr="004E378E">
        <w:rPr>
          <w:rFonts w:asciiTheme="minorHAnsi" w:hAnsiTheme="minorHAnsi" w:cstheme="minorHAnsi"/>
          <w:sz w:val="20"/>
          <w:lang w:val="pl-PL"/>
        </w:rPr>
        <w:t xml:space="preserve"> Opis w punkcie 2.2.2.2 diagnozy</w:t>
      </w:r>
    </w:p>
  </w:footnote>
  <w:footnote w:id="62">
    <w:p w14:paraId="252A6B26" w14:textId="77777777" w:rsidR="00B14787" w:rsidRPr="002F3E4B" w:rsidRDefault="00B14787" w:rsidP="00AE4C8C">
      <w:pPr>
        <w:pStyle w:val="Tekstprzypisudolnego"/>
        <w:spacing w:before="100" w:beforeAutospacing="1" w:after="100" w:afterAutospacing="1" w:line="240" w:lineRule="auto"/>
        <w:contextualSpacing/>
        <w:rPr>
          <w:rFonts w:asciiTheme="minorHAnsi" w:hAnsiTheme="minorHAnsi" w:cstheme="minorHAnsi"/>
          <w:sz w:val="20"/>
          <w:lang w:val="pl-PL"/>
        </w:rPr>
      </w:pPr>
      <w:r w:rsidRPr="002F3E4B">
        <w:rPr>
          <w:rStyle w:val="Odwoanieprzypisudolnego"/>
          <w:rFonts w:asciiTheme="minorHAnsi" w:hAnsiTheme="minorHAnsi" w:cstheme="minorHAnsi"/>
          <w:sz w:val="20"/>
        </w:rPr>
        <w:footnoteRef/>
      </w:r>
      <w:r w:rsidRPr="002F3E4B">
        <w:rPr>
          <w:rFonts w:asciiTheme="minorHAnsi" w:hAnsiTheme="minorHAnsi" w:cstheme="minorHAnsi"/>
          <w:sz w:val="20"/>
          <w:lang w:val="pl-PL"/>
        </w:rPr>
        <w:t xml:space="preserve"> Na podstawie wywiadów pogłębionych z członkami grupy roboczej i grupy zdaniowej. </w:t>
      </w:r>
    </w:p>
  </w:footnote>
  <w:footnote w:id="63">
    <w:p w14:paraId="675D59DC" w14:textId="77777777" w:rsidR="00B14787" w:rsidRPr="002F3E4B" w:rsidRDefault="00B14787" w:rsidP="00AE4C8C">
      <w:pPr>
        <w:pStyle w:val="Tekstprzypisudolnego"/>
        <w:spacing w:before="100" w:beforeAutospacing="1" w:after="100" w:afterAutospacing="1" w:line="240" w:lineRule="auto"/>
        <w:contextualSpacing/>
        <w:jc w:val="both"/>
        <w:rPr>
          <w:rFonts w:asciiTheme="minorHAnsi" w:hAnsiTheme="minorHAnsi" w:cstheme="minorHAnsi"/>
          <w:sz w:val="20"/>
          <w:lang w:val="pl-PL"/>
        </w:rPr>
      </w:pPr>
      <w:r w:rsidRPr="002F3E4B">
        <w:rPr>
          <w:rStyle w:val="Odwoanieprzypisudolnego"/>
          <w:rFonts w:asciiTheme="minorHAnsi" w:hAnsiTheme="minorHAnsi" w:cstheme="minorHAnsi"/>
          <w:sz w:val="20"/>
        </w:rPr>
        <w:footnoteRef/>
      </w:r>
      <w:r w:rsidRPr="002F3E4B">
        <w:rPr>
          <w:rFonts w:asciiTheme="minorHAnsi" w:hAnsiTheme="minorHAnsi" w:cstheme="minorHAnsi"/>
          <w:sz w:val="20"/>
          <w:lang w:val="pl-PL"/>
        </w:rPr>
        <w:t xml:space="preserve"> Udział środków dotacyjnych w dochodach ogółem w gminach w 2019 r. wahał się od poziomu 0% do poziomu 42%). Najkorzystniejszą sytuację odnotowano w gminach: Pasym, Rybno, najmniej korzystną: w Janowcu Kościelnym, Działdowie (gminie), Rucianem-Nida.</w:t>
      </w:r>
    </w:p>
  </w:footnote>
  <w:footnote w:id="64">
    <w:p w14:paraId="034D2A96" w14:textId="77777777" w:rsidR="00B14787" w:rsidRPr="002F3E4B" w:rsidRDefault="00B14787" w:rsidP="00AE4C8C">
      <w:pPr>
        <w:pStyle w:val="Tekstprzypisudolnego"/>
        <w:spacing w:before="100" w:beforeAutospacing="1" w:after="100" w:afterAutospacing="1" w:line="240" w:lineRule="auto"/>
        <w:contextualSpacing/>
        <w:rPr>
          <w:rFonts w:asciiTheme="minorHAnsi" w:hAnsiTheme="minorHAnsi" w:cstheme="minorHAnsi"/>
          <w:sz w:val="20"/>
          <w:lang w:val="pl-PL"/>
        </w:rPr>
      </w:pPr>
      <w:r w:rsidRPr="002F3E4B">
        <w:rPr>
          <w:rStyle w:val="Odwoanieprzypisudolnego"/>
          <w:rFonts w:asciiTheme="minorHAnsi" w:hAnsiTheme="minorHAnsi" w:cstheme="minorHAnsi"/>
          <w:sz w:val="20"/>
        </w:rPr>
        <w:footnoteRef/>
      </w:r>
      <w:r w:rsidRPr="002F3E4B">
        <w:rPr>
          <w:rFonts w:asciiTheme="minorHAnsi" w:hAnsiTheme="minorHAnsi" w:cstheme="minorHAnsi"/>
          <w:sz w:val="20"/>
          <w:lang w:val="pl-PL"/>
        </w:rPr>
        <w:t xml:space="preserve"> Kwota dotacji ze środków unijnych w 2019 r.  wynosiła łącznie </w:t>
      </w:r>
      <w:r w:rsidRPr="002F3E4B">
        <w:rPr>
          <w:rFonts w:asciiTheme="minorHAnsi" w:eastAsia="Times New Roman" w:hAnsiTheme="minorHAnsi" w:cstheme="minorHAnsi"/>
          <w:color w:val="000000"/>
          <w:sz w:val="20"/>
          <w:lang w:val="pl-PL" w:eastAsia="pl-PL"/>
        </w:rPr>
        <w:t>43.247.730,55zł, kwota łącznych dochodów gmin obszaru Partnerstwa w 2019 r.</w:t>
      </w:r>
      <w:r w:rsidRPr="002F3E4B">
        <w:rPr>
          <w:rFonts w:asciiTheme="minorHAnsi" w:hAnsiTheme="minorHAnsi" w:cstheme="minorHAnsi"/>
          <w:sz w:val="20"/>
          <w:lang w:val="pl-PL"/>
        </w:rPr>
        <w:t>-</w:t>
      </w:r>
      <w:r w:rsidRPr="002F3E4B">
        <w:rPr>
          <w:rFonts w:asciiTheme="minorHAnsi" w:eastAsia="Times New Roman" w:hAnsiTheme="minorHAnsi" w:cstheme="minorHAnsi"/>
          <w:color w:val="000000"/>
          <w:sz w:val="20"/>
          <w:lang w:val="pl-PL" w:eastAsia="pl-PL"/>
        </w:rPr>
        <w:t xml:space="preserve"> 707.591.741,19 zł</w:t>
      </w:r>
    </w:p>
  </w:footnote>
  <w:footnote w:id="65">
    <w:p w14:paraId="426771EB" w14:textId="77777777" w:rsidR="00B14787" w:rsidRPr="00B04619" w:rsidRDefault="00B14787" w:rsidP="00AE4C8C">
      <w:pPr>
        <w:pStyle w:val="Tekstprzypisudolnego"/>
        <w:spacing w:before="100" w:beforeAutospacing="1" w:after="100" w:afterAutospacing="1" w:line="240" w:lineRule="auto"/>
        <w:contextualSpacing/>
        <w:jc w:val="both"/>
        <w:rPr>
          <w:rFonts w:asciiTheme="minorHAnsi" w:hAnsiTheme="minorHAnsi" w:cstheme="minorHAnsi"/>
          <w:sz w:val="20"/>
          <w:lang w:val="pl-PL"/>
        </w:rPr>
      </w:pPr>
      <w:r w:rsidRPr="00B04619">
        <w:rPr>
          <w:rStyle w:val="Odwoanieprzypisudolnego"/>
          <w:rFonts w:asciiTheme="minorHAnsi" w:hAnsiTheme="minorHAnsi" w:cstheme="minorHAnsi"/>
          <w:sz w:val="20"/>
        </w:rPr>
        <w:footnoteRef/>
      </w:r>
      <w:r w:rsidRPr="00B04619">
        <w:rPr>
          <w:rFonts w:asciiTheme="minorHAnsi" w:hAnsiTheme="minorHAnsi" w:cstheme="minorHAnsi"/>
          <w:sz w:val="20"/>
          <w:lang w:val="pl-PL"/>
        </w:rPr>
        <w:t xml:space="preserve"> Świadczyć to może również o zróżnicowanej sytuacji rozwojowej Partnerstwa i skoncentrowaniu przyznawania środków pomocowych obszarom strategicznej interwencji </w:t>
      </w:r>
    </w:p>
  </w:footnote>
  <w:footnote w:id="66">
    <w:p w14:paraId="17284EB2" w14:textId="5587FD89" w:rsidR="00B14787" w:rsidRPr="000A7679" w:rsidRDefault="00B14787" w:rsidP="00B04619">
      <w:pPr>
        <w:pStyle w:val="Tekstprzypisudolnego"/>
        <w:spacing w:before="100" w:beforeAutospacing="1" w:after="100" w:afterAutospacing="1"/>
        <w:contextualSpacing/>
        <w:rPr>
          <w:lang w:val="pl-PL"/>
        </w:rPr>
      </w:pPr>
      <w:r w:rsidRPr="00B04619">
        <w:rPr>
          <w:rStyle w:val="Odwoanieprzypisudolnego"/>
          <w:rFonts w:asciiTheme="minorHAnsi" w:hAnsiTheme="minorHAnsi" w:cstheme="minorHAnsi"/>
          <w:sz w:val="20"/>
        </w:rPr>
        <w:footnoteRef/>
      </w:r>
      <w:r w:rsidRPr="00B04619">
        <w:rPr>
          <w:rFonts w:asciiTheme="minorHAnsi" w:hAnsiTheme="minorHAnsi" w:cstheme="minorHAnsi"/>
          <w:sz w:val="20"/>
          <w:lang w:val="pl-PL"/>
        </w:rPr>
        <w:t xml:space="preserve"> Wydatki bieżące w gminach województwa warmińsko-mazurskiego kształtowały się w 2019 r. na poziomie 3.149.618.620,33 zł, kwota dotacji na zadania bieżące NGO – 129.689.758,35 zł, udział kwoty dotacji w wydatkach bieżących wynosił </w:t>
      </w:r>
      <w:r>
        <w:rPr>
          <w:rFonts w:asciiTheme="minorHAnsi" w:hAnsiTheme="minorHAnsi" w:cstheme="minorHAnsi"/>
          <w:sz w:val="20"/>
          <w:lang w:val="pl-PL"/>
        </w:rPr>
        <w:t>4,12</w:t>
      </w:r>
      <w:r w:rsidRPr="00B04619">
        <w:rPr>
          <w:rFonts w:asciiTheme="minorHAnsi" w:hAnsiTheme="minorHAnsi" w:cstheme="minorHAnsi"/>
          <w:sz w:val="20"/>
          <w:lang w:val="pl-PL"/>
        </w:rPr>
        <w:t xml:space="preserve">%. Natomiast wydatki bieżące w gminach Partnerstwa kształtowały się w 2019 r. na poziomie </w:t>
      </w:r>
      <w:r>
        <w:rPr>
          <w:rFonts w:asciiTheme="minorHAnsi" w:hAnsiTheme="minorHAnsi" w:cstheme="minorHAnsi"/>
          <w:sz w:val="20"/>
          <w:lang w:val="pl-PL"/>
        </w:rPr>
        <w:t>951.894.644,50</w:t>
      </w:r>
      <w:r w:rsidRPr="00B04619">
        <w:rPr>
          <w:rFonts w:asciiTheme="minorHAnsi" w:hAnsiTheme="minorHAnsi" w:cstheme="minorHAnsi"/>
          <w:sz w:val="20"/>
          <w:lang w:val="pl-PL"/>
        </w:rPr>
        <w:t xml:space="preserve"> zł, kwota dotacji na zadania bieżące NGO – </w:t>
      </w:r>
      <w:r>
        <w:rPr>
          <w:rFonts w:asciiTheme="minorHAnsi" w:hAnsiTheme="minorHAnsi" w:cstheme="minorHAnsi"/>
          <w:sz w:val="20"/>
          <w:lang w:val="pl-PL"/>
        </w:rPr>
        <w:t>10.019,893,84</w:t>
      </w:r>
      <w:r w:rsidRPr="00B04619">
        <w:rPr>
          <w:rFonts w:asciiTheme="minorHAnsi" w:hAnsiTheme="minorHAnsi" w:cstheme="minorHAnsi"/>
          <w:sz w:val="20"/>
          <w:lang w:val="pl-PL"/>
        </w:rPr>
        <w:t xml:space="preserve"> zł, udział kwoty dotacji w wydatkach bieżących wynosił </w:t>
      </w:r>
      <w:r>
        <w:rPr>
          <w:rFonts w:asciiTheme="minorHAnsi" w:hAnsiTheme="minorHAnsi" w:cstheme="minorHAnsi"/>
          <w:sz w:val="20"/>
          <w:lang w:val="pl-PL"/>
        </w:rPr>
        <w:t>1,05</w:t>
      </w:r>
      <w:r w:rsidRPr="00B04619">
        <w:rPr>
          <w:rFonts w:asciiTheme="minorHAnsi" w:hAnsiTheme="minorHAnsi" w:cstheme="minorHAnsi"/>
          <w:sz w:val="20"/>
          <w:lang w:val="pl-PL"/>
        </w:rPr>
        <w:t>%.</w:t>
      </w:r>
      <w:r>
        <w:rPr>
          <w:rFonts w:asciiTheme="minorHAnsi" w:hAnsiTheme="minorHAnsi" w:cstheme="minorHAnsi"/>
          <w:sz w:val="20"/>
          <w:lang w:val="pl-PL"/>
        </w:rPr>
        <w:t xml:space="preserve"> </w:t>
      </w:r>
    </w:p>
  </w:footnote>
  <w:footnote w:id="67">
    <w:p w14:paraId="6BE466C0" w14:textId="77777777" w:rsidR="00B14787" w:rsidRPr="004E378E" w:rsidRDefault="00B14787" w:rsidP="00AE4C8C">
      <w:pPr>
        <w:spacing w:after="0" w:line="240" w:lineRule="auto"/>
        <w:contextualSpacing/>
        <w:jc w:val="both"/>
        <w:rPr>
          <w:sz w:val="20"/>
          <w:szCs w:val="20"/>
          <w:lang w:val="pl-PL"/>
        </w:rPr>
      </w:pPr>
      <w:r w:rsidRPr="004E378E">
        <w:rPr>
          <w:rStyle w:val="Odwoanieprzypisudolnego"/>
          <w:sz w:val="20"/>
          <w:szCs w:val="20"/>
        </w:rPr>
        <w:footnoteRef/>
      </w:r>
      <w:r w:rsidRPr="004E378E">
        <w:rPr>
          <w:sz w:val="20"/>
          <w:szCs w:val="20"/>
          <w:lang w:val="pl-PL"/>
        </w:rPr>
        <w:t xml:space="preserve"> S. Cameron , Robert E. Quinn „Kultura organizacyjna. Diagnoza i zmiana”, Warszawa, 2015. </w:t>
      </w:r>
    </w:p>
    <w:p w14:paraId="3446C904" w14:textId="77777777" w:rsidR="00B14787" w:rsidRPr="004E378E" w:rsidRDefault="00B14787" w:rsidP="00AE4C8C">
      <w:pPr>
        <w:spacing w:after="0" w:line="240" w:lineRule="auto"/>
        <w:contextualSpacing/>
        <w:jc w:val="both"/>
        <w:rPr>
          <w:sz w:val="20"/>
          <w:szCs w:val="20"/>
          <w:lang w:val="pl-PL"/>
        </w:rPr>
      </w:pPr>
      <w:r w:rsidRPr="004E378E">
        <w:rPr>
          <w:sz w:val="20"/>
          <w:szCs w:val="20"/>
          <w:lang w:val="pl-PL"/>
        </w:rPr>
        <w:t xml:space="preserve">Cytowani wyżej naukowcy na podstawie wieloletnich badań empirycznych stworzyli </w:t>
      </w:r>
      <w:r w:rsidRPr="004E378E">
        <w:rPr>
          <w:b/>
          <w:sz w:val="20"/>
          <w:szCs w:val="20"/>
          <w:lang w:val="pl-PL"/>
        </w:rPr>
        <w:t>Model wartości konkurujących,</w:t>
      </w:r>
      <w:r w:rsidRPr="004E378E">
        <w:rPr>
          <w:sz w:val="20"/>
          <w:szCs w:val="20"/>
          <w:lang w:val="pl-PL"/>
        </w:rPr>
        <w:t xml:space="preserve"> wyróżniając 4 główne uniwersalne i konkurujące ze sobą typy kultury organizacyjnej (”klan", "adhokracja", "hierarchia" oraz "rynek"). Dla ustalenia relacji między nimi wyróżnili oni dwa przecinające się wymiary kultury organizacyjnej:</w:t>
      </w:r>
    </w:p>
    <w:p w14:paraId="1A9A5C46" w14:textId="77777777" w:rsidR="00B14787" w:rsidRPr="004E378E" w:rsidRDefault="00B14787" w:rsidP="00B063F0">
      <w:pPr>
        <w:pStyle w:val="Akapitzlist"/>
        <w:numPr>
          <w:ilvl w:val="0"/>
          <w:numId w:val="16"/>
        </w:numPr>
        <w:tabs>
          <w:tab w:val="left" w:pos="993"/>
        </w:tabs>
        <w:spacing w:before="0" w:after="0" w:line="240" w:lineRule="auto"/>
        <w:ind w:left="851" w:firstLine="0"/>
        <w:jc w:val="both"/>
        <w:rPr>
          <w:sz w:val="20"/>
          <w:szCs w:val="20"/>
          <w:lang w:val="pl-PL"/>
        </w:rPr>
      </w:pPr>
      <w:r w:rsidRPr="004E378E">
        <w:rPr>
          <w:sz w:val="20"/>
          <w:szCs w:val="20"/>
          <w:lang w:val="pl-PL"/>
        </w:rPr>
        <w:t xml:space="preserve">orientacja na sprawy wewnętrzne i integracja </w:t>
      </w:r>
      <w:r w:rsidRPr="004E378E">
        <w:rPr>
          <w:sz w:val="20"/>
          <w:szCs w:val="20"/>
          <w:u w:val="single"/>
          <w:lang w:val="pl-PL"/>
        </w:rPr>
        <w:t>LUB</w:t>
      </w:r>
      <w:r w:rsidRPr="004E378E">
        <w:rPr>
          <w:sz w:val="20"/>
          <w:szCs w:val="20"/>
          <w:lang w:val="pl-PL"/>
        </w:rPr>
        <w:t xml:space="preserve"> orientacja na pozycję w otoczeniu i zróżnicowanie </w:t>
      </w:r>
    </w:p>
    <w:p w14:paraId="6002ABA7" w14:textId="5DBD6453" w:rsidR="00B14787" w:rsidRPr="004E378E" w:rsidRDefault="00B14787" w:rsidP="00B063F0">
      <w:pPr>
        <w:pStyle w:val="Akapitzlist"/>
        <w:numPr>
          <w:ilvl w:val="0"/>
          <w:numId w:val="16"/>
        </w:numPr>
        <w:tabs>
          <w:tab w:val="left" w:pos="993"/>
        </w:tabs>
        <w:spacing w:before="0" w:after="0" w:line="240" w:lineRule="auto"/>
        <w:ind w:left="851" w:firstLine="0"/>
        <w:jc w:val="both"/>
        <w:rPr>
          <w:sz w:val="20"/>
          <w:szCs w:val="20"/>
          <w:lang w:val="pl-PL"/>
        </w:rPr>
      </w:pPr>
      <w:r w:rsidRPr="004E378E">
        <w:rPr>
          <w:sz w:val="20"/>
          <w:szCs w:val="20"/>
          <w:lang w:val="pl-PL"/>
        </w:rPr>
        <w:t xml:space="preserve">elastyczność i swoboda </w:t>
      </w:r>
      <w:r w:rsidRPr="004E378E">
        <w:rPr>
          <w:sz w:val="20"/>
          <w:szCs w:val="20"/>
          <w:u w:val="single"/>
          <w:lang w:val="pl-PL"/>
        </w:rPr>
        <w:t xml:space="preserve">LUB </w:t>
      </w:r>
      <w:r w:rsidRPr="004E378E">
        <w:rPr>
          <w:sz w:val="20"/>
          <w:szCs w:val="20"/>
          <w:lang w:val="pl-PL"/>
        </w:rPr>
        <w:t>stabilność i kontrola</w:t>
      </w:r>
    </w:p>
    <w:p w14:paraId="06BC0CED" w14:textId="72AC5017" w:rsidR="00B14787" w:rsidRPr="004E378E" w:rsidRDefault="00B14787" w:rsidP="00C177E4">
      <w:pPr>
        <w:spacing w:after="0" w:line="240" w:lineRule="auto"/>
        <w:contextualSpacing/>
        <w:jc w:val="both"/>
        <w:rPr>
          <w:sz w:val="20"/>
          <w:szCs w:val="20"/>
          <w:lang w:val="pl-PL"/>
        </w:rPr>
      </w:pPr>
      <w:r w:rsidRPr="004E378E">
        <w:rPr>
          <w:sz w:val="20"/>
          <w:szCs w:val="20"/>
          <w:lang w:val="pl-PL"/>
        </w:rPr>
        <w:t>Według cytowanych naukowców żaden z typów kultury organizacyjnej nie jest lepszy lub gorszy, ale ważne by był akceptowany przez członków organizacji. Te wymiary będą ze sobą współistniały w różnych proporcjach. Kluczowe cechy tych typów idealnych to:</w:t>
      </w:r>
    </w:p>
    <w:p w14:paraId="7748A76D" w14:textId="77777777" w:rsidR="00B14787" w:rsidRPr="004E378E" w:rsidRDefault="00B14787" w:rsidP="00B063F0">
      <w:pPr>
        <w:pStyle w:val="Akapitzlist"/>
        <w:numPr>
          <w:ilvl w:val="0"/>
          <w:numId w:val="17"/>
        </w:numPr>
        <w:spacing w:before="0" w:after="0" w:line="240" w:lineRule="auto"/>
        <w:ind w:left="851" w:firstLine="0"/>
        <w:jc w:val="both"/>
        <w:rPr>
          <w:sz w:val="20"/>
          <w:szCs w:val="20"/>
          <w:lang w:val="pl-PL"/>
        </w:rPr>
      </w:pPr>
      <w:r w:rsidRPr="004E378E">
        <w:rPr>
          <w:b/>
          <w:sz w:val="20"/>
          <w:szCs w:val="20"/>
          <w:lang w:val="pl-PL"/>
        </w:rPr>
        <w:t>Klan</w:t>
      </w:r>
      <w:r w:rsidRPr="004E378E">
        <w:rPr>
          <w:sz w:val="20"/>
          <w:szCs w:val="20"/>
          <w:lang w:val="pl-PL"/>
        </w:rPr>
        <w:t xml:space="preserve"> </w:t>
      </w:r>
      <w:r w:rsidRPr="004E378E">
        <w:rPr>
          <w:b/>
          <w:sz w:val="20"/>
          <w:szCs w:val="20"/>
          <w:lang w:val="pl-PL"/>
        </w:rPr>
        <w:t>(wymiar A)</w:t>
      </w:r>
      <w:r w:rsidRPr="004E378E">
        <w:rPr>
          <w:sz w:val="20"/>
          <w:szCs w:val="20"/>
          <w:lang w:val="pl-PL"/>
        </w:rPr>
        <w:t xml:space="preserve"> to przyjazne miejsce pracy, współdziałanie, lojalność, tradycja, zaangażowanie, troska o pracowników, konsensus, rozwój osobisty, morale;</w:t>
      </w:r>
    </w:p>
    <w:p w14:paraId="394BFDCE" w14:textId="77777777" w:rsidR="00B14787" w:rsidRPr="004E378E" w:rsidRDefault="00B14787" w:rsidP="00B063F0">
      <w:pPr>
        <w:pStyle w:val="Akapitzlist"/>
        <w:numPr>
          <w:ilvl w:val="0"/>
          <w:numId w:val="17"/>
        </w:numPr>
        <w:spacing w:before="0" w:after="0" w:line="240" w:lineRule="auto"/>
        <w:ind w:left="851" w:firstLine="0"/>
        <w:jc w:val="both"/>
        <w:rPr>
          <w:sz w:val="20"/>
          <w:szCs w:val="20"/>
          <w:lang w:val="pl-PL"/>
        </w:rPr>
      </w:pPr>
      <w:r w:rsidRPr="004E378E">
        <w:rPr>
          <w:b/>
          <w:sz w:val="20"/>
          <w:szCs w:val="20"/>
          <w:lang w:val="pl-PL"/>
        </w:rPr>
        <w:t xml:space="preserve">Adhokracja (wymiar B) </w:t>
      </w:r>
      <w:r w:rsidRPr="004E378E">
        <w:rPr>
          <w:sz w:val="20"/>
          <w:szCs w:val="20"/>
          <w:lang w:val="pl-PL"/>
        </w:rPr>
        <w:t>to innowacyjność, kreatywność, ryzyko, eksperymentowanie, swoboda, unikatowość, nowość;</w:t>
      </w:r>
    </w:p>
    <w:p w14:paraId="33548F65" w14:textId="77777777" w:rsidR="00B14787" w:rsidRPr="004E378E" w:rsidRDefault="00B14787" w:rsidP="00B063F0">
      <w:pPr>
        <w:pStyle w:val="Akapitzlist"/>
        <w:numPr>
          <w:ilvl w:val="0"/>
          <w:numId w:val="17"/>
        </w:numPr>
        <w:spacing w:before="0" w:after="0" w:line="240" w:lineRule="auto"/>
        <w:ind w:left="851" w:firstLine="0"/>
        <w:jc w:val="both"/>
        <w:rPr>
          <w:sz w:val="20"/>
          <w:szCs w:val="20"/>
          <w:lang w:val="pl-PL"/>
        </w:rPr>
      </w:pPr>
      <w:r w:rsidRPr="004E378E">
        <w:rPr>
          <w:b/>
          <w:sz w:val="20"/>
          <w:szCs w:val="20"/>
          <w:lang w:val="pl-PL"/>
        </w:rPr>
        <w:t xml:space="preserve">Rynek (wymiar C) </w:t>
      </w:r>
      <w:r w:rsidRPr="004E378E">
        <w:rPr>
          <w:sz w:val="20"/>
          <w:szCs w:val="20"/>
          <w:lang w:val="pl-PL"/>
        </w:rPr>
        <w:t>to wyniki, ambicje, konkurencja, bezwzględność, reputacja, sukces, wymierne cele, udział w rynku, ostra rywalizacja;</w:t>
      </w:r>
    </w:p>
    <w:p w14:paraId="4E0DDB13" w14:textId="77777777" w:rsidR="00B14787" w:rsidRPr="004E378E" w:rsidRDefault="00B14787" w:rsidP="00B063F0">
      <w:pPr>
        <w:pStyle w:val="Akapitzlist"/>
        <w:numPr>
          <w:ilvl w:val="0"/>
          <w:numId w:val="17"/>
        </w:numPr>
        <w:spacing w:before="0" w:after="0" w:line="240" w:lineRule="auto"/>
        <w:ind w:left="851" w:firstLine="0"/>
        <w:jc w:val="both"/>
        <w:rPr>
          <w:sz w:val="20"/>
          <w:szCs w:val="20"/>
          <w:lang w:val="pl-PL"/>
        </w:rPr>
      </w:pPr>
      <w:r w:rsidRPr="004E378E">
        <w:rPr>
          <w:b/>
          <w:sz w:val="20"/>
          <w:szCs w:val="20"/>
          <w:lang w:val="pl-PL"/>
        </w:rPr>
        <w:t xml:space="preserve">Hierarchia (wymiar D) </w:t>
      </w:r>
      <w:r w:rsidRPr="004E378E">
        <w:rPr>
          <w:sz w:val="20"/>
          <w:szCs w:val="20"/>
          <w:lang w:val="pl-PL"/>
        </w:rPr>
        <w:t>to</w:t>
      </w:r>
      <w:r w:rsidRPr="004E378E">
        <w:rPr>
          <w:b/>
          <w:sz w:val="20"/>
          <w:szCs w:val="20"/>
          <w:lang w:val="pl-PL"/>
        </w:rPr>
        <w:t xml:space="preserve"> </w:t>
      </w:r>
      <w:r w:rsidRPr="004E378E">
        <w:rPr>
          <w:sz w:val="20"/>
          <w:szCs w:val="20"/>
          <w:lang w:val="pl-PL"/>
        </w:rPr>
        <w:t>formalizacja, procedury, sprawne funkcjonowanie, formalne przepisy i regulaminy, stabilność, przewidywalność.</w:t>
      </w:r>
    </w:p>
    <w:p w14:paraId="049A4963" w14:textId="77777777" w:rsidR="00B14787" w:rsidRPr="00733091" w:rsidRDefault="00B14787" w:rsidP="00EE6958">
      <w:pPr>
        <w:pStyle w:val="Tekstprzypisudolnego"/>
        <w:ind w:left="1276"/>
        <w:rPr>
          <w:lang w:val="pl-PL"/>
        </w:rPr>
      </w:pPr>
    </w:p>
  </w:footnote>
  <w:footnote w:id="68">
    <w:p w14:paraId="2DFE1A81" w14:textId="77777777" w:rsidR="00B14787" w:rsidRPr="002F3E4B" w:rsidRDefault="00B14787" w:rsidP="00AE4C8C">
      <w:pPr>
        <w:pStyle w:val="Tekstprzypisudolnego"/>
        <w:spacing w:before="100" w:beforeAutospacing="1" w:after="100" w:afterAutospacing="1" w:line="240" w:lineRule="auto"/>
        <w:contextualSpacing/>
        <w:jc w:val="both"/>
        <w:rPr>
          <w:rFonts w:asciiTheme="minorHAnsi" w:hAnsiTheme="minorHAnsi" w:cstheme="minorHAnsi"/>
          <w:sz w:val="20"/>
          <w:lang w:val="pl-PL"/>
        </w:rPr>
      </w:pPr>
      <w:r w:rsidRPr="002F3E4B">
        <w:rPr>
          <w:rStyle w:val="Odwoanieprzypisudolnego"/>
          <w:rFonts w:asciiTheme="minorHAnsi" w:hAnsiTheme="minorHAnsi" w:cstheme="minorHAnsi"/>
          <w:sz w:val="20"/>
        </w:rPr>
        <w:footnoteRef/>
      </w:r>
      <w:r w:rsidRPr="002F3E4B">
        <w:rPr>
          <w:rFonts w:asciiTheme="minorHAnsi" w:hAnsiTheme="minorHAnsi" w:cstheme="minorHAnsi"/>
          <w:sz w:val="20"/>
          <w:lang w:val="pl-PL"/>
        </w:rPr>
        <w:t>Niezinstytucjonalizowane formy współpracy, współpraca nieformalna</w:t>
      </w:r>
    </w:p>
  </w:footnote>
  <w:footnote w:id="69">
    <w:p w14:paraId="084BA1E8" w14:textId="77777777" w:rsidR="00B14787" w:rsidRPr="00733091" w:rsidRDefault="00B14787" w:rsidP="00AE4C8C">
      <w:pPr>
        <w:pStyle w:val="Tekstprzypisudolnego"/>
        <w:spacing w:before="100" w:beforeAutospacing="1" w:after="100" w:afterAutospacing="1" w:line="240" w:lineRule="auto"/>
        <w:contextualSpacing/>
        <w:rPr>
          <w:lang w:val="pl-PL"/>
        </w:rPr>
      </w:pPr>
      <w:r w:rsidRPr="002F3E4B">
        <w:rPr>
          <w:rStyle w:val="Odwoanieprzypisudolnego"/>
          <w:rFonts w:asciiTheme="minorHAnsi" w:hAnsiTheme="minorHAnsi" w:cstheme="minorHAnsi"/>
          <w:sz w:val="20"/>
        </w:rPr>
        <w:footnoteRef/>
      </w:r>
      <w:r w:rsidRPr="002F3E4B">
        <w:rPr>
          <w:rFonts w:asciiTheme="minorHAnsi" w:hAnsiTheme="minorHAnsi" w:cstheme="minorHAnsi"/>
          <w:sz w:val="20"/>
          <w:lang w:val="pl-PL"/>
        </w:rPr>
        <w:t xml:space="preserve"> Stan aktualny i pożądany modelu kultury organizacyjnej Partnerstwa został określony na podstawie badania władz wykonawczych JST wchodzących w skład Partnerstwa w oparciu o formularz OCAI</w:t>
      </w:r>
    </w:p>
  </w:footnote>
  <w:footnote w:id="70">
    <w:p w14:paraId="21747E41" w14:textId="77777777" w:rsidR="00B14787" w:rsidRPr="00663515" w:rsidRDefault="00B14787" w:rsidP="00AE4C8C">
      <w:pPr>
        <w:pStyle w:val="Tekstprzypisudolnego"/>
        <w:spacing w:before="100" w:beforeAutospacing="1" w:after="100" w:afterAutospacing="1" w:line="240" w:lineRule="auto"/>
        <w:jc w:val="both"/>
        <w:rPr>
          <w:rFonts w:asciiTheme="minorHAnsi" w:hAnsiTheme="minorHAnsi" w:cstheme="minorHAnsi"/>
          <w:sz w:val="20"/>
          <w:lang w:val="pl-PL"/>
        </w:rPr>
      </w:pPr>
      <w:r w:rsidRPr="00663515">
        <w:rPr>
          <w:rStyle w:val="Odwoanieprzypisudolnego"/>
          <w:rFonts w:asciiTheme="minorHAnsi" w:hAnsiTheme="minorHAnsi" w:cstheme="minorHAnsi"/>
          <w:sz w:val="20"/>
        </w:rPr>
        <w:footnoteRef/>
      </w:r>
      <w:r w:rsidRPr="00663515">
        <w:rPr>
          <w:rFonts w:asciiTheme="minorHAnsi" w:hAnsiTheme="minorHAnsi" w:cstheme="minorHAnsi"/>
          <w:sz w:val="20"/>
          <w:lang w:val="pl-PL"/>
        </w:rPr>
        <w:t xml:space="preserve"> Syntetyczny wyliczony jest w oparciu o relację wartości wskaźników gmin tworzących Partnerstwo do wartości średniej dla wskaźnika wszystkich JST z grup porównawczych. Wskaźnik syntetyczny rozwoju gminy stanowi jednocześnie średnią arytmetyczną wartości standaryzowanych wszystkich wskaźników diagnostycznych w badanych 4 obszarach.</w:t>
      </w:r>
    </w:p>
  </w:footnote>
  <w:footnote w:id="71">
    <w:p w14:paraId="4441E5BC" w14:textId="77777777" w:rsidR="00B14787" w:rsidRPr="00663515" w:rsidRDefault="00B14787" w:rsidP="00EA3474">
      <w:pPr>
        <w:spacing w:before="100" w:beforeAutospacing="1" w:after="100" w:afterAutospacing="1" w:line="240" w:lineRule="auto"/>
        <w:contextualSpacing/>
        <w:jc w:val="both"/>
        <w:rPr>
          <w:rFonts w:cstheme="minorHAnsi"/>
          <w:sz w:val="20"/>
          <w:szCs w:val="20"/>
          <w:lang w:val="pl-PL"/>
        </w:rPr>
      </w:pPr>
      <w:r w:rsidRPr="00663515">
        <w:rPr>
          <w:rStyle w:val="Odwoanieprzypisudolnego"/>
          <w:sz w:val="20"/>
          <w:szCs w:val="20"/>
        </w:rPr>
        <w:footnoteRef/>
      </w:r>
      <w:r w:rsidRPr="00663515">
        <w:rPr>
          <w:sz w:val="20"/>
          <w:szCs w:val="20"/>
          <w:lang w:val="pl-PL"/>
        </w:rPr>
        <w:t xml:space="preserve"> </w:t>
      </w:r>
      <w:r w:rsidRPr="00663515">
        <w:rPr>
          <w:rFonts w:cstheme="minorHAnsi"/>
          <w:sz w:val="20"/>
          <w:szCs w:val="20"/>
          <w:lang w:val="pl-PL"/>
        </w:rPr>
        <w:t xml:space="preserve">Analogiczny układ dominujących branż (ze zbliżonymi wartościami wskaźników udziału) występował w powiecie działdowskim, nidzickim oraz szczycieńskim. W powiecie </w:t>
      </w:r>
      <w:r>
        <w:rPr>
          <w:rFonts w:cstheme="minorHAnsi"/>
          <w:sz w:val="20"/>
          <w:szCs w:val="20"/>
          <w:lang w:val="pl-PL"/>
        </w:rPr>
        <w:t xml:space="preserve">nidzickim </w:t>
      </w:r>
      <w:r w:rsidRPr="00663515">
        <w:rPr>
          <w:rFonts w:cstheme="minorHAnsi"/>
          <w:sz w:val="20"/>
          <w:szCs w:val="20"/>
          <w:lang w:val="pl-PL"/>
        </w:rPr>
        <w:t xml:space="preserve">przewagę miały jednostki zajmujące się działalnością związaną z obsługą rynku nieruchomości (sekcja L - 9,5%). </w:t>
      </w:r>
    </w:p>
  </w:footnote>
  <w:footnote w:id="72">
    <w:p w14:paraId="6835246C" w14:textId="77777777" w:rsidR="00B14787" w:rsidRPr="00C177E4" w:rsidRDefault="00B14787" w:rsidP="00391842">
      <w:pPr>
        <w:pStyle w:val="Tekstprzypisudolnego"/>
        <w:spacing w:before="100" w:beforeAutospacing="1" w:after="100" w:afterAutospacing="1" w:line="240" w:lineRule="auto"/>
        <w:contextualSpacing/>
        <w:jc w:val="both"/>
        <w:rPr>
          <w:rFonts w:asciiTheme="minorHAnsi" w:hAnsiTheme="minorHAnsi" w:cstheme="minorHAnsi"/>
          <w:sz w:val="20"/>
          <w:lang w:val="pl-PL"/>
        </w:rPr>
      </w:pPr>
      <w:r w:rsidRPr="00C177E4">
        <w:rPr>
          <w:rStyle w:val="Odwoanieprzypisudolnego"/>
          <w:rFonts w:asciiTheme="minorHAnsi" w:hAnsiTheme="minorHAnsi" w:cstheme="minorHAnsi"/>
          <w:sz w:val="20"/>
        </w:rPr>
        <w:footnoteRef/>
      </w:r>
      <w:r w:rsidRPr="00C177E4">
        <w:rPr>
          <w:rFonts w:asciiTheme="minorHAnsi" w:hAnsiTheme="minorHAnsi" w:cstheme="minorHAnsi"/>
          <w:sz w:val="20"/>
          <w:lang w:val="pl-PL"/>
        </w:rPr>
        <w:t xml:space="preserve"> Plan Zagospodarowania Przestrzennego Województwa Warmińsko-Mazurskiego. 2018. Warmińsko-Mazurskie Biuro Planowania Przestrzennego, Olsztyn</w:t>
      </w:r>
    </w:p>
  </w:footnote>
  <w:footnote w:id="73">
    <w:p w14:paraId="59C3368C" w14:textId="77777777" w:rsidR="00B14787" w:rsidRPr="00C177E4" w:rsidRDefault="00B14787" w:rsidP="00391842">
      <w:pPr>
        <w:pStyle w:val="Tekstprzypisudolnego"/>
        <w:spacing w:before="100" w:beforeAutospacing="1" w:after="100" w:afterAutospacing="1" w:line="240" w:lineRule="auto"/>
        <w:contextualSpacing/>
        <w:rPr>
          <w:rFonts w:asciiTheme="minorHAnsi" w:hAnsiTheme="minorHAnsi"/>
          <w:sz w:val="20"/>
          <w:lang w:val="pl-PL"/>
        </w:rPr>
      </w:pPr>
      <w:r w:rsidRPr="00C177E4">
        <w:rPr>
          <w:rStyle w:val="Odwoanieprzypisudolnego"/>
          <w:rFonts w:asciiTheme="minorHAnsi" w:hAnsiTheme="minorHAnsi"/>
          <w:sz w:val="20"/>
        </w:rPr>
        <w:footnoteRef/>
      </w:r>
      <w:r w:rsidRPr="00C177E4">
        <w:rPr>
          <w:rFonts w:asciiTheme="minorHAnsi" w:hAnsiTheme="minorHAnsi"/>
          <w:sz w:val="20"/>
          <w:lang w:val="pl-PL"/>
        </w:rPr>
        <w:t xml:space="preserve"> Stanowi to 18,11% obiektów noclegowych w województwie warmińsko-mazurskim </w:t>
      </w:r>
    </w:p>
  </w:footnote>
  <w:footnote w:id="74">
    <w:p w14:paraId="3110879B" w14:textId="77777777" w:rsidR="00B14787" w:rsidRPr="00733091" w:rsidRDefault="00B14787" w:rsidP="00391842">
      <w:pPr>
        <w:pStyle w:val="Tekstprzypisudolnego"/>
        <w:spacing w:before="100" w:beforeAutospacing="1" w:after="100" w:afterAutospacing="1" w:line="240" w:lineRule="auto"/>
        <w:contextualSpacing/>
        <w:rPr>
          <w:lang w:val="pl-PL"/>
        </w:rPr>
      </w:pPr>
      <w:r w:rsidRPr="00C177E4">
        <w:rPr>
          <w:rStyle w:val="Odwoanieprzypisudolnego"/>
          <w:rFonts w:asciiTheme="minorHAnsi" w:hAnsiTheme="minorHAnsi"/>
          <w:sz w:val="20"/>
        </w:rPr>
        <w:footnoteRef/>
      </w:r>
      <w:r w:rsidRPr="00C177E4">
        <w:rPr>
          <w:rFonts w:asciiTheme="minorHAnsi" w:hAnsiTheme="minorHAnsi"/>
          <w:sz w:val="20"/>
          <w:lang w:val="pl-PL"/>
        </w:rPr>
        <w:t xml:space="preserve"> Zwanych łącznie: obiektami hotelowymi</w:t>
      </w:r>
    </w:p>
  </w:footnote>
  <w:footnote w:id="75">
    <w:p w14:paraId="622F0A9E" w14:textId="77777777" w:rsidR="00B14787" w:rsidRPr="00C177E4" w:rsidRDefault="00B14787" w:rsidP="006A1007">
      <w:pPr>
        <w:pStyle w:val="Tekstprzypisudolnego"/>
        <w:rPr>
          <w:rFonts w:asciiTheme="minorHAnsi" w:hAnsiTheme="minorHAnsi"/>
          <w:sz w:val="20"/>
          <w:lang w:val="pl-PL"/>
        </w:rPr>
      </w:pPr>
      <w:r w:rsidRPr="00C177E4">
        <w:rPr>
          <w:rStyle w:val="Odwoanieprzypisudolnego"/>
          <w:rFonts w:asciiTheme="minorHAnsi" w:hAnsiTheme="minorHAnsi"/>
          <w:sz w:val="20"/>
        </w:rPr>
        <w:footnoteRef/>
      </w:r>
      <w:r w:rsidRPr="00C177E4">
        <w:rPr>
          <w:rFonts w:asciiTheme="minorHAnsi" w:hAnsiTheme="minorHAnsi"/>
          <w:sz w:val="20"/>
          <w:lang w:val="pl-PL"/>
        </w:rPr>
        <w:t xml:space="preserve"> Najwyższe wskaźniki osiągnął powiat mrągowski. </w:t>
      </w:r>
    </w:p>
  </w:footnote>
  <w:footnote w:id="76">
    <w:p w14:paraId="1A80862F" w14:textId="77777777" w:rsidR="00B14787" w:rsidRPr="00CF4811" w:rsidRDefault="00B14787" w:rsidP="00837706">
      <w:pPr>
        <w:spacing w:before="100" w:beforeAutospacing="1" w:after="100" w:afterAutospacing="1" w:line="240" w:lineRule="auto"/>
        <w:contextualSpacing/>
        <w:jc w:val="both"/>
        <w:rPr>
          <w:rFonts w:ascii="Times New Roman" w:hAnsi="Times New Roman" w:cs="Times New Roman"/>
          <w:sz w:val="20"/>
          <w:szCs w:val="20"/>
          <w:lang w:val="pl-PL"/>
        </w:rPr>
      </w:pPr>
      <w:r w:rsidRPr="00CF4811">
        <w:rPr>
          <w:rStyle w:val="Odwoanieprzypisudolnego"/>
          <w:rFonts w:cstheme="minorHAnsi"/>
          <w:sz w:val="20"/>
          <w:szCs w:val="20"/>
        </w:rPr>
        <w:footnoteRef/>
      </w:r>
      <w:r w:rsidRPr="00CF4811">
        <w:rPr>
          <w:rFonts w:cstheme="minorHAnsi"/>
          <w:sz w:val="20"/>
          <w:szCs w:val="20"/>
          <w:lang w:val="pl-PL"/>
        </w:rPr>
        <w:t xml:space="preserve"> Poziom określony na podstawie metodologii określonej przez A. Szromka. Poziomy przyjmują wartość </w:t>
      </w:r>
      <w:r w:rsidRPr="00CF4811">
        <w:rPr>
          <w:rFonts w:cs="Times New Roman"/>
          <w:sz w:val="20"/>
          <w:szCs w:val="20"/>
          <w:lang w:val="pl-PL"/>
        </w:rPr>
        <w:t>0-4, gdzie 0 to bardzo niski, zaś 4 to bardzo wysoki stopień rozwoju funkcji turystycznej obszaru.</w:t>
      </w:r>
    </w:p>
    <w:p w14:paraId="4FA87A90" w14:textId="77777777" w:rsidR="00B14787" w:rsidRPr="00CF4811" w:rsidRDefault="00B14787" w:rsidP="00837706">
      <w:pPr>
        <w:spacing w:before="100" w:beforeAutospacing="1" w:after="100" w:afterAutospacing="1" w:line="240" w:lineRule="auto"/>
        <w:contextualSpacing/>
        <w:jc w:val="both"/>
        <w:rPr>
          <w:rFonts w:cstheme="minorHAnsi"/>
          <w:sz w:val="20"/>
          <w:szCs w:val="20"/>
          <w:lang w:val="pl-PL"/>
        </w:rPr>
      </w:pPr>
      <w:r w:rsidRPr="00CF4811">
        <w:rPr>
          <w:rFonts w:cstheme="minorHAnsi"/>
          <w:sz w:val="20"/>
          <w:szCs w:val="20"/>
          <w:lang w:val="pl-PL"/>
        </w:rPr>
        <w:t>Poziom pierwszy wskazuje, że na 7 miejsc noclegowych (przeznaczonych dla turystów) przypada na 100 mieszkańców.</w:t>
      </w:r>
    </w:p>
  </w:footnote>
  <w:footnote w:id="77">
    <w:p w14:paraId="0D72B6B7" w14:textId="51608003" w:rsidR="00B14787" w:rsidRPr="00CF4811" w:rsidRDefault="00B14787" w:rsidP="00837706">
      <w:pPr>
        <w:spacing w:before="100" w:beforeAutospacing="1" w:after="100" w:afterAutospacing="1" w:line="240" w:lineRule="auto"/>
        <w:contextualSpacing/>
        <w:jc w:val="both"/>
        <w:rPr>
          <w:rFonts w:cstheme="minorHAnsi"/>
          <w:sz w:val="20"/>
          <w:szCs w:val="20"/>
          <w:lang w:val="pl-PL"/>
        </w:rPr>
      </w:pPr>
      <w:r w:rsidRPr="00CF4811">
        <w:rPr>
          <w:rStyle w:val="Odwoanieprzypisudolnego"/>
          <w:rFonts w:cstheme="minorHAnsi"/>
          <w:sz w:val="20"/>
          <w:szCs w:val="20"/>
        </w:rPr>
        <w:footnoteRef/>
      </w:r>
      <w:r w:rsidRPr="00CF4811">
        <w:rPr>
          <w:rFonts w:cstheme="minorHAnsi"/>
          <w:sz w:val="20"/>
          <w:szCs w:val="20"/>
          <w:lang w:val="pl-PL"/>
        </w:rPr>
        <w:t xml:space="preserve"> Wskaźnik funkcji turystycznej ma charakter syntetyczny i powstaje w oparciu o 4 wskaźniki składowe: dwa wskaźniki intensywności ruchu turystycznego (wskaźnik Baretje’a—Deferta informujący o liczbie miejsc noclegowych w danym roku przypadających na 100 mieszkańców </w:t>
      </w:r>
      <w:r>
        <w:rPr>
          <w:rFonts w:cstheme="minorHAnsi"/>
          <w:sz w:val="20"/>
          <w:szCs w:val="20"/>
          <w:lang w:val="pl-PL"/>
        </w:rPr>
        <w:br/>
      </w:r>
      <w:r w:rsidRPr="00CF4811">
        <w:rPr>
          <w:rFonts w:cstheme="minorHAnsi"/>
          <w:sz w:val="20"/>
          <w:szCs w:val="20"/>
          <w:lang w:val="pl-PL"/>
        </w:rPr>
        <w:t xml:space="preserve">i wskaźnik gęstości bazy noclegowej informujący o liczbie miejsc noclegowych przypadających na </w:t>
      </w:r>
      <w:r>
        <w:rPr>
          <w:rFonts w:cstheme="minorHAnsi"/>
          <w:sz w:val="20"/>
          <w:szCs w:val="20"/>
          <w:lang w:val="pl-PL"/>
        </w:rPr>
        <w:br/>
      </w:r>
      <w:r w:rsidRPr="00CF4811">
        <w:rPr>
          <w:rFonts w:cstheme="minorHAnsi"/>
          <w:sz w:val="20"/>
          <w:szCs w:val="20"/>
          <w:lang w:val="pl-PL"/>
        </w:rPr>
        <w:t>1 km</w:t>
      </w:r>
      <w:r w:rsidRPr="00CF4811">
        <w:rPr>
          <w:rFonts w:cstheme="minorHAnsi"/>
          <w:sz w:val="20"/>
          <w:szCs w:val="20"/>
          <w:vertAlign w:val="superscript"/>
          <w:lang w:val="pl-PL"/>
        </w:rPr>
        <w:t>2</w:t>
      </w:r>
      <w:r w:rsidRPr="00CF4811">
        <w:rPr>
          <w:rFonts w:cstheme="minorHAnsi"/>
          <w:sz w:val="20"/>
          <w:szCs w:val="20"/>
          <w:lang w:val="pl-PL"/>
        </w:rPr>
        <w:t xml:space="preserve"> powierzchni) a także dwa wskaźniki intensywności ruchu turystycznego: (wskaźnik Schneidera informujący o liczbie turystów przypadających na 100 mieszkańców i wskaźnik Deferta, informujący </w:t>
      </w:r>
      <w:r>
        <w:rPr>
          <w:rFonts w:cstheme="minorHAnsi"/>
          <w:sz w:val="20"/>
          <w:szCs w:val="20"/>
          <w:lang w:val="pl-PL"/>
        </w:rPr>
        <w:br/>
      </w:r>
      <w:r w:rsidRPr="00CF4811">
        <w:rPr>
          <w:rFonts w:cstheme="minorHAnsi"/>
          <w:sz w:val="20"/>
          <w:szCs w:val="20"/>
          <w:lang w:val="pl-PL"/>
        </w:rPr>
        <w:t>o liczbie turystów przypadających na 1 km</w:t>
      </w:r>
      <w:r w:rsidRPr="00CF4811">
        <w:rPr>
          <w:rFonts w:cstheme="minorHAnsi"/>
          <w:sz w:val="20"/>
          <w:szCs w:val="20"/>
          <w:vertAlign w:val="superscript"/>
          <w:lang w:val="pl-PL"/>
        </w:rPr>
        <w:t>2</w:t>
      </w:r>
      <w:r w:rsidRPr="00CF4811">
        <w:rPr>
          <w:rFonts w:cstheme="minorHAnsi"/>
          <w:sz w:val="20"/>
          <w:szCs w:val="20"/>
          <w:lang w:val="pl-PL"/>
        </w:rPr>
        <w:t xml:space="preserve"> powierzchni). </w:t>
      </w:r>
    </w:p>
    <w:p w14:paraId="04D83A24" w14:textId="77777777" w:rsidR="00B14787" w:rsidRPr="00733091" w:rsidRDefault="00B14787" w:rsidP="00837706">
      <w:pPr>
        <w:spacing w:before="100" w:beforeAutospacing="1" w:after="100" w:afterAutospacing="1" w:line="240" w:lineRule="auto"/>
        <w:contextualSpacing/>
        <w:jc w:val="both"/>
        <w:rPr>
          <w:rFonts w:ascii="Times New Roman" w:hAnsi="Times New Roman" w:cs="Times New Roman"/>
          <w:szCs w:val="24"/>
          <w:lang w:val="pl-PL"/>
        </w:rPr>
      </w:pPr>
      <w:r w:rsidRPr="00CF4811">
        <w:rPr>
          <w:rFonts w:cstheme="minorHAnsi"/>
          <w:sz w:val="20"/>
          <w:szCs w:val="20"/>
          <w:lang w:val="pl-PL"/>
        </w:rPr>
        <w:t xml:space="preserve">Wskaźnik </w:t>
      </w:r>
      <w:r w:rsidRPr="00CF4811">
        <w:rPr>
          <w:rFonts w:cs="Times New Roman"/>
          <w:sz w:val="20"/>
          <w:szCs w:val="20"/>
          <w:lang w:val="pl-PL"/>
        </w:rPr>
        <w:t>jest wystandaryzowany i przyjmuje wartość od 0 do 1. Na podstawie jego wysokości określa się poziom rozwoju funkcji turystycznej</w:t>
      </w:r>
    </w:p>
  </w:footnote>
  <w:footnote w:id="78">
    <w:p w14:paraId="385DE6D8" w14:textId="77777777" w:rsidR="00B14787" w:rsidRPr="00CF4811" w:rsidRDefault="00B14787" w:rsidP="00837706">
      <w:pPr>
        <w:pStyle w:val="Tekstprzypisudolnego"/>
        <w:spacing w:before="100" w:beforeAutospacing="1" w:after="100" w:afterAutospacing="1" w:line="240" w:lineRule="auto"/>
        <w:contextualSpacing/>
        <w:jc w:val="both"/>
        <w:rPr>
          <w:rFonts w:asciiTheme="minorHAnsi" w:hAnsiTheme="minorHAnsi" w:cstheme="minorHAnsi"/>
          <w:sz w:val="20"/>
          <w:lang w:val="pl-PL"/>
        </w:rPr>
      </w:pPr>
      <w:r w:rsidRPr="00CF4811">
        <w:rPr>
          <w:rStyle w:val="Odwoanieprzypisudolnego"/>
          <w:rFonts w:asciiTheme="minorHAnsi" w:hAnsiTheme="minorHAnsi" w:cstheme="minorHAnsi"/>
          <w:sz w:val="20"/>
        </w:rPr>
        <w:footnoteRef/>
      </w:r>
      <w:r w:rsidRPr="00CF4811">
        <w:rPr>
          <w:rFonts w:asciiTheme="minorHAnsi" w:hAnsiTheme="minorHAnsi" w:cstheme="minorHAnsi"/>
          <w:sz w:val="20"/>
          <w:lang w:val="pl-PL"/>
        </w:rPr>
        <w:t xml:space="preserve"> Według opracowania Głównego Urzędu Statystycznego „</w:t>
      </w:r>
      <w:r w:rsidRPr="00CF4811">
        <w:rPr>
          <w:rFonts w:asciiTheme="minorHAnsi" w:hAnsiTheme="minorHAnsi" w:cstheme="minorHAnsi"/>
          <w:iCs/>
          <w:sz w:val="20"/>
          <w:lang w:val="pl-PL"/>
        </w:rPr>
        <w:t>Analiza walorów turystycznych powiatów i ich bezpośredniego otoczenia”, GUS 2017</w:t>
      </w:r>
    </w:p>
  </w:footnote>
  <w:footnote w:id="79">
    <w:p w14:paraId="4A7D9DE6" w14:textId="77777777" w:rsidR="00B14787" w:rsidRPr="00921B01" w:rsidRDefault="00B14787" w:rsidP="00921B01">
      <w:pPr>
        <w:pStyle w:val="Tekstprzypisudolnego"/>
        <w:spacing w:before="100" w:beforeAutospacing="1" w:after="100" w:afterAutospacing="1" w:line="240" w:lineRule="auto"/>
        <w:contextualSpacing/>
        <w:rPr>
          <w:rFonts w:asciiTheme="minorHAnsi" w:hAnsiTheme="minorHAnsi" w:cstheme="minorHAnsi"/>
          <w:sz w:val="20"/>
          <w:lang w:val="pl-PL"/>
        </w:rPr>
      </w:pPr>
      <w:r w:rsidRPr="00921B01">
        <w:rPr>
          <w:rStyle w:val="Odwoanieprzypisudolnego"/>
          <w:rFonts w:asciiTheme="minorHAnsi" w:hAnsiTheme="minorHAnsi" w:cstheme="minorHAnsi"/>
          <w:sz w:val="20"/>
        </w:rPr>
        <w:footnoteRef/>
      </w:r>
      <w:r w:rsidRPr="00921B01">
        <w:rPr>
          <w:rFonts w:asciiTheme="minorHAnsi" w:hAnsiTheme="minorHAnsi" w:cstheme="minorHAnsi"/>
          <w:sz w:val="20"/>
          <w:lang w:val="pl-PL"/>
        </w:rPr>
        <w:t xml:space="preserve"> Z prognozy demograficznej wnika, że udział osób w wieku produkcyjnym w ogólnej liczbie ludności Południowych Mazur spanie z poziomu 64,08 w 2014 r.  do poziomu 58,80 w 2045 r.</w:t>
      </w:r>
    </w:p>
  </w:footnote>
  <w:footnote w:id="80">
    <w:p w14:paraId="10EC2B17" w14:textId="448090FE" w:rsidR="00B14787" w:rsidRPr="00CC55AA" w:rsidRDefault="00B14787" w:rsidP="00CC55AA">
      <w:pPr>
        <w:spacing w:after="0" w:line="240" w:lineRule="auto"/>
        <w:contextualSpacing/>
        <w:jc w:val="both"/>
        <w:rPr>
          <w:rFonts w:ascii="Times New Roman" w:hAnsi="Times New Roman" w:cs="Times New Roman"/>
          <w:sz w:val="20"/>
          <w:szCs w:val="20"/>
          <w:lang w:val="pl-PL" w:eastAsia="pl-PL"/>
        </w:rPr>
      </w:pPr>
      <w:r w:rsidRPr="00FB5B78">
        <w:rPr>
          <w:rStyle w:val="Odwoanieprzypisudolnego"/>
          <w:sz w:val="20"/>
          <w:szCs w:val="20"/>
        </w:rPr>
        <w:footnoteRef/>
      </w:r>
      <w:r w:rsidRPr="00FB5B78">
        <w:rPr>
          <w:sz w:val="20"/>
          <w:szCs w:val="20"/>
          <w:lang w:val="pl-PL"/>
        </w:rPr>
        <w:t xml:space="preserve"> </w:t>
      </w:r>
      <w:r w:rsidRPr="00FB5B78">
        <w:rPr>
          <w:rFonts w:cstheme="minorHAnsi"/>
          <w:sz w:val="20"/>
          <w:szCs w:val="20"/>
          <w:lang w:val="pl-PL" w:eastAsia="pl-PL"/>
        </w:rPr>
        <w:t>Załącznik do obwieszczenia Ministra Edukacji Narodowej z dnia 24.01.2020 r. w sprawie zapotrzebowania na pracowników w zawodach szkolnictwa branżowego na krajowym i wojewódzkim rynku pracy</w:t>
      </w:r>
    </w:p>
  </w:footnote>
  <w:footnote w:id="81">
    <w:p w14:paraId="3BD4346A" w14:textId="77777777" w:rsidR="00B14787" w:rsidRPr="00FB5B78" w:rsidRDefault="00B14787" w:rsidP="00CC55AA">
      <w:pPr>
        <w:pStyle w:val="Tekstprzypisudolnego"/>
        <w:spacing w:before="100" w:beforeAutospacing="1" w:after="100" w:afterAutospacing="1" w:line="240" w:lineRule="auto"/>
        <w:contextualSpacing/>
        <w:jc w:val="both"/>
        <w:rPr>
          <w:rFonts w:asciiTheme="minorHAnsi" w:hAnsiTheme="minorHAnsi" w:cstheme="minorHAnsi"/>
          <w:sz w:val="20"/>
          <w:lang w:val="pl-PL"/>
        </w:rPr>
      </w:pPr>
      <w:r w:rsidRPr="00FB5B78">
        <w:rPr>
          <w:rStyle w:val="Odwoanieprzypisudolnego"/>
          <w:rFonts w:asciiTheme="minorHAnsi" w:hAnsiTheme="minorHAnsi" w:cstheme="minorHAnsi"/>
          <w:sz w:val="20"/>
        </w:rPr>
        <w:footnoteRef/>
      </w:r>
      <w:r w:rsidRPr="00FB5B78">
        <w:rPr>
          <w:rFonts w:asciiTheme="minorHAnsi" w:hAnsiTheme="minorHAnsi" w:cstheme="minorHAnsi"/>
          <w:sz w:val="20"/>
          <w:lang w:val="pl-PL"/>
        </w:rPr>
        <w:t xml:space="preserve"> W powiecie działdowskim wynosiła 13,6%, w powiecie nidzickim -7%, powiecie szczycieńskim – 8,7%, a w powiecie piskim – 12,2%</w:t>
      </w:r>
    </w:p>
  </w:footnote>
  <w:footnote w:id="82">
    <w:p w14:paraId="56EB8BF7" w14:textId="77777777" w:rsidR="00B14787" w:rsidRPr="00FB5B78" w:rsidRDefault="00B14787" w:rsidP="00CC55AA">
      <w:pPr>
        <w:pStyle w:val="Tekstprzypisudolnego"/>
        <w:spacing w:before="100" w:beforeAutospacing="1" w:after="100" w:afterAutospacing="1" w:line="240" w:lineRule="auto"/>
        <w:contextualSpacing/>
        <w:jc w:val="both"/>
        <w:rPr>
          <w:rFonts w:asciiTheme="minorHAnsi" w:hAnsiTheme="minorHAnsi" w:cstheme="minorHAnsi"/>
          <w:sz w:val="20"/>
          <w:lang w:val="pl-PL"/>
        </w:rPr>
      </w:pPr>
      <w:r w:rsidRPr="00FB5B78">
        <w:rPr>
          <w:rStyle w:val="Odwoanieprzypisudolnego"/>
          <w:rFonts w:asciiTheme="minorHAnsi" w:hAnsiTheme="minorHAnsi" w:cstheme="minorHAnsi"/>
          <w:sz w:val="20"/>
        </w:rPr>
        <w:footnoteRef/>
      </w:r>
      <w:r w:rsidRPr="00FB5B78">
        <w:rPr>
          <w:rFonts w:asciiTheme="minorHAnsi" w:hAnsiTheme="minorHAnsi" w:cstheme="minorHAnsi"/>
          <w:sz w:val="20"/>
          <w:lang w:val="pl-PL"/>
        </w:rPr>
        <w:t xml:space="preserve"> Określonym dla województwa warmińsko-mazurskiego</w:t>
      </w:r>
    </w:p>
  </w:footnote>
  <w:footnote w:id="83">
    <w:p w14:paraId="25656B2F" w14:textId="77777777" w:rsidR="00B14787" w:rsidRPr="00733091" w:rsidRDefault="00B14787" w:rsidP="00CC55AA">
      <w:pPr>
        <w:pStyle w:val="Tekstprzypisudolnego"/>
        <w:spacing w:before="100" w:beforeAutospacing="1" w:after="100" w:afterAutospacing="1" w:line="240" w:lineRule="auto"/>
        <w:contextualSpacing/>
        <w:jc w:val="both"/>
        <w:rPr>
          <w:lang w:val="pl-PL"/>
        </w:rPr>
      </w:pPr>
      <w:r w:rsidRPr="00FB5B78">
        <w:rPr>
          <w:rStyle w:val="Odwoanieprzypisudolnego"/>
          <w:rFonts w:asciiTheme="minorHAnsi" w:hAnsiTheme="minorHAnsi" w:cstheme="minorHAnsi"/>
          <w:sz w:val="20"/>
        </w:rPr>
        <w:footnoteRef/>
      </w:r>
      <w:r w:rsidRPr="00FB5B78">
        <w:rPr>
          <w:rFonts w:asciiTheme="minorHAnsi" w:hAnsiTheme="minorHAnsi" w:cstheme="minorHAnsi"/>
          <w:sz w:val="20"/>
          <w:lang w:val="pl-PL"/>
        </w:rPr>
        <w:t xml:space="preserve"> W początkowym okresie analizy, tj. w latach 2010-2015, najwyższy odsetek osób pozostających bez pracy (w ogóle ludności w wieku produkcyjnym) występował w powiecie piskim. Średnia wyznaczona dla tego obszaru z lat 2010-2015 wyniosła 15,4% i była o 5,6 pkt. proc. wyższa od minimalnej wartości wskaźnika odnotowanej w powiecie nidzickim. W kolejnym okresie, tj. w latach 2016-2019 pierwszeństwo w zakresie udziału bezrobotnych w</w:t>
      </w:r>
      <w:r w:rsidRPr="00733091">
        <w:rPr>
          <w:rFonts w:cstheme="minorHAnsi"/>
          <w:sz w:val="18"/>
          <w:szCs w:val="18"/>
          <w:lang w:val="pl-PL"/>
        </w:rPr>
        <w:t xml:space="preserve"> </w:t>
      </w:r>
      <w:r w:rsidRPr="00FB5B78">
        <w:rPr>
          <w:rFonts w:asciiTheme="minorHAnsi" w:hAnsiTheme="minorHAnsi" w:cstheme="minorHAnsi"/>
          <w:sz w:val="20"/>
          <w:lang w:val="pl-PL"/>
        </w:rPr>
        <w:t>liczbie mieszkańców w wieku produkcyjnym przejął powiat działdowski, który ze średnią wynoszącą 9,5% wyprzedził powiat nidzicki o 4,9 pkt. proc.</w:t>
      </w:r>
      <w:r w:rsidRPr="00733091">
        <w:rPr>
          <w:rFonts w:cstheme="minorHAnsi"/>
          <w:sz w:val="18"/>
          <w:szCs w:val="18"/>
          <w:lang w:val="pl-PL"/>
        </w:rPr>
        <w:t xml:space="preserve"> </w:t>
      </w:r>
    </w:p>
  </w:footnote>
  <w:footnote w:id="84">
    <w:p w14:paraId="58FCE0C3" w14:textId="77777777" w:rsidR="00B14787" w:rsidRPr="00BB7F69" w:rsidRDefault="00B14787" w:rsidP="00BB7F69">
      <w:pPr>
        <w:pStyle w:val="Tekstprzypisudolnego"/>
        <w:spacing w:before="100" w:beforeAutospacing="1" w:after="100" w:afterAutospacing="1" w:line="240" w:lineRule="auto"/>
        <w:contextualSpacing/>
        <w:rPr>
          <w:rFonts w:asciiTheme="minorHAnsi" w:hAnsiTheme="minorHAnsi" w:cstheme="minorHAnsi"/>
          <w:sz w:val="20"/>
          <w:lang w:val="pl-PL"/>
        </w:rPr>
      </w:pPr>
      <w:r w:rsidRPr="00BB7F69">
        <w:rPr>
          <w:rStyle w:val="Odwoanieprzypisudolnego"/>
          <w:rFonts w:asciiTheme="minorHAnsi" w:hAnsiTheme="minorHAnsi" w:cstheme="minorHAnsi"/>
          <w:sz w:val="20"/>
        </w:rPr>
        <w:footnoteRef/>
      </w:r>
      <w:r w:rsidRPr="00BB7F69">
        <w:rPr>
          <w:rFonts w:asciiTheme="minorHAnsi" w:hAnsiTheme="minorHAnsi" w:cstheme="minorHAnsi"/>
          <w:sz w:val="20"/>
          <w:lang w:val="pl-PL"/>
        </w:rPr>
        <w:t xml:space="preserve">  Wskaźnik zatrudnionych na 1 tys. mieszkańców w okresie 2009-2019 wzrósł o 8,13% ze 153 w 2009 r. na 166 w 2019 r. </w:t>
      </w:r>
    </w:p>
  </w:footnote>
  <w:footnote w:id="85">
    <w:p w14:paraId="784772FA" w14:textId="77777777" w:rsidR="00B14787" w:rsidRPr="00733091" w:rsidRDefault="00B14787" w:rsidP="00BB7F69">
      <w:pPr>
        <w:pStyle w:val="Tekstprzypisudolnego"/>
        <w:spacing w:before="100" w:beforeAutospacing="1" w:after="100" w:afterAutospacing="1" w:line="240" w:lineRule="auto"/>
        <w:contextualSpacing/>
        <w:rPr>
          <w:sz w:val="18"/>
          <w:szCs w:val="18"/>
          <w:lang w:val="pl-PL"/>
        </w:rPr>
      </w:pPr>
      <w:r w:rsidRPr="00BB7F69">
        <w:rPr>
          <w:rStyle w:val="Odwoanieprzypisudolnego"/>
          <w:rFonts w:asciiTheme="minorHAnsi" w:hAnsiTheme="minorHAnsi" w:cstheme="minorHAnsi"/>
          <w:sz w:val="20"/>
        </w:rPr>
        <w:footnoteRef/>
      </w:r>
      <w:r w:rsidRPr="00BB7F69">
        <w:rPr>
          <w:rFonts w:asciiTheme="minorHAnsi" w:hAnsiTheme="minorHAnsi" w:cstheme="minorHAnsi"/>
          <w:sz w:val="20"/>
          <w:lang w:val="pl-PL"/>
        </w:rPr>
        <w:t xml:space="preserve"> Opis w Rozdziale 2.2.5.2. diagnozy</w:t>
      </w:r>
      <w:r w:rsidRPr="00733091">
        <w:rPr>
          <w:sz w:val="18"/>
          <w:szCs w:val="18"/>
          <w:lang w:val="pl-PL"/>
        </w:rPr>
        <w:t xml:space="preserve"> </w:t>
      </w:r>
    </w:p>
  </w:footnote>
  <w:footnote w:id="86">
    <w:p w14:paraId="4FB4F7D4" w14:textId="77777777" w:rsidR="00B14787" w:rsidRPr="00CC55AA" w:rsidRDefault="00B14787" w:rsidP="00CC55AA">
      <w:pPr>
        <w:pStyle w:val="Tekstprzypisudolnego"/>
        <w:spacing w:before="100" w:beforeAutospacing="1" w:after="100" w:afterAutospacing="1" w:line="240" w:lineRule="auto"/>
        <w:contextualSpacing/>
        <w:jc w:val="both"/>
        <w:rPr>
          <w:rFonts w:asciiTheme="minorHAnsi" w:hAnsiTheme="minorHAnsi"/>
          <w:sz w:val="20"/>
          <w:lang w:val="pl-PL"/>
        </w:rPr>
      </w:pPr>
      <w:r w:rsidRPr="00CC55AA">
        <w:rPr>
          <w:rStyle w:val="Odwoanieprzypisudolnego"/>
          <w:rFonts w:asciiTheme="minorHAnsi" w:hAnsiTheme="minorHAnsi"/>
          <w:sz w:val="20"/>
        </w:rPr>
        <w:footnoteRef/>
      </w:r>
      <w:r w:rsidRPr="00CC55AA">
        <w:rPr>
          <w:rFonts w:asciiTheme="minorHAnsi" w:hAnsiTheme="minorHAnsi"/>
          <w:sz w:val="20"/>
          <w:lang w:val="pl-PL"/>
        </w:rPr>
        <w:t xml:space="preserve"> Analiz dokonano sumując wyniki budżetów poszczególnych jednostek samorządu terytorialnego wchodzących w skład Partnerstwa</w:t>
      </w:r>
    </w:p>
  </w:footnote>
  <w:footnote w:id="87">
    <w:p w14:paraId="6C946039" w14:textId="77777777" w:rsidR="00B14787" w:rsidRPr="00703D43" w:rsidRDefault="00B14787" w:rsidP="00797E0C">
      <w:pPr>
        <w:pStyle w:val="Tekstprzypisudolnego"/>
        <w:spacing w:after="0" w:line="240" w:lineRule="auto"/>
        <w:contextualSpacing/>
        <w:jc w:val="both"/>
        <w:rPr>
          <w:rFonts w:asciiTheme="minorHAnsi" w:hAnsiTheme="minorHAnsi" w:cstheme="minorHAnsi"/>
          <w:sz w:val="20"/>
          <w:lang w:val="pl-PL"/>
        </w:rPr>
      </w:pPr>
      <w:r w:rsidRPr="00703D43">
        <w:rPr>
          <w:rStyle w:val="Odwoanieprzypisudolnego"/>
          <w:rFonts w:asciiTheme="minorHAnsi" w:hAnsiTheme="minorHAnsi" w:cstheme="minorHAnsi"/>
          <w:sz w:val="20"/>
        </w:rPr>
        <w:footnoteRef/>
      </w:r>
      <w:r w:rsidRPr="00703D43">
        <w:rPr>
          <w:rFonts w:asciiTheme="minorHAnsi" w:hAnsiTheme="minorHAnsi" w:cstheme="minorHAnsi"/>
          <w:sz w:val="20"/>
          <w:lang w:val="pl-PL"/>
        </w:rPr>
        <w:t xml:space="preserve"> </w:t>
      </w:r>
      <w:r w:rsidRPr="00703D43">
        <w:rPr>
          <w:rStyle w:val="Uwydatnienie"/>
          <w:rFonts w:asciiTheme="minorHAnsi" w:hAnsiTheme="minorHAnsi" w:cstheme="minorHAnsi"/>
          <w:i w:val="0"/>
          <w:iCs w:val="0"/>
          <w:sz w:val="20"/>
          <w:lang w:val="pl-PL"/>
        </w:rPr>
        <w:t>Łączny wynik operacyjny nie może być traktowany jako wyznacznik możliwości do finansowania rozwoju Partnerstwa, bowiem o zdolności finansowej do realizowania planowanych zadań majątkowych będą świadczyły pojedyncze wyniki nadwyżki operacyjnej netto poszczególnych członków Partnerstwa</w:t>
      </w:r>
    </w:p>
  </w:footnote>
  <w:footnote w:id="88">
    <w:p w14:paraId="6ED4AC39" w14:textId="77777777" w:rsidR="00B14787" w:rsidRPr="00703D43" w:rsidRDefault="00B14787" w:rsidP="001F2F4D">
      <w:pPr>
        <w:spacing w:after="80" w:line="240" w:lineRule="auto"/>
        <w:jc w:val="both"/>
        <w:rPr>
          <w:sz w:val="20"/>
          <w:szCs w:val="20"/>
          <w:lang w:val="pl-PL"/>
        </w:rPr>
      </w:pPr>
      <w:r w:rsidRPr="00703D43">
        <w:rPr>
          <w:rStyle w:val="Odwoanieprzypisudolnego"/>
          <w:sz w:val="20"/>
          <w:szCs w:val="20"/>
        </w:rPr>
        <w:footnoteRef/>
      </w:r>
      <w:r w:rsidRPr="00703D43">
        <w:rPr>
          <w:sz w:val="20"/>
          <w:szCs w:val="20"/>
          <w:lang w:val="pl-PL"/>
        </w:rPr>
        <w:t xml:space="preserve"> Różnica między kwotą dochodów bieżących a kwotą wydatków bieżących. </w:t>
      </w:r>
      <w:r w:rsidRPr="00703D43">
        <w:rPr>
          <w:rStyle w:val="Uwydatnienie"/>
          <w:i w:val="0"/>
          <w:iCs w:val="0"/>
          <w:sz w:val="20"/>
          <w:szCs w:val="20"/>
          <w:lang w:val="pl-PL"/>
        </w:rPr>
        <w:t>Uzyskana nadwyżka operacyjna może zostać przeznaczona na spłatę długu i/lub finansowanie zadań majątkowych w zależności od potrzeb jednostki samorządu terytorialnego. Pożądany zatem jest wzrost poziomu nadwyżki operacyjnej zarówno brutto oraz nadwyżki operacyjnej netto (pomniejszonej o spłaty zadłużenia). Wartość wyniku operacyjnego netto informuje bowiem o wysokości środków finansowych, które mogą zostać przeznaczone na wydatki majątkowe. Jest to szczególnie istotne dla oceny zdolności do finansowania nowych inwestycji przez poszczególnych członków Partnerstwa).</w:t>
      </w:r>
    </w:p>
  </w:footnote>
  <w:footnote w:id="89">
    <w:p w14:paraId="2D6E03F4" w14:textId="52951E94" w:rsidR="00B14787" w:rsidRPr="00260544" w:rsidRDefault="00B14787" w:rsidP="00797E0C">
      <w:pPr>
        <w:pStyle w:val="Tekstprzypisudolnego"/>
        <w:spacing w:before="100" w:beforeAutospacing="1" w:after="100" w:afterAutospacing="1" w:line="240" w:lineRule="auto"/>
        <w:contextualSpacing/>
        <w:jc w:val="both"/>
        <w:rPr>
          <w:rFonts w:asciiTheme="minorHAnsi" w:hAnsiTheme="minorHAnsi" w:cstheme="minorHAnsi"/>
          <w:sz w:val="20"/>
          <w:lang w:val="pl-PL"/>
        </w:rPr>
      </w:pPr>
      <w:r w:rsidRPr="00444FD8">
        <w:rPr>
          <w:rStyle w:val="Odwoanieprzypisudolnego"/>
          <w:sz w:val="18"/>
          <w:szCs w:val="18"/>
        </w:rPr>
        <w:footnoteRef/>
      </w:r>
      <w:r w:rsidRPr="00733091">
        <w:rPr>
          <w:sz w:val="18"/>
          <w:szCs w:val="18"/>
          <w:lang w:val="pl-PL"/>
        </w:rPr>
        <w:t xml:space="preserve"> </w:t>
      </w:r>
      <w:r w:rsidRPr="00260544">
        <w:rPr>
          <w:rFonts w:asciiTheme="minorHAnsi" w:hAnsiTheme="minorHAnsi" w:cstheme="minorHAnsi"/>
          <w:sz w:val="20"/>
          <w:lang w:val="pl-PL"/>
        </w:rPr>
        <w:t>Wskaźnik syntetyczny wyliczony jest w oparciu o relację wartości wskaźników gmin tworzących Partnerstwo do wartości średniej dla wskaźnika wszystkich JST z grup porównawczych. Wskaźnik syntetyczny rozwoju w</w:t>
      </w:r>
      <w:r>
        <w:rPr>
          <w:rFonts w:asciiTheme="minorHAnsi" w:hAnsiTheme="minorHAnsi" w:cstheme="minorHAnsi"/>
          <w:sz w:val="20"/>
          <w:lang w:val="pl-PL"/>
        </w:rPr>
        <w:t xml:space="preserve"> </w:t>
      </w:r>
      <w:r w:rsidRPr="00260544">
        <w:rPr>
          <w:rFonts w:asciiTheme="minorHAnsi" w:hAnsiTheme="minorHAnsi" w:cstheme="minorHAnsi"/>
          <w:sz w:val="20"/>
          <w:lang w:val="pl-PL"/>
        </w:rPr>
        <w:t>wymiarze środowiskowo-przestrzennym stanowi jednocześnie średnią arytmetyczną wartości</w:t>
      </w:r>
      <w:r>
        <w:rPr>
          <w:rFonts w:asciiTheme="minorHAnsi" w:hAnsiTheme="minorHAnsi" w:cstheme="minorHAnsi"/>
          <w:sz w:val="20"/>
          <w:lang w:val="pl-PL"/>
        </w:rPr>
        <w:t xml:space="preserve"> </w:t>
      </w:r>
      <w:r w:rsidRPr="00260544">
        <w:rPr>
          <w:rFonts w:asciiTheme="minorHAnsi" w:hAnsiTheme="minorHAnsi" w:cstheme="minorHAnsi"/>
          <w:sz w:val="20"/>
          <w:lang w:val="pl-PL"/>
        </w:rPr>
        <w:t>standaryzowanych wszystkich wskaźników diagnostycznych w badanych 3 obszarach.</w:t>
      </w:r>
    </w:p>
  </w:footnote>
  <w:footnote w:id="90">
    <w:p w14:paraId="709A74BE" w14:textId="77777777" w:rsidR="00B14787" w:rsidRPr="00733091" w:rsidRDefault="00B14787" w:rsidP="00797E0C">
      <w:pPr>
        <w:pStyle w:val="Tekstprzypisudolnego"/>
        <w:spacing w:before="100" w:beforeAutospacing="1" w:after="100" w:afterAutospacing="1" w:line="240" w:lineRule="auto"/>
        <w:contextualSpacing/>
        <w:rPr>
          <w:lang w:val="pl-PL"/>
        </w:rPr>
      </w:pPr>
      <w:r w:rsidRPr="00260544">
        <w:rPr>
          <w:rStyle w:val="Odwoanieprzypisudolnego"/>
          <w:rFonts w:asciiTheme="minorHAnsi" w:hAnsiTheme="minorHAnsi" w:cstheme="minorHAnsi"/>
          <w:sz w:val="20"/>
        </w:rPr>
        <w:footnoteRef/>
      </w:r>
      <w:r w:rsidRPr="00260544">
        <w:rPr>
          <w:rFonts w:asciiTheme="minorHAnsi" w:hAnsiTheme="minorHAnsi" w:cstheme="minorHAnsi"/>
          <w:sz w:val="20"/>
          <w:lang w:val="pl-PL"/>
        </w:rPr>
        <w:t xml:space="preserve"> Okres badawczy obejmuje lata 2015-2019</w:t>
      </w:r>
    </w:p>
  </w:footnote>
  <w:footnote w:id="91">
    <w:p w14:paraId="74B0A066" w14:textId="77777777" w:rsidR="00B14787" w:rsidRPr="00260544" w:rsidRDefault="00B14787" w:rsidP="00F84A3C">
      <w:pPr>
        <w:pStyle w:val="Tekstprzypisudolnego"/>
        <w:spacing w:before="100" w:beforeAutospacing="1" w:after="100" w:afterAutospacing="1" w:line="240" w:lineRule="auto"/>
        <w:contextualSpacing/>
        <w:jc w:val="both"/>
        <w:rPr>
          <w:rFonts w:asciiTheme="minorHAnsi" w:hAnsiTheme="minorHAnsi" w:cstheme="minorHAnsi"/>
          <w:sz w:val="20"/>
          <w:lang w:val="pl-PL"/>
        </w:rPr>
      </w:pPr>
      <w:r w:rsidRPr="00260544">
        <w:rPr>
          <w:rStyle w:val="Odwoanieprzypisudolnego"/>
          <w:rFonts w:asciiTheme="minorHAnsi" w:hAnsiTheme="minorHAnsi" w:cstheme="minorHAnsi"/>
          <w:sz w:val="20"/>
        </w:rPr>
        <w:footnoteRef/>
      </w:r>
      <w:r w:rsidRPr="00260544">
        <w:rPr>
          <w:rFonts w:asciiTheme="minorHAnsi" w:hAnsiTheme="minorHAnsi" w:cstheme="minorHAnsi"/>
          <w:sz w:val="20"/>
          <w:lang w:val="pl-PL"/>
        </w:rPr>
        <w:t xml:space="preserve"> Gminy te zostały zakwalifikowane do gmin pełniących intensywne funkcje rolnicze według „Klasyfikacji funkcjonalnej gmin na potrzeby monitoringu planowania przestrzennego”, P. Śleszyński, T. Komornicki, Przegląd Geograficzny, 2016</w:t>
      </w:r>
    </w:p>
  </w:footnote>
  <w:footnote w:id="92">
    <w:p w14:paraId="183DA428" w14:textId="39318B97" w:rsidR="00B14787" w:rsidRPr="00F84A3C" w:rsidRDefault="00B14787" w:rsidP="00F84A3C">
      <w:pPr>
        <w:pStyle w:val="Tekstprzypisudolnego"/>
        <w:spacing w:before="100" w:beforeAutospacing="1" w:after="100" w:afterAutospacing="1" w:line="240" w:lineRule="auto"/>
        <w:jc w:val="both"/>
        <w:rPr>
          <w:lang w:val="pl-PL"/>
        </w:rPr>
      </w:pPr>
      <w:r>
        <w:rPr>
          <w:rStyle w:val="Odwoanieprzypisudolnego"/>
        </w:rPr>
        <w:footnoteRef/>
      </w:r>
      <w:r w:rsidRPr="00F84A3C">
        <w:rPr>
          <w:lang w:val="pl-PL"/>
        </w:rPr>
        <w:t xml:space="preserve"> </w:t>
      </w:r>
      <w:r w:rsidRPr="00F84A3C">
        <w:rPr>
          <w:rFonts w:asciiTheme="minorHAnsi" w:hAnsiTheme="minorHAnsi"/>
          <w:sz w:val="20"/>
          <w:lang w:val="pl-PL"/>
        </w:rPr>
        <w:t>Wskaźnik informuje o warunkach gospodarowania. Dla części Południowych Mazur oznaczonej kolorem pomarańczowym wskaźnik ten jest</w:t>
      </w:r>
      <w:r>
        <w:rPr>
          <w:rFonts w:asciiTheme="minorHAnsi" w:hAnsiTheme="minorHAnsi"/>
          <w:sz w:val="20"/>
          <w:lang w:val="pl-PL"/>
        </w:rPr>
        <w:t xml:space="preserve"> bardzo</w:t>
      </w:r>
      <w:r w:rsidRPr="00F84A3C">
        <w:rPr>
          <w:rFonts w:asciiTheme="minorHAnsi" w:hAnsiTheme="minorHAnsi"/>
          <w:sz w:val="20"/>
          <w:lang w:val="pl-PL"/>
        </w:rPr>
        <w:t xml:space="preserve"> niski).</w:t>
      </w:r>
    </w:p>
  </w:footnote>
  <w:footnote w:id="93">
    <w:p w14:paraId="37065D92" w14:textId="77777777" w:rsidR="00B14787" w:rsidRPr="00260544" w:rsidRDefault="00B14787" w:rsidP="00797E0C">
      <w:pPr>
        <w:pStyle w:val="Tekstprzypisudolnego"/>
        <w:spacing w:before="100" w:beforeAutospacing="1" w:after="100" w:afterAutospacing="1" w:line="240" w:lineRule="auto"/>
        <w:contextualSpacing/>
        <w:jc w:val="both"/>
        <w:rPr>
          <w:rFonts w:asciiTheme="minorHAnsi" w:hAnsiTheme="minorHAnsi" w:cstheme="minorHAnsi"/>
          <w:sz w:val="20"/>
          <w:lang w:val="pl-PL"/>
        </w:rPr>
      </w:pPr>
      <w:r w:rsidRPr="00260544">
        <w:rPr>
          <w:rStyle w:val="Odwoanieprzypisudolnego"/>
          <w:rFonts w:asciiTheme="minorHAnsi" w:hAnsiTheme="minorHAnsi" w:cstheme="minorHAnsi"/>
          <w:sz w:val="20"/>
        </w:rPr>
        <w:footnoteRef/>
      </w:r>
      <w:r w:rsidRPr="00260544">
        <w:rPr>
          <w:rFonts w:asciiTheme="minorHAnsi" w:hAnsiTheme="minorHAnsi" w:cstheme="minorHAnsi"/>
          <w:sz w:val="20"/>
          <w:lang w:val="pl-PL"/>
        </w:rPr>
        <w:t xml:space="preserve"> Gminy miejskie: Szczytno i Działdowo zostały zakwalifikowane jako ośrodki wielofunkcyjne według „Klasyfikacji funkcjonalnej gmin na potrzeby monitoringu planowania przestrzennego”, P. Śleszyński, T. Komornicki, Przegląd Geograficzny, 2016</w:t>
      </w:r>
    </w:p>
  </w:footnote>
  <w:footnote w:id="94">
    <w:p w14:paraId="0A406EE7" w14:textId="77777777" w:rsidR="00B14787" w:rsidRPr="00260544" w:rsidRDefault="00B14787" w:rsidP="00797E0C">
      <w:pPr>
        <w:pStyle w:val="Tekstprzypisudolnego"/>
        <w:spacing w:before="100" w:beforeAutospacing="1" w:after="100" w:afterAutospacing="1" w:line="240" w:lineRule="auto"/>
        <w:contextualSpacing/>
        <w:rPr>
          <w:rFonts w:asciiTheme="minorHAnsi" w:hAnsiTheme="minorHAnsi" w:cstheme="minorHAnsi"/>
          <w:sz w:val="20"/>
          <w:lang w:val="pl-PL"/>
        </w:rPr>
      </w:pPr>
      <w:r w:rsidRPr="00260544">
        <w:rPr>
          <w:rStyle w:val="Odwoanieprzypisudolnego"/>
          <w:rFonts w:asciiTheme="minorHAnsi" w:hAnsiTheme="minorHAnsi" w:cstheme="minorHAnsi"/>
          <w:sz w:val="20"/>
        </w:rPr>
        <w:footnoteRef/>
      </w:r>
      <w:r w:rsidRPr="00260544">
        <w:rPr>
          <w:rFonts w:asciiTheme="minorHAnsi" w:hAnsiTheme="minorHAnsi" w:cstheme="minorHAnsi"/>
          <w:sz w:val="20"/>
          <w:lang w:val="pl-PL"/>
        </w:rPr>
        <w:t xml:space="preserve"> Patrz Rozdział 1 diagnozy </w:t>
      </w:r>
    </w:p>
  </w:footnote>
  <w:footnote w:id="95">
    <w:p w14:paraId="64EB449F" w14:textId="77777777" w:rsidR="00B14787" w:rsidRPr="00733091" w:rsidRDefault="00B14787" w:rsidP="00797E0C">
      <w:pPr>
        <w:pStyle w:val="Tekstprzypisudolnego"/>
        <w:spacing w:before="100" w:beforeAutospacing="1" w:after="100" w:afterAutospacing="1" w:line="240" w:lineRule="auto"/>
        <w:contextualSpacing/>
        <w:jc w:val="both"/>
        <w:rPr>
          <w:lang w:val="pl-PL"/>
        </w:rPr>
      </w:pPr>
      <w:r w:rsidRPr="00260544">
        <w:rPr>
          <w:rStyle w:val="Odwoanieprzypisudolnego"/>
          <w:rFonts w:asciiTheme="minorHAnsi" w:hAnsiTheme="minorHAnsi" w:cstheme="minorHAnsi"/>
          <w:sz w:val="20"/>
        </w:rPr>
        <w:footnoteRef/>
      </w:r>
      <w:r w:rsidRPr="00260544">
        <w:rPr>
          <w:rFonts w:asciiTheme="minorHAnsi" w:hAnsiTheme="minorHAnsi" w:cstheme="minorHAnsi"/>
          <w:sz w:val="20"/>
          <w:lang w:val="pl-PL"/>
        </w:rPr>
        <w:t xml:space="preserve"> </w:t>
      </w:r>
      <w:r w:rsidRPr="00260544">
        <w:rPr>
          <w:rFonts w:asciiTheme="minorHAnsi" w:hAnsiTheme="minorHAnsi" w:cstheme="minorHAnsi"/>
          <w:sz w:val="20"/>
          <w:shd w:val="clear" w:color="auto" w:fill="FFFFFF"/>
          <w:lang w:val="pl-PL"/>
        </w:rPr>
        <w:t>W pozostałych gminach Partnerstwa udział gruntów pod wodami w powierzchni gmin jest niższy niż średni dla województwa warmińsko-mazurskiego</w:t>
      </w:r>
    </w:p>
  </w:footnote>
  <w:footnote w:id="96">
    <w:p w14:paraId="786E3AFF" w14:textId="62EF5614" w:rsidR="00B14787" w:rsidRPr="00260544" w:rsidRDefault="00B14787" w:rsidP="00797E0C">
      <w:pPr>
        <w:pStyle w:val="Tekstprzypisudolnego"/>
        <w:rPr>
          <w:rFonts w:asciiTheme="minorHAnsi" w:hAnsiTheme="minorHAnsi" w:cstheme="minorHAnsi"/>
          <w:sz w:val="20"/>
          <w:lang w:val="pl-PL"/>
        </w:rPr>
      </w:pPr>
      <w:r w:rsidRPr="00260544">
        <w:rPr>
          <w:rStyle w:val="Odwoanieprzypisudolnego"/>
          <w:rFonts w:asciiTheme="minorHAnsi" w:hAnsiTheme="minorHAnsi" w:cstheme="minorHAnsi"/>
          <w:sz w:val="20"/>
        </w:rPr>
        <w:footnoteRef/>
      </w:r>
      <w:r w:rsidRPr="00260544">
        <w:rPr>
          <w:rFonts w:asciiTheme="minorHAnsi" w:hAnsiTheme="minorHAnsi" w:cstheme="minorHAnsi"/>
          <w:sz w:val="20"/>
          <w:lang w:val="pl-PL"/>
        </w:rPr>
        <w:t xml:space="preserve"> </w:t>
      </w:r>
      <w:r w:rsidRPr="00260544">
        <w:rPr>
          <w:rFonts w:asciiTheme="minorHAnsi" w:hAnsiTheme="minorHAnsi" w:cstheme="minorHAnsi"/>
          <w:sz w:val="20"/>
          <w:shd w:val="clear" w:color="auto" w:fill="FFFFFF"/>
          <w:lang w:val="pl-PL"/>
        </w:rPr>
        <w:t>Szczególnie w powiecie piskim – 19,40%</w:t>
      </w:r>
    </w:p>
  </w:footnote>
  <w:footnote w:id="97">
    <w:p w14:paraId="181C8482" w14:textId="77777777" w:rsidR="00B14787" w:rsidRPr="00733091" w:rsidRDefault="00B14787" w:rsidP="00C47AA7">
      <w:pPr>
        <w:pStyle w:val="Tekstprzypisudolnego"/>
        <w:jc w:val="both"/>
        <w:rPr>
          <w:sz w:val="18"/>
          <w:szCs w:val="18"/>
          <w:lang w:val="pl-PL"/>
        </w:rPr>
      </w:pPr>
      <w:r w:rsidRPr="00F16F7F">
        <w:rPr>
          <w:rStyle w:val="Odwoanieprzypisudolnego"/>
          <w:sz w:val="18"/>
          <w:szCs w:val="18"/>
        </w:rPr>
        <w:footnoteRef/>
      </w:r>
      <w:r w:rsidRPr="00733091">
        <w:rPr>
          <w:sz w:val="18"/>
          <w:szCs w:val="18"/>
          <w:lang w:val="pl-PL"/>
        </w:rPr>
        <w:t xml:space="preserve"> Wskaźnik lesistości dla powiatu szczycieńskiego wynosi 50,5%, powiatu piskiego - 49,1%, powiatu nidzickiego – 40,1%, powiatu działdowskiego – 29,4%.</w:t>
      </w:r>
    </w:p>
  </w:footnote>
  <w:footnote w:id="98">
    <w:p w14:paraId="1914258D" w14:textId="77777777" w:rsidR="00B14787" w:rsidRPr="00733091" w:rsidRDefault="00B14787" w:rsidP="00C47AA7">
      <w:pPr>
        <w:pStyle w:val="Tekstprzypisudolnego"/>
        <w:rPr>
          <w:sz w:val="18"/>
          <w:szCs w:val="18"/>
          <w:lang w:val="pl-PL"/>
        </w:rPr>
      </w:pPr>
      <w:r w:rsidRPr="00F766C4">
        <w:rPr>
          <w:rStyle w:val="Odwoanieprzypisudolnego"/>
          <w:sz w:val="18"/>
          <w:szCs w:val="18"/>
        </w:rPr>
        <w:footnoteRef/>
      </w:r>
      <w:r w:rsidRPr="00733091">
        <w:rPr>
          <w:sz w:val="18"/>
          <w:szCs w:val="18"/>
          <w:lang w:val="pl-PL"/>
        </w:rPr>
        <w:t xml:space="preserve"> Wartość wskaźnika pozostaje od 2009 r. na nie podlegającym znacznym wahaniom wysokim poziomie</w:t>
      </w:r>
    </w:p>
  </w:footnote>
  <w:footnote w:id="99">
    <w:p w14:paraId="1F21659A" w14:textId="2FB1B7CE" w:rsidR="00B14787" w:rsidRPr="00260544" w:rsidRDefault="00B14787" w:rsidP="00A33A7C">
      <w:pPr>
        <w:pStyle w:val="Tekstprzypisudolnego"/>
        <w:jc w:val="both"/>
        <w:rPr>
          <w:rFonts w:asciiTheme="minorHAnsi" w:hAnsiTheme="minorHAnsi" w:cstheme="minorHAnsi"/>
          <w:sz w:val="20"/>
          <w:lang w:val="pl-PL"/>
        </w:rPr>
      </w:pPr>
      <w:r w:rsidRPr="00260544">
        <w:rPr>
          <w:rStyle w:val="Odwoanieprzypisudolnego"/>
          <w:rFonts w:asciiTheme="minorHAnsi" w:hAnsiTheme="minorHAnsi" w:cstheme="minorHAnsi"/>
          <w:sz w:val="20"/>
        </w:rPr>
        <w:footnoteRef/>
      </w:r>
      <w:r w:rsidRPr="00260544">
        <w:rPr>
          <w:rFonts w:asciiTheme="minorHAnsi" w:hAnsiTheme="minorHAnsi" w:cstheme="minorHAnsi"/>
          <w:sz w:val="20"/>
          <w:lang w:val="pl-PL"/>
        </w:rPr>
        <w:t xml:space="preserve"> Kasperowicz A., Wacław B., Wasilewski T. 2017. Program ochrony środowiska dla powiatu nidzickiego na lata 2018-2021 z perspektywą na lata 2022-2025. Instytut Zrównoważonego Rozwoju Sp. z o.o., Białystok, str. 22.</w:t>
      </w:r>
    </w:p>
  </w:footnote>
  <w:footnote w:id="100">
    <w:p w14:paraId="5F4378F2" w14:textId="77777777" w:rsidR="00B14787" w:rsidRPr="00260544" w:rsidRDefault="00B14787" w:rsidP="00A33A7C">
      <w:pPr>
        <w:pStyle w:val="Tekstprzypisudolnego"/>
        <w:spacing w:before="100" w:beforeAutospacing="1" w:after="100" w:afterAutospacing="1" w:line="240" w:lineRule="auto"/>
        <w:contextualSpacing/>
        <w:jc w:val="both"/>
        <w:rPr>
          <w:rFonts w:asciiTheme="minorHAnsi" w:hAnsiTheme="minorHAnsi" w:cstheme="minorHAnsi"/>
          <w:sz w:val="20"/>
          <w:lang w:val="pl-PL"/>
        </w:rPr>
      </w:pPr>
      <w:r w:rsidRPr="00260544">
        <w:rPr>
          <w:rStyle w:val="Odwoanieprzypisudolnego"/>
          <w:rFonts w:asciiTheme="minorHAnsi" w:hAnsiTheme="minorHAnsi" w:cstheme="minorHAnsi"/>
          <w:sz w:val="20"/>
        </w:rPr>
        <w:footnoteRef/>
      </w:r>
      <w:r w:rsidRPr="00260544">
        <w:rPr>
          <w:rFonts w:asciiTheme="minorHAnsi" w:hAnsiTheme="minorHAnsi" w:cstheme="minorHAnsi"/>
          <w:sz w:val="20"/>
          <w:lang w:val="pl-PL"/>
        </w:rPr>
        <w:t xml:space="preserve"> Zakres czasowy analizy zdeterminowany jest dostępnością porównywalnych danych w BDL dla wszystkich powiatów wchodzących w skład Południowych Mazur.</w:t>
      </w:r>
    </w:p>
  </w:footnote>
  <w:footnote w:id="101">
    <w:p w14:paraId="3A83B800" w14:textId="7DAE5F22" w:rsidR="00B14787" w:rsidRPr="00260544" w:rsidRDefault="00B14787" w:rsidP="00F84A3C">
      <w:pPr>
        <w:pStyle w:val="Tekstprzypisudolnego"/>
        <w:spacing w:before="100" w:beforeAutospacing="1" w:after="100" w:afterAutospacing="1" w:line="240" w:lineRule="auto"/>
        <w:contextualSpacing/>
        <w:rPr>
          <w:rFonts w:asciiTheme="minorHAnsi" w:hAnsiTheme="minorHAnsi" w:cstheme="minorHAnsi"/>
          <w:sz w:val="20"/>
          <w:lang w:val="pl-PL"/>
        </w:rPr>
      </w:pPr>
      <w:r w:rsidRPr="00260544">
        <w:rPr>
          <w:rStyle w:val="Odwoanieprzypisudolnego"/>
          <w:rFonts w:asciiTheme="minorHAnsi" w:hAnsiTheme="minorHAnsi" w:cstheme="minorHAnsi"/>
          <w:sz w:val="20"/>
        </w:rPr>
        <w:footnoteRef/>
      </w:r>
      <w:r w:rsidRPr="00260544">
        <w:rPr>
          <w:rFonts w:asciiTheme="minorHAnsi" w:hAnsiTheme="minorHAnsi" w:cstheme="minorHAnsi"/>
          <w:sz w:val="20"/>
          <w:lang w:val="pl-PL"/>
        </w:rPr>
        <w:t xml:space="preserve"> Na potrzeby oceny jakości powietrza województwo warmińsko-mazurskie podzielone jest na trzy strefy: Olsztyn, Elbląg, i „reszta” powierzchni regionu (w tym Południowe Mazury).</w:t>
      </w:r>
    </w:p>
  </w:footnote>
  <w:footnote w:id="102">
    <w:p w14:paraId="6A36BAE7" w14:textId="1ED21CFA" w:rsidR="00B14787" w:rsidRPr="00733091" w:rsidRDefault="00B14787" w:rsidP="00F84A3C">
      <w:pPr>
        <w:spacing w:before="100" w:beforeAutospacing="1" w:after="100" w:afterAutospacing="1" w:line="240" w:lineRule="auto"/>
        <w:contextualSpacing/>
        <w:jc w:val="both"/>
        <w:rPr>
          <w:rFonts w:cstheme="minorHAnsi"/>
          <w:sz w:val="18"/>
          <w:szCs w:val="18"/>
          <w:lang w:val="pl-PL"/>
        </w:rPr>
      </w:pPr>
      <w:r w:rsidRPr="00260544">
        <w:rPr>
          <w:rStyle w:val="Odwoanieprzypisudolnego"/>
          <w:rFonts w:cstheme="minorHAnsi"/>
          <w:sz w:val="20"/>
          <w:szCs w:val="20"/>
        </w:rPr>
        <w:footnoteRef/>
      </w:r>
      <w:r w:rsidRPr="00260544">
        <w:rPr>
          <w:rFonts w:cstheme="minorHAnsi"/>
          <w:sz w:val="20"/>
          <w:szCs w:val="20"/>
          <w:lang w:val="pl-PL"/>
        </w:rPr>
        <w:t xml:space="preserve"> Oceny dokonuje się w odniesieniu do wpływu zanieczyszczeń na zdrowie ludzi i ochronę roślin. </w:t>
      </w:r>
      <w:r>
        <w:rPr>
          <w:rFonts w:cstheme="minorHAnsi"/>
          <w:sz w:val="20"/>
          <w:szCs w:val="20"/>
          <w:lang w:val="pl-PL"/>
        </w:rPr>
        <w:br/>
      </w:r>
      <w:r w:rsidRPr="00260544">
        <w:rPr>
          <w:rFonts w:cstheme="minorHAnsi"/>
          <w:sz w:val="20"/>
          <w:szCs w:val="20"/>
          <w:lang w:val="pl-PL"/>
        </w:rPr>
        <w:t>W pierwszym przypadku ocenia się poziom natężenia 12 substancji, tj.: dwutlenku siarki (SO</w:t>
      </w:r>
      <w:r w:rsidRPr="00260544">
        <w:rPr>
          <w:rFonts w:cstheme="minorHAnsi"/>
          <w:sz w:val="20"/>
          <w:szCs w:val="20"/>
          <w:vertAlign w:val="subscript"/>
          <w:lang w:val="pl-PL"/>
        </w:rPr>
        <w:t>2</w:t>
      </w:r>
      <w:r w:rsidRPr="00260544">
        <w:rPr>
          <w:rFonts w:cstheme="minorHAnsi"/>
          <w:sz w:val="20"/>
          <w:szCs w:val="20"/>
          <w:lang w:val="pl-PL"/>
        </w:rPr>
        <w:t>), dwutlenku azotu (NO</w:t>
      </w:r>
      <w:r w:rsidRPr="00260544">
        <w:rPr>
          <w:rFonts w:cstheme="minorHAnsi"/>
          <w:sz w:val="20"/>
          <w:szCs w:val="20"/>
          <w:vertAlign w:val="subscript"/>
          <w:lang w:val="pl-PL"/>
        </w:rPr>
        <w:t>2</w:t>
      </w:r>
      <w:r w:rsidRPr="00260544">
        <w:rPr>
          <w:rFonts w:cstheme="minorHAnsi"/>
          <w:sz w:val="20"/>
          <w:szCs w:val="20"/>
          <w:lang w:val="pl-PL"/>
        </w:rPr>
        <w:t>), tlenku węgla (CO), benzenu (C</w:t>
      </w:r>
      <w:r w:rsidRPr="00260544">
        <w:rPr>
          <w:rFonts w:cstheme="minorHAnsi"/>
          <w:sz w:val="20"/>
          <w:szCs w:val="20"/>
          <w:vertAlign w:val="subscript"/>
          <w:lang w:val="pl-PL"/>
        </w:rPr>
        <w:t>6</w:t>
      </w:r>
      <w:r w:rsidRPr="00260544">
        <w:rPr>
          <w:rFonts w:cstheme="minorHAnsi"/>
          <w:sz w:val="20"/>
          <w:szCs w:val="20"/>
          <w:lang w:val="pl-PL"/>
        </w:rPr>
        <w:t>H</w:t>
      </w:r>
      <w:r w:rsidRPr="00260544">
        <w:rPr>
          <w:rFonts w:cstheme="minorHAnsi"/>
          <w:sz w:val="20"/>
          <w:szCs w:val="20"/>
          <w:vertAlign w:val="subscript"/>
          <w:lang w:val="pl-PL"/>
        </w:rPr>
        <w:t>6</w:t>
      </w:r>
      <w:r w:rsidRPr="00260544">
        <w:rPr>
          <w:rFonts w:cstheme="minorHAnsi"/>
          <w:sz w:val="20"/>
          <w:szCs w:val="20"/>
          <w:lang w:val="pl-PL"/>
        </w:rPr>
        <w:t>), ozonu (O</w:t>
      </w:r>
      <w:r w:rsidRPr="00260544">
        <w:rPr>
          <w:rFonts w:cstheme="minorHAnsi"/>
          <w:sz w:val="20"/>
          <w:szCs w:val="20"/>
          <w:vertAlign w:val="subscript"/>
          <w:lang w:val="pl-PL"/>
        </w:rPr>
        <w:t>3</w:t>
      </w:r>
      <w:r w:rsidRPr="00260544">
        <w:rPr>
          <w:rFonts w:cstheme="minorHAnsi"/>
          <w:sz w:val="20"/>
          <w:szCs w:val="20"/>
          <w:lang w:val="pl-PL"/>
        </w:rPr>
        <w:t>), pyłu PM10, pyłu PM2,5, ołowiu (Pb) w PM10, arsenu (As) w PM10, kadmu (Cd) w PM10, niklu (Ni) w PM10, benzo(a)pirenu (B(a)P )w PM10. Natomiast w drugim brane są pod uwagę trzy substancje, tj. dwutlenek siarki (SO</w:t>
      </w:r>
      <w:r w:rsidRPr="00260544">
        <w:rPr>
          <w:rFonts w:cstheme="minorHAnsi"/>
          <w:sz w:val="20"/>
          <w:szCs w:val="20"/>
          <w:vertAlign w:val="subscript"/>
          <w:lang w:val="pl-PL"/>
        </w:rPr>
        <w:t>2</w:t>
      </w:r>
      <w:r w:rsidRPr="00260544">
        <w:rPr>
          <w:rFonts w:cstheme="minorHAnsi"/>
          <w:sz w:val="20"/>
          <w:szCs w:val="20"/>
          <w:lang w:val="pl-PL"/>
        </w:rPr>
        <w:t>), tlenki azotu (NO</w:t>
      </w:r>
      <w:r w:rsidRPr="00260544">
        <w:rPr>
          <w:rFonts w:cstheme="minorHAnsi"/>
          <w:sz w:val="20"/>
          <w:szCs w:val="20"/>
          <w:vertAlign w:val="subscript"/>
          <w:lang w:val="pl-PL"/>
        </w:rPr>
        <w:t>X</w:t>
      </w:r>
      <w:r w:rsidRPr="00260544">
        <w:rPr>
          <w:rFonts w:cstheme="minorHAnsi"/>
          <w:sz w:val="20"/>
          <w:szCs w:val="20"/>
          <w:lang w:val="pl-PL"/>
        </w:rPr>
        <w:t>), ozon (O</w:t>
      </w:r>
      <w:r w:rsidRPr="00260544">
        <w:rPr>
          <w:rFonts w:cstheme="minorHAnsi"/>
          <w:sz w:val="20"/>
          <w:szCs w:val="20"/>
          <w:vertAlign w:val="subscript"/>
          <w:lang w:val="pl-PL"/>
        </w:rPr>
        <w:t>3</w:t>
      </w:r>
      <w:r w:rsidRPr="00260544">
        <w:rPr>
          <w:rFonts w:cstheme="minorHAnsi"/>
          <w:sz w:val="20"/>
          <w:szCs w:val="20"/>
          <w:lang w:val="pl-PL"/>
        </w:rPr>
        <w:t>). Stężenie każdej z nich może kształtować się: poniżej dolnego progu oszacowania (klasa 1), pomiędzy górnym i dolnym progiem oszacowania (klasa 2), powyżej górnego progu oszacowania, ale poniżej poziomu dopuszczalnego (klasa 3a), powyżej górnego progu oszacowania i równocześnie powyżej poziomu dopuszczalnego (klasa 3b).</w:t>
      </w:r>
    </w:p>
  </w:footnote>
  <w:footnote w:id="103">
    <w:p w14:paraId="019D0A04" w14:textId="77777777" w:rsidR="00B14787" w:rsidRPr="002B3D05" w:rsidRDefault="00B14787" w:rsidP="00797E0C">
      <w:pPr>
        <w:pStyle w:val="Tekstprzypisudolnego"/>
        <w:spacing w:after="100" w:afterAutospacing="1" w:line="240" w:lineRule="auto"/>
        <w:contextualSpacing/>
        <w:rPr>
          <w:rFonts w:asciiTheme="minorHAnsi" w:hAnsiTheme="minorHAnsi" w:cstheme="minorHAnsi"/>
          <w:sz w:val="20"/>
          <w:lang w:val="pl-PL"/>
        </w:rPr>
      </w:pPr>
      <w:r w:rsidRPr="002B3D05">
        <w:rPr>
          <w:rStyle w:val="Odwoanieprzypisudolnego"/>
          <w:rFonts w:asciiTheme="minorHAnsi" w:hAnsiTheme="minorHAnsi" w:cstheme="minorHAnsi"/>
          <w:sz w:val="20"/>
        </w:rPr>
        <w:footnoteRef/>
      </w:r>
      <w:r w:rsidRPr="002B3D05">
        <w:rPr>
          <w:rFonts w:asciiTheme="minorHAnsi" w:hAnsiTheme="minorHAnsi" w:cstheme="minorHAnsi"/>
          <w:sz w:val="20"/>
          <w:lang w:val="pl-PL"/>
        </w:rPr>
        <w:t xml:space="preserve"> Zakres czasowy analizy zdeterminowany jest dostępnością danych statystycznych w BDL.</w:t>
      </w:r>
    </w:p>
  </w:footnote>
  <w:footnote w:id="104">
    <w:p w14:paraId="0095EFD5" w14:textId="77777777" w:rsidR="00B14787" w:rsidRPr="00733091" w:rsidRDefault="00B14787" w:rsidP="00797E0C">
      <w:pPr>
        <w:pStyle w:val="Tekstprzypisudolnego"/>
        <w:spacing w:after="100" w:afterAutospacing="1" w:line="240" w:lineRule="auto"/>
        <w:contextualSpacing/>
        <w:jc w:val="both"/>
        <w:rPr>
          <w:rFonts w:cstheme="majorHAnsi"/>
          <w:sz w:val="18"/>
          <w:szCs w:val="18"/>
          <w:lang w:val="pl-PL"/>
        </w:rPr>
      </w:pPr>
      <w:r w:rsidRPr="002B3D05">
        <w:rPr>
          <w:rStyle w:val="Odwoanieprzypisudolnego"/>
          <w:rFonts w:asciiTheme="minorHAnsi" w:hAnsiTheme="minorHAnsi" w:cstheme="minorHAnsi"/>
          <w:sz w:val="20"/>
        </w:rPr>
        <w:footnoteRef/>
      </w:r>
      <w:r w:rsidRPr="002B3D05">
        <w:rPr>
          <w:rFonts w:asciiTheme="minorHAnsi" w:hAnsiTheme="minorHAnsi" w:cstheme="minorHAnsi"/>
          <w:sz w:val="20"/>
          <w:lang w:val="pl-PL"/>
        </w:rPr>
        <w:t xml:space="preserve"> Indeksy jednopodstawowe (o stałej podstawie) informują o tym jak zmieniła się wartość zjawiska w danym roku względem okresu bazowego, którym w tym przypadku był 2010 r.</w:t>
      </w:r>
    </w:p>
  </w:footnote>
  <w:footnote w:id="105">
    <w:p w14:paraId="131E7096" w14:textId="77777777" w:rsidR="00B14787" w:rsidRPr="002B3D05" w:rsidRDefault="00B14787" w:rsidP="00797E0C">
      <w:pPr>
        <w:spacing w:before="100" w:beforeAutospacing="1" w:after="100" w:afterAutospacing="1" w:line="240" w:lineRule="auto"/>
        <w:contextualSpacing/>
        <w:jc w:val="both"/>
        <w:rPr>
          <w:rFonts w:cstheme="minorHAnsi"/>
          <w:sz w:val="20"/>
          <w:szCs w:val="20"/>
          <w:lang w:val="pl-PL"/>
        </w:rPr>
      </w:pPr>
      <w:r w:rsidRPr="002B3D05">
        <w:rPr>
          <w:rStyle w:val="Odwoanieprzypisudolnego"/>
          <w:rFonts w:cstheme="minorHAnsi"/>
          <w:sz w:val="20"/>
          <w:szCs w:val="20"/>
        </w:rPr>
        <w:footnoteRef/>
      </w:r>
      <w:r w:rsidRPr="002B3D05">
        <w:rPr>
          <w:rFonts w:cstheme="minorHAnsi"/>
          <w:sz w:val="20"/>
          <w:szCs w:val="20"/>
          <w:lang w:val="pl-PL"/>
        </w:rPr>
        <w:t xml:space="preserve"> Różnica została zniekształcona niekompletnością danych GUS. Szczególnie chodzi tu o wykazany w 2019 r. zerowy</w:t>
      </w:r>
      <w:r w:rsidRPr="00733091">
        <w:rPr>
          <w:rFonts w:cstheme="majorHAnsi"/>
          <w:sz w:val="18"/>
          <w:szCs w:val="18"/>
          <w:lang w:val="pl-PL"/>
        </w:rPr>
        <w:t xml:space="preserve"> poziom wykorzystania wody przez rolnictwo i leśnictwo z powiatu nidzickiego, w efekcie czego raportowane przez </w:t>
      </w:r>
      <w:r w:rsidRPr="002B3D05">
        <w:rPr>
          <w:rFonts w:cstheme="minorHAnsi"/>
          <w:sz w:val="20"/>
          <w:szCs w:val="20"/>
          <w:lang w:val="pl-PL"/>
        </w:rPr>
        <w:t>GUS wykorzystanie wody w przeliczeniu na mieszkańca zmniejszyło się w latach 2010-2019 aż o 64,5%, podczas gdy w pozostałych jednostkach zmiany te mieściły się w przedziale +/- 10%</w:t>
      </w:r>
    </w:p>
  </w:footnote>
  <w:footnote w:id="106">
    <w:p w14:paraId="33354AF4" w14:textId="77777777" w:rsidR="00B14787" w:rsidRPr="00733091" w:rsidRDefault="00B14787" w:rsidP="00797E0C">
      <w:pPr>
        <w:pStyle w:val="Tekstprzypisudolnego"/>
        <w:spacing w:before="100" w:beforeAutospacing="1" w:after="100" w:afterAutospacing="1" w:line="240" w:lineRule="auto"/>
        <w:ind w:left="142" w:firstLine="709"/>
        <w:contextualSpacing/>
        <w:rPr>
          <w:lang w:val="pl-PL"/>
        </w:rPr>
      </w:pPr>
      <w:r w:rsidRPr="002B3D05">
        <w:rPr>
          <w:rStyle w:val="Odwoanieprzypisudolnego"/>
          <w:rFonts w:asciiTheme="minorHAnsi" w:hAnsiTheme="minorHAnsi" w:cstheme="minorHAnsi"/>
          <w:sz w:val="20"/>
        </w:rPr>
        <w:footnoteRef/>
      </w:r>
      <w:r w:rsidRPr="002B3D05">
        <w:rPr>
          <w:rFonts w:asciiTheme="minorHAnsi" w:hAnsiTheme="minorHAnsi" w:cstheme="minorHAnsi"/>
          <w:sz w:val="20"/>
          <w:lang w:val="pl-PL"/>
        </w:rPr>
        <w:t xml:space="preserve"> Szczegółowy opis w Rozdziale 1 opracowania</w:t>
      </w:r>
      <w:r w:rsidRPr="00733091">
        <w:rPr>
          <w:lang w:val="pl-PL"/>
        </w:rPr>
        <w:t xml:space="preserve"> </w:t>
      </w:r>
    </w:p>
  </w:footnote>
  <w:footnote w:id="107">
    <w:p w14:paraId="1E893F4B" w14:textId="77777777" w:rsidR="00B14787" w:rsidRPr="00797E0C" w:rsidRDefault="00B14787" w:rsidP="00797E0C">
      <w:pPr>
        <w:pStyle w:val="Tekstprzypisudolnego"/>
        <w:spacing w:before="100" w:beforeAutospacing="1" w:after="100" w:afterAutospacing="1" w:line="240" w:lineRule="auto"/>
        <w:contextualSpacing/>
        <w:rPr>
          <w:rFonts w:asciiTheme="minorHAnsi" w:hAnsiTheme="minorHAnsi"/>
          <w:sz w:val="20"/>
          <w:lang w:val="pl-PL"/>
        </w:rPr>
      </w:pPr>
      <w:r w:rsidRPr="00797E0C">
        <w:rPr>
          <w:rStyle w:val="Odwoanieprzypisudolnego"/>
          <w:rFonts w:asciiTheme="minorHAnsi" w:hAnsiTheme="minorHAnsi"/>
          <w:sz w:val="20"/>
        </w:rPr>
        <w:footnoteRef/>
      </w:r>
      <w:r w:rsidRPr="00797E0C">
        <w:rPr>
          <w:rFonts w:asciiTheme="minorHAnsi" w:hAnsiTheme="minorHAnsi"/>
          <w:sz w:val="20"/>
          <w:lang w:val="pl-PL"/>
        </w:rPr>
        <w:t xml:space="preserve"> Dynamika zmian (spadek) liczby mieszkańców w okresie 2009-2019 wynosił: w Janowcu Kościelnym: -4,33%, w Janowie: - 5,01%, w Orzyszu: -5,42%, w Rucianem-Nidzie: -3,77%</w:t>
      </w:r>
    </w:p>
  </w:footnote>
  <w:footnote w:id="108">
    <w:p w14:paraId="709BCD64" w14:textId="77777777" w:rsidR="00B14787" w:rsidRPr="002B3D05" w:rsidRDefault="00B14787" w:rsidP="00797E0C">
      <w:pPr>
        <w:pStyle w:val="Tekstprzypisudolnego"/>
        <w:spacing w:before="100" w:beforeAutospacing="1" w:after="100" w:afterAutospacing="1" w:line="240" w:lineRule="auto"/>
        <w:contextualSpacing/>
        <w:rPr>
          <w:rFonts w:asciiTheme="minorHAnsi" w:hAnsiTheme="minorHAnsi" w:cstheme="minorHAnsi"/>
          <w:sz w:val="20"/>
          <w:lang w:val="pl-PL"/>
        </w:rPr>
      </w:pPr>
      <w:r w:rsidRPr="002B3D05">
        <w:rPr>
          <w:rStyle w:val="Odwoanieprzypisudolnego"/>
          <w:rFonts w:asciiTheme="minorHAnsi" w:hAnsiTheme="minorHAnsi" w:cstheme="minorHAnsi"/>
          <w:sz w:val="20"/>
        </w:rPr>
        <w:footnoteRef/>
      </w:r>
      <w:r w:rsidRPr="002B3D05">
        <w:rPr>
          <w:rFonts w:asciiTheme="minorHAnsi" w:hAnsiTheme="minorHAnsi" w:cstheme="minorHAnsi"/>
          <w:sz w:val="20"/>
          <w:lang w:val="pl-PL"/>
        </w:rPr>
        <w:t xml:space="preserve"> Gmina miejska Działdowo, gmina wiejska Działdowo, Iłowo-Osada</w:t>
      </w:r>
    </w:p>
  </w:footnote>
  <w:footnote w:id="109">
    <w:p w14:paraId="242356E3" w14:textId="7EC6E5C2" w:rsidR="00B14787" w:rsidRPr="00733091" w:rsidRDefault="00B14787" w:rsidP="00797E0C">
      <w:pPr>
        <w:pStyle w:val="Tekstprzypisudolnego"/>
        <w:spacing w:before="100" w:beforeAutospacing="1" w:after="100" w:afterAutospacing="1" w:line="240" w:lineRule="auto"/>
        <w:contextualSpacing/>
        <w:jc w:val="both"/>
        <w:rPr>
          <w:sz w:val="18"/>
          <w:szCs w:val="18"/>
          <w:lang w:val="pl-PL"/>
        </w:rPr>
      </w:pPr>
      <w:r w:rsidRPr="002B3D05">
        <w:rPr>
          <w:rStyle w:val="Odwoanieprzypisudolnego"/>
          <w:rFonts w:asciiTheme="minorHAnsi" w:hAnsiTheme="minorHAnsi" w:cstheme="minorHAnsi"/>
          <w:sz w:val="20"/>
        </w:rPr>
        <w:footnoteRef/>
      </w:r>
      <w:r w:rsidRPr="002B3D05">
        <w:rPr>
          <w:rFonts w:asciiTheme="minorHAnsi" w:hAnsiTheme="minorHAnsi" w:cstheme="minorHAnsi"/>
          <w:sz w:val="20"/>
          <w:lang w:val="pl-PL"/>
        </w:rPr>
        <w:t xml:space="preserve"> Na obszarze Południowych Mazur nie były dotychczas prowadzone działania mające na celu zintegrowanie planowania przestrzennego</w:t>
      </w:r>
    </w:p>
  </w:footnote>
  <w:footnote w:id="110">
    <w:p w14:paraId="5DA733EB" w14:textId="235CF55C" w:rsidR="00B14787" w:rsidRPr="002B3D05" w:rsidRDefault="00B14787" w:rsidP="00797E0C">
      <w:pPr>
        <w:pStyle w:val="Tekstprzypisudolnego"/>
        <w:spacing w:before="100" w:beforeAutospacing="1" w:after="100" w:afterAutospacing="1"/>
        <w:contextualSpacing/>
        <w:rPr>
          <w:rFonts w:asciiTheme="minorHAnsi" w:hAnsiTheme="minorHAnsi" w:cstheme="minorHAnsi"/>
          <w:sz w:val="20"/>
          <w:lang w:val="pl-PL"/>
        </w:rPr>
      </w:pPr>
      <w:r w:rsidRPr="002B3D05">
        <w:rPr>
          <w:rStyle w:val="Odwoanieprzypisudolnego"/>
          <w:rFonts w:asciiTheme="minorHAnsi" w:hAnsiTheme="minorHAnsi" w:cstheme="minorHAnsi"/>
          <w:sz w:val="20"/>
        </w:rPr>
        <w:footnoteRef/>
      </w:r>
      <w:hyperlink r:id="rId2" w:history="1">
        <w:r w:rsidRPr="002B3D05">
          <w:rPr>
            <w:rStyle w:val="Hipercze"/>
            <w:rFonts w:asciiTheme="minorHAnsi" w:hAnsiTheme="minorHAnsi" w:cstheme="minorHAnsi"/>
            <w:color w:val="auto"/>
            <w:sz w:val="20"/>
            <w:lang w:val="pl-PL"/>
          </w:rPr>
          <w:t>http://www.ulc.gov.pl/_download/lotniska/regulacje_europejskie/Wykaz_ladowisk_cyw_27_04_2018.pdf</w:t>
        </w:r>
      </w:hyperlink>
      <w:r w:rsidRPr="002B3D05">
        <w:rPr>
          <w:rFonts w:asciiTheme="minorHAnsi" w:hAnsiTheme="minorHAnsi" w:cstheme="minorHAnsi"/>
          <w:sz w:val="20"/>
          <w:lang w:val="pl-PL"/>
        </w:rPr>
        <w:t>; https://lotniska.dlapilota.pl/</w:t>
      </w:r>
    </w:p>
  </w:footnote>
  <w:footnote w:id="111">
    <w:p w14:paraId="017921D8" w14:textId="77777777" w:rsidR="00B14787" w:rsidRPr="002B3D05" w:rsidRDefault="00B14787" w:rsidP="00797E0C">
      <w:pPr>
        <w:spacing w:before="100" w:beforeAutospacing="1" w:after="100" w:afterAutospacing="1" w:line="240" w:lineRule="auto"/>
        <w:contextualSpacing/>
        <w:jc w:val="both"/>
        <w:rPr>
          <w:rFonts w:cstheme="minorHAnsi"/>
          <w:sz w:val="20"/>
          <w:szCs w:val="20"/>
          <w:lang w:val="pl-PL"/>
        </w:rPr>
      </w:pPr>
      <w:r w:rsidRPr="002B3D05">
        <w:rPr>
          <w:rStyle w:val="Odwoanieprzypisudolnego"/>
          <w:rFonts w:cstheme="minorHAnsi"/>
          <w:sz w:val="20"/>
          <w:szCs w:val="20"/>
        </w:rPr>
        <w:footnoteRef/>
      </w:r>
      <w:r w:rsidRPr="002B3D05">
        <w:rPr>
          <w:rFonts w:cstheme="minorHAnsi"/>
          <w:sz w:val="20"/>
          <w:szCs w:val="20"/>
          <w:lang w:val="pl-PL"/>
        </w:rPr>
        <w:t xml:space="preserve"> Analiza relacji funkcjonalno-przestrzennych między ośrodkami miejskimi i ich otoczeniem”, Raport cząstkowy, komponent 3 – Relacje przestrzenne i dostępność komunikacyjna, PAN i Uniwersytet Jagielloński w Krakowie, Kraków, 2019</w:t>
      </w:r>
    </w:p>
  </w:footnote>
  <w:footnote w:id="112">
    <w:p w14:paraId="1F13FF96" w14:textId="77777777" w:rsidR="00B14787" w:rsidRPr="002B3D05" w:rsidRDefault="00B14787" w:rsidP="00797E0C">
      <w:pPr>
        <w:pStyle w:val="Tekstprzypisudolnego"/>
        <w:spacing w:before="100" w:beforeAutospacing="1" w:after="100" w:afterAutospacing="1"/>
        <w:contextualSpacing/>
        <w:rPr>
          <w:rFonts w:asciiTheme="minorHAnsi" w:hAnsiTheme="minorHAnsi" w:cstheme="minorHAnsi"/>
          <w:sz w:val="20"/>
          <w:lang w:val="pl-PL"/>
        </w:rPr>
      </w:pPr>
      <w:r w:rsidRPr="002B3D05">
        <w:rPr>
          <w:rStyle w:val="Odwoanieprzypisudolnego"/>
          <w:rFonts w:asciiTheme="minorHAnsi" w:hAnsiTheme="minorHAnsi" w:cstheme="minorHAnsi"/>
          <w:sz w:val="20"/>
        </w:rPr>
        <w:footnoteRef/>
      </w:r>
      <w:r w:rsidRPr="002B3D05">
        <w:rPr>
          <w:rFonts w:asciiTheme="minorHAnsi" w:hAnsiTheme="minorHAnsi" w:cstheme="minorHAnsi"/>
          <w:sz w:val="20"/>
          <w:lang w:val="pl-PL"/>
        </w:rPr>
        <w:t xml:space="preserve"> Wewnętrzna spójność transportowa</w:t>
      </w:r>
    </w:p>
  </w:footnote>
  <w:footnote w:id="113">
    <w:p w14:paraId="5D40E619" w14:textId="77777777" w:rsidR="00B14787" w:rsidRPr="002B3D05" w:rsidRDefault="00B14787" w:rsidP="00797E0C">
      <w:pPr>
        <w:pStyle w:val="Tekstprzypisudolnego"/>
        <w:spacing w:before="100" w:beforeAutospacing="1" w:after="100" w:afterAutospacing="1" w:line="240" w:lineRule="auto"/>
        <w:contextualSpacing/>
        <w:jc w:val="both"/>
        <w:rPr>
          <w:sz w:val="20"/>
          <w:lang w:val="pl-PL"/>
        </w:rPr>
      </w:pPr>
      <w:r w:rsidRPr="002B3D05">
        <w:rPr>
          <w:rStyle w:val="Odwoanieprzypisudolnego"/>
          <w:rFonts w:asciiTheme="minorHAnsi" w:hAnsiTheme="minorHAnsi" w:cstheme="minorHAnsi"/>
          <w:sz w:val="20"/>
        </w:rPr>
        <w:footnoteRef/>
      </w:r>
      <w:r w:rsidRPr="002B3D05">
        <w:rPr>
          <w:rFonts w:asciiTheme="minorHAnsi" w:hAnsiTheme="minorHAnsi" w:cstheme="minorHAnsi"/>
          <w:sz w:val="20"/>
          <w:lang w:val="pl-PL"/>
        </w:rPr>
        <w:t xml:space="preserve"> Wewnętrzna spójność obszaru Partnerstwa mierzona długością dróg powiatowych i gminnych na 100 km</w:t>
      </w:r>
      <w:r w:rsidRPr="002B3D05">
        <w:rPr>
          <w:rFonts w:asciiTheme="minorHAnsi" w:hAnsiTheme="minorHAnsi" w:cstheme="minorHAnsi"/>
          <w:sz w:val="20"/>
          <w:vertAlign w:val="superscript"/>
          <w:lang w:val="pl-PL"/>
        </w:rPr>
        <w:t xml:space="preserve">2 </w:t>
      </w:r>
      <w:r w:rsidRPr="002B3D05">
        <w:rPr>
          <w:rFonts w:asciiTheme="minorHAnsi" w:hAnsiTheme="minorHAnsi" w:cstheme="minorHAnsi"/>
          <w:sz w:val="20"/>
          <w:lang w:val="pl-PL"/>
        </w:rPr>
        <w:t>pogarsza się od 2009 r.</w:t>
      </w:r>
      <w:r w:rsidRPr="002B3D05">
        <w:rPr>
          <w:sz w:val="20"/>
          <w:lang w:val="pl-PL"/>
        </w:rPr>
        <w:t xml:space="preserve"> </w:t>
      </w:r>
    </w:p>
  </w:footnote>
  <w:footnote w:id="114">
    <w:p w14:paraId="1DC832CD" w14:textId="77777777" w:rsidR="00B14787" w:rsidRPr="002B3D05" w:rsidRDefault="00B14787" w:rsidP="00797E0C">
      <w:pPr>
        <w:spacing w:before="100" w:beforeAutospacing="1" w:after="100" w:afterAutospacing="1" w:line="240" w:lineRule="auto"/>
        <w:contextualSpacing/>
        <w:jc w:val="both"/>
        <w:rPr>
          <w:color w:val="44546A" w:themeColor="text2"/>
          <w:sz w:val="20"/>
          <w:szCs w:val="20"/>
          <w:lang w:val="pl-PL"/>
        </w:rPr>
      </w:pPr>
      <w:r w:rsidRPr="002B3D05">
        <w:rPr>
          <w:rStyle w:val="Odwoanieprzypisudolnego"/>
          <w:sz w:val="20"/>
          <w:szCs w:val="20"/>
        </w:rPr>
        <w:footnoteRef/>
      </w:r>
      <w:r w:rsidRPr="002B3D05">
        <w:rPr>
          <w:sz w:val="20"/>
          <w:szCs w:val="20"/>
          <w:lang w:val="pl-PL"/>
        </w:rPr>
        <w:t xml:space="preserve"> </w:t>
      </w:r>
      <w:r w:rsidRPr="002B3D05">
        <w:rPr>
          <w:color w:val="44546A" w:themeColor="text2"/>
          <w:sz w:val="20"/>
          <w:szCs w:val="20"/>
          <w:lang w:val="pl-PL"/>
        </w:rPr>
        <w:t>„</w:t>
      </w:r>
      <w:r w:rsidRPr="002B3D05">
        <w:rPr>
          <w:sz w:val="20"/>
          <w:szCs w:val="20"/>
          <w:lang w:val="pl-PL"/>
        </w:rPr>
        <w:t>Analiza relacji funkcjonalno-przestrzennych między ośrodkami miejskimi i ich otoczeniem”, Raport cząstkowy, komponent 3 – Relacje przestrzenne i dostępność komunikacyjna, PAN i Uniwersytet Jagielloński w Krakowie, Kraków, 2019</w:t>
      </w:r>
    </w:p>
  </w:footnote>
  <w:footnote w:id="115">
    <w:p w14:paraId="245198DF" w14:textId="34A164A0" w:rsidR="00B14787" w:rsidRPr="00733091" w:rsidRDefault="00B14787" w:rsidP="00797E0C">
      <w:pPr>
        <w:spacing w:before="100" w:beforeAutospacing="1" w:after="100" w:afterAutospacing="1" w:line="240" w:lineRule="auto"/>
        <w:contextualSpacing/>
        <w:jc w:val="both"/>
        <w:rPr>
          <w:rFonts w:cstheme="minorHAnsi"/>
          <w:sz w:val="18"/>
          <w:szCs w:val="18"/>
          <w:lang w:val="pl-PL"/>
        </w:rPr>
      </w:pPr>
      <w:r w:rsidRPr="002B3D05">
        <w:rPr>
          <w:rStyle w:val="Odwoanieprzypisudolnego"/>
          <w:sz w:val="20"/>
          <w:szCs w:val="20"/>
        </w:rPr>
        <w:footnoteRef/>
      </w:r>
      <w:r w:rsidRPr="002B3D05">
        <w:rPr>
          <w:sz w:val="20"/>
          <w:szCs w:val="20"/>
          <w:lang w:val="pl-PL"/>
        </w:rPr>
        <w:t xml:space="preserve"> </w:t>
      </w:r>
      <w:r w:rsidRPr="002B3D05">
        <w:rPr>
          <w:rFonts w:cstheme="minorHAnsi"/>
          <w:sz w:val="20"/>
          <w:szCs w:val="20"/>
          <w:lang w:val="pl-PL"/>
        </w:rPr>
        <w:t>Obsługa komunikacyjna obszaru Partnerstwa odbywa się też przez Regionalny Port Lotniczy Olsztyn-Mazury w Szymanach. We wrześniu 2020 r. obsługiwał on połączenia do Dortmundu, Londynu-Luton, Londynu-Stansted i Krakowa</w:t>
      </w:r>
      <w:r w:rsidRPr="002B3D05">
        <w:rPr>
          <w:rStyle w:val="Odwoanieprzypisudolnego"/>
          <w:rFonts w:cstheme="minorHAnsi"/>
          <w:sz w:val="20"/>
          <w:szCs w:val="20"/>
        </w:rPr>
        <w:footnoteRef/>
      </w:r>
      <w:r w:rsidRPr="002B3D05">
        <w:rPr>
          <w:rFonts w:cstheme="minorHAnsi"/>
          <w:sz w:val="20"/>
          <w:szCs w:val="20"/>
          <w:lang w:val="pl-PL"/>
        </w:rPr>
        <w:t>. Jednakże z uwagi na to, że dla dostępności komunikacyjnej Partnerstwa wsystemie zbiorowego transportu publicznego lotnisko w Szymanach nie ma obecnie większego</w:t>
      </w:r>
      <w:r>
        <w:rPr>
          <w:rFonts w:cstheme="minorHAnsi"/>
          <w:sz w:val="20"/>
          <w:szCs w:val="20"/>
          <w:lang w:val="pl-PL"/>
        </w:rPr>
        <w:t xml:space="preserve"> </w:t>
      </w:r>
      <w:r w:rsidRPr="002B3D05">
        <w:rPr>
          <w:rFonts w:cstheme="minorHAnsi"/>
          <w:sz w:val="20"/>
          <w:szCs w:val="20"/>
          <w:lang w:val="pl-PL"/>
        </w:rPr>
        <w:t>znaczenia pominięto je w analizie dostępności komunikacyjnej obszaru Partnerstwa.</w:t>
      </w:r>
      <w:r w:rsidRPr="00733091">
        <w:rPr>
          <w:rFonts w:cstheme="minorHAnsi"/>
          <w:sz w:val="18"/>
          <w:szCs w:val="18"/>
          <w:lang w:val="pl-PL"/>
        </w:rPr>
        <w:t xml:space="preserve"> </w:t>
      </w:r>
    </w:p>
  </w:footnote>
  <w:footnote w:id="116">
    <w:p w14:paraId="019ED168" w14:textId="013E3AC2" w:rsidR="00B14787" w:rsidRPr="00E74850" w:rsidRDefault="00B14787" w:rsidP="00E74850">
      <w:pPr>
        <w:spacing w:before="100" w:beforeAutospacing="1" w:after="100" w:afterAutospacing="1" w:line="240" w:lineRule="auto"/>
        <w:contextualSpacing/>
        <w:jc w:val="both"/>
        <w:rPr>
          <w:rFonts w:cstheme="minorHAnsi"/>
          <w:sz w:val="20"/>
          <w:szCs w:val="20"/>
          <w:lang w:val="pl-PL"/>
        </w:rPr>
      </w:pPr>
      <w:r w:rsidRPr="002B3D05">
        <w:rPr>
          <w:rStyle w:val="Odwoanieprzypisudolnego"/>
          <w:rFonts w:cstheme="minorHAnsi"/>
          <w:sz w:val="20"/>
          <w:szCs w:val="20"/>
        </w:rPr>
        <w:footnoteRef/>
      </w:r>
      <w:r w:rsidRPr="002B3D05">
        <w:rPr>
          <w:rFonts w:cstheme="minorHAnsi"/>
          <w:sz w:val="20"/>
          <w:szCs w:val="20"/>
          <w:lang w:val="pl-PL"/>
        </w:rPr>
        <w:t xml:space="preserve"> Analiza relacji funkcjonalno-przestrzennych między ośrodkami miejskimi i ich otoczeniem”, Raport cząstkowy, komponent 3 – Relacje przestrzenne i dostępność komunikacyjna, PAN i Uniwersytet Jagielloński w Krakowie, Kraków, 2019</w:t>
      </w:r>
    </w:p>
  </w:footnote>
  <w:footnote w:id="117">
    <w:p w14:paraId="44D43941" w14:textId="77777777" w:rsidR="00B14787" w:rsidRPr="002B3D05" w:rsidRDefault="00B14787" w:rsidP="00797E0C">
      <w:pPr>
        <w:pStyle w:val="Tekstprzypisudolnego"/>
        <w:rPr>
          <w:rFonts w:asciiTheme="minorHAnsi" w:hAnsiTheme="minorHAnsi" w:cstheme="minorHAnsi"/>
          <w:sz w:val="20"/>
          <w:lang w:val="pl-PL"/>
        </w:rPr>
      </w:pPr>
      <w:r w:rsidRPr="002B3D05">
        <w:rPr>
          <w:rStyle w:val="Odwoanieprzypisudolnego"/>
          <w:rFonts w:asciiTheme="minorHAnsi" w:hAnsiTheme="minorHAnsi" w:cstheme="minorHAnsi"/>
          <w:sz w:val="20"/>
        </w:rPr>
        <w:footnoteRef/>
      </w:r>
      <w:r w:rsidRPr="002B3D05">
        <w:rPr>
          <w:rFonts w:asciiTheme="minorHAnsi" w:hAnsiTheme="minorHAnsi" w:cstheme="minorHAnsi"/>
          <w:sz w:val="20"/>
          <w:lang w:val="pl-PL"/>
        </w:rPr>
        <w:t xml:space="preserve"> Wyniki badania ankietowego gmin wchodzących w skład Partnerstwa w lutym 2021 r.  </w:t>
      </w:r>
    </w:p>
  </w:footnote>
  <w:footnote w:id="118">
    <w:p w14:paraId="78F48AC3" w14:textId="77777777" w:rsidR="00B14787" w:rsidRPr="00111213" w:rsidRDefault="00B14787" w:rsidP="009938EA">
      <w:pPr>
        <w:pStyle w:val="Tekstprzypisudolnego"/>
        <w:rPr>
          <w:rFonts w:asciiTheme="minorHAnsi" w:hAnsiTheme="minorHAnsi" w:cstheme="minorHAnsi"/>
          <w:sz w:val="20"/>
          <w:lang w:val="pl-PL"/>
        </w:rPr>
      </w:pPr>
      <w:r w:rsidRPr="00111213">
        <w:rPr>
          <w:rStyle w:val="Odwoanieprzypisudolnego"/>
          <w:rFonts w:asciiTheme="minorHAnsi" w:hAnsiTheme="minorHAnsi" w:cstheme="minorHAnsi"/>
          <w:sz w:val="20"/>
        </w:rPr>
        <w:footnoteRef/>
      </w:r>
      <w:r w:rsidRPr="00111213">
        <w:rPr>
          <w:rFonts w:asciiTheme="minorHAnsi" w:hAnsiTheme="minorHAnsi" w:cstheme="minorHAnsi"/>
          <w:sz w:val="20"/>
          <w:lang w:val="pl-PL"/>
        </w:rPr>
        <w:t xml:space="preserve"> Efektywność realizacyjna Partnerstwa opisana w Rozdziale 2.2.5.4</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083E27" w14:textId="77777777" w:rsidR="00B14787" w:rsidRDefault="00B14787">
    <w:pPr>
      <w:pStyle w:val="Nagwek"/>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8FAF5A" w14:textId="77777777" w:rsidR="00B14787" w:rsidRDefault="00B14787" w:rsidP="00014B46">
    <w:pPr>
      <w:pStyle w:val="elementgraficznytabela"/>
      <w:jc w:val="righ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0FA715" w14:textId="77777777" w:rsidR="00B14787" w:rsidRDefault="00B14787">
    <w:pPr>
      <w:pStyle w:val="Nagwek"/>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68" type="#_x0000_t75" style="width:11.4pt;height:11.4pt" o:bullet="t">
        <v:imagedata r:id="rId1" o:title="mso91AC"/>
      </v:shape>
    </w:pict>
  </w:numPicBullet>
  <w:numPicBullet w:numPicBulletId="1">
    <w:pict>
      <v:shape id="_x0000_i1069" type="#_x0000_t75" style="width:11.4pt;height:11.4pt" o:bullet="t">
        <v:imagedata r:id="rId2" o:title="msoF8CE"/>
      </v:shape>
    </w:pict>
  </w:numPicBullet>
  <w:abstractNum w:abstractNumId="0" w15:restartNumberingAfterBreak="0">
    <w:nsid w:val="01B81C15"/>
    <w:multiLevelType w:val="hybridMultilevel"/>
    <w:tmpl w:val="BFA47A4E"/>
    <w:lvl w:ilvl="0" w:tplc="04150003">
      <w:start w:val="1"/>
      <w:numFmt w:val="bullet"/>
      <w:lvlText w:val="o"/>
      <w:lvlJc w:val="left"/>
      <w:pPr>
        <w:ind w:left="720" w:hanging="360"/>
      </w:pPr>
      <w:rPr>
        <w:rFonts w:ascii="Courier New" w:hAnsi="Courier New" w:cs="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15:restartNumberingAfterBreak="0">
    <w:nsid w:val="04DD4BC8"/>
    <w:multiLevelType w:val="hybridMultilevel"/>
    <w:tmpl w:val="0264384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06CB555D"/>
    <w:multiLevelType w:val="hybridMultilevel"/>
    <w:tmpl w:val="3FDC2F6A"/>
    <w:lvl w:ilvl="0" w:tplc="5344EAAE">
      <w:start w:val="1"/>
      <w:numFmt w:val="bullet"/>
      <w:lvlText w:val="-"/>
      <w:lvlJc w:val="left"/>
      <w:pPr>
        <w:ind w:left="1130" w:hanging="360"/>
      </w:pPr>
      <w:rPr>
        <w:rFonts w:ascii="Times New Roman" w:hAnsi="Times New Roman" w:cs="Times New Roman" w:hint="default"/>
        <w:b w:val="0"/>
        <w:i w:val="0"/>
        <w:sz w:val="24"/>
      </w:rPr>
    </w:lvl>
    <w:lvl w:ilvl="1" w:tplc="04150003" w:tentative="1">
      <w:start w:val="1"/>
      <w:numFmt w:val="bullet"/>
      <w:lvlText w:val="o"/>
      <w:lvlJc w:val="left"/>
      <w:pPr>
        <w:ind w:left="1850" w:hanging="360"/>
      </w:pPr>
      <w:rPr>
        <w:rFonts w:ascii="Courier New" w:hAnsi="Courier New" w:cs="Courier New" w:hint="default"/>
      </w:rPr>
    </w:lvl>
    <w:lvl w:ilvl="2" w:tplc="04150005" w:tentative="1">
      <w:start w:val="1"/>
      <w:numFmt w:val="bullet"/>
      <w:lvlText w:val=""/>
      <w:lvlJc w:val="left"/>
      <w:pPr>
        <w:ind w:left="2570" w:hanging="360"/>
      </w:pPr>
      <w:rPr>
        <w:rFonts w:ascii="Wingdings" w:hAnsi="Wingdings" w:hint="default"/>
      </w:rPr>
    </w:lvl>
    <w:lvl w:ilvl="3" w:tplc="04150001" w:tentative="1">
      <w:start w:val="1"/>
      <w:numFmt w:val="bullet"/>
      <w:lvlText w:val=""/>
      <w:lvlJc w:val="left"/>
      <w:pPr>
        <w:ind w:left="3290" w:hanging="360"/>
      </w:pPr>
      <w:rPr>
        <w:rFonts w:ascii="Symbol" w:hAnsi="Symbol" w:hint="default"/>
      </w:rPr>
    </w:lvl>
    <w:lvl w:ilvl="4" w:tplc="04150003" w:tentative="1">
      <w:start w:val="1"/>
      <w:numFmt w:val="bullet"/>
      <w:lvlText w:val="o"/>
      <w:lvlJc w:val="left"/>
      <w:pPr>
        <w:ind w:left="4010" w:hanging="360"/>
      </w:pPr>
      <w:rPr>
        <w:rFonts w:ascii="Courier New" w:hAnsi="Courier New" w:cs="Courier New" w:hint="default"/>
      </w:rPr>
    </w:lvl>
    <w:lvl w:ilvl="5" w:tplc="04150005" w:tentative="1">
      <w:start w:val="1"/>
      <w:numFmt w:val="bullet"/>
      <w:lvlText w:val=""/>
      <w:lvlJc w:val="left"/>
      <w:pPr>
        <w:ind w:left="4730" w:hanging="360"/>
      </w:pPr>
      <w:rPr>
        <w:rFonts w:ascii="Wingdings" w:hAnsi="Wingdings" w:hint="default"/>
      </w:rPr>
    </w:lvl>
    <w:lvl w:ilvl="6" w:tplc="04150001" w:tentative="1">
      <w:start w:val="1"/>
      <w:numFmt w:val="bullet"/>
      <w:lvlText w:val=""/>
      <w:lvlJc w:val="left"/>
      <w:pPr>
        <w:ind w:left="5450" w:hanging="360"/>
      </w:pPr>
      <w:rPr>
        <w:rFonts w:ascii="Symbol" w:hAnsi="Symbol" w:hint="default"/>
      </w:rPr>
    </w:lvl>
    <w:lvl w:ilvl="7" w:tplc="04150003" w:tentative="1">
      <w:start w:val="1"/>
      <w:numFmt w:val="bullet"/>
      <w:lvlText w:val="o"/>
      <w:lvlJc w:val="left"/>
      <w:pPr>
        <w:ind w:left="6170" w:hanging="360"/>
      </w:pPr>
      <w:rPr>
        <w:rFonts w:ascii="Courier New" w:hAnsi="Courier New" w:cs="Courier New" w:hint="default"/>
      </w:rPr>
    </w:lvl>
    <w:lvl w:ilvl="8" w:tplc="04150005" w:tentative="1">
      <w:start w:val="1"/>
      <w:numFmt w:val="bullet"/>
      <w:lvlText w:val=""/>
      <w:lvlJc w:val="left"/>
      <w:pPr>
        <w:ind w:left="6890" w:hanging="360"/>
      </w:pPr>
      <w:rPr>
        <w:rFonts w:ascii="Wingdings" w:hAnsi="Wingdings" w:hint="default"/>
      </w:rPr>
    </w:lvl>
  </w:abstractNum>
  <w:abstractNum w:abstractNumId="3" w15:restartNumberingAfterBreak="0">
    <w:nsid w:val="078076D8"/>
    <w:multiLevelType w:val="hybridMultilevel"/>
    <w:tmpl w:val="1CDA50C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0EE4776D"/>
    <w:multiLevelType w:val="hybridMultilevel"/>
    <w:tmpl w:val="B5AC3242"/>
    <w:lvl w:ilvl="0" w:tplc="04150007">
      <w:start w:val="1"/>
      <w:numFmt w:val="bullet"/>
      <w:lvlText w:val=""/>
      <w:lvlPicBulletId w:val="0"/>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1119299F"/>
    <w:multiLevelType w:val="hybridMultilevel"/>
    <w:tmpl w:val="FAD8D420"/>
    <w:lvl w:ilvl="0" w:tplc="04150007">
      <w:start w:val="1"/>
      <w:numFmt w:val="bullet"/>
      <w:lvlText w:val=""/>
      <w:lvlPicBulletId w:val="0"/>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14D575DB"/>
    <w:multiLevelType w:val="hybridMultilevel"/>
    <w:tmpl w:val="2AC6321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16237F54"/>
    <w:multiLevelType w:val="multilevel"/>
    <w:tmpl w:val="3AEE0868"/>
    <w:lvl w:ilvl="0">
      <w:start w:val="1"/>
      <w:numFmt w:val="decimal"/>
      <w:pStyle w:val="Nagwek1"/>
      <w:lvlText w:val="%1."/>
      <w:lvlJc w:val="left"/>
      <w:pPr>
        <w:ind w:left="360" w:hanging="360"/>
      </w:pPr>
      <w:rPr>
        <w:rFonts w:hint="default"/>
      </w:rPr>
    </w:lvl>
    <w:lvl w:ilvl="1">
      <w:start w:val="1"/>
      <w:numFmt w:val="decimal"/>
      <w:pStyle w:val="Nagwek2"/>
      <w:isLgl/>
      <w:lvlText w:val="%1.%2."/>
      <w:lvlJc w:val="left"/>
      <w:pPr>
        <w:ind w:left="1080" w:hanging="720"/>
      </w:pPr>
      <w:rPr>
        <w:rFonts w:hint="default"/>
      </w:rPr>
    </w:lvl>
    <w:lvl w:ilvl="2">
      <w:start w:val="1"/>
      <w:numFmt w:val="decimal"/>
      <w:pStyle w:val="Nagwek3"/>
      <w:isLgl/>
      <w:lvlText w:val="%1.%2.%3."/>
      <w:lvlJc w:val="left"/>
      <w:pPr>
        <w:ind w:left="4690" w:hanging="720"/>
      </w:pPr>
      <w:rPr>
        <w:rFonts w:hint="default"/>
      </w:rPr>
    </w:lvl>
    <w:lvl w:ilvl="3">
      <w:start w:val="1"/>
      <w:numFmt w:val="decimal"/>
      <w:pStyle w:val="Nagwek4"/>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8" w15:restartNumberingAfterBreak="0">
    <w:nsid w:val="18634F23"/>
    <w:multiLevelType w:val="hybridMultilevel"/>
    <w:tmpl w:val="D17632D0"/>
    <w:lvl w:ilvl="0" w:tplc="04150007">
      <w:start w:val="1"/>
      <w:numFmt w:val="bullet"/>
      <w:lvlText w:val=""/>
      <w:lvlPicBulletId w:val="0"/>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1BA9664F"/>
    <w:multiLevelType w:val="hybridMultilevel"/>
    <w:tmpl w:val="0A34E9C2"/>
    <w:lvl w:ilvl="0" w:tplc="04150007">
      <w:start w:val="1"/>
      <w:numFmt w:val="bullet"/>
      <w:lvlText w:val=""/>
      <w:lvlPicBulletId w:val="0"/>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1E141F01"/>
    <w:multiLevelType w:val="hybridMultilevel"/>
    <w:tmpl w:val="599C123E"/>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1" w15:restartNumberingAfterBreak="0">
    <w:nsid w:val="1E583AE3"/>
    <w:multiLevelType w:val="hybridMultilevel"/>
    <w:tmpl w:val="274271EA"/>
    <w:lvl w:ilvl="0" w:tplc="04150007">
      <w:start w:val="1"/>
      <w:numFmt w:val="bullet"/>
      <w:lvlText w:val=""/>
      <w:lvlPicBulletId w:val="0"/>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1F830C00"/>
    <w:multiLevelType w:val="hybridMultilevel"/>
    <w:tmpl w:val="F384B89C"/>
    <w:lvl w:ilvl="0" w:tplc="04150007">
      <w:start w:val="1"/>
      <w:numFmt w:val="bullet"/>
      <w:lvlText w:val=""/>
      <w:lvlPicBulletId w:val="0"/>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21C37F3B"/>
    <w:multiLevelType w:val="hybridMultilevel"/>
    <w:tmpl w:val="BF7CA1C6"/>
    <w:lvl w:ilvl="0" w:tplc="04150007">
      <w:start w:val="1"/>
      <w:numFmt w:val="bullet"/>
      <w:lvlText w:val=""/>
      <w:lvlPicBulletId w:val="1"/>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248C4011"/>
    <w:multiLevelType w:val="hybridMultilevel"/>
    <w:tmpl w:val="0FF80E36"/>
    <w:lvl w:ilvl="0" w:tplc="04150001">
      <w:start w:val="1"/>
      <w:numFmt w:val="bullet"/>
      <w:lvlText w:val=""/>
      <w:lvlJc w:val="left"/>
      <w:pPr>
        <w:ind w:left="720" w:hanging="360"/>
      </w:pPr>
      <w:rPr>
        <w:rFonts w:ascii="Symbol" w:hAnsi="Symbo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 w15:restartNumberingAfterBreak="0">
    <w:nsid w:val="24A046A1"/>
    <w:multiLevelType w:val="hybridMultilevel"/>
    <w:tmpl w:val="829C3D3C"/>
    <w:lvl w:ilvl="0" w:tplc="04150007">
      <w:start w:val="1"/>
      <w:numFmt w:val="bullet"/>
      <w:lvlText w:val=""/>
      <w:lvlPicBulletId w:val="1"/>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27A05A31"/>
    <w:multiLevelType w:val="multilevel"/>
    <w:tmpl w:val="2EDCF7AE"/>
    <w:lvl w:ilvl="0">
      <w:start w:val="1"/>
      <w:numFmt w:val="decimal"/>
      <w:pStyle w:val="Tytu"/>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800" w:hanging="144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880" w:hanging="2520"/>
      </w:pPr>
      <w:rPr>
        <w:rFonts w:hint="default"/>
      </w:rPr>
    </w:lvl>
    <w:lvl w:ilvl="8">
      <w:start w:val="1"/>
      <w:numFmt w:val="decimal"/>
      <w:isLgl/>
      <w:lvlText w:val="%1.%2.%3.%4.%5.%6.%7.%8.%9."/>
      <w:lvlJc w:val="left"/>
      <w:pPr>
        <w:ind w:left="2880" w:hanging="2520"/>
      </w:pPr>
      <w:rPr>
        <w:rFonts w:hint="default"/>
      </w:rPr>
    </w:lvl>
  </w:abstractNum>
  <w:abstractNum w:abstractNumId="17" w15:restartNumberingAfterBreak="0">
    <w:nsid w:val="287E2B86"/>
    <w:multiLevelType w:val="hybridMultilevel"/>
    <w:tmpl w:val="E47CF1F4"/>
    <w:lvl w:ilvl="0" w:tplc="04150007">
      <w:start w:val="1"/>
      <w:numFmt w:val="bullet"/>
      <w:lvlText w:val=""/>
      <w:lvlPicBulletId w:val="0"/>
      <w:lvlJc w:val="left"/>
      <w:pPr>
        <w:ind w:left="899" w:hanging="360"/>
      </w:pPr>
      <w:rPr>
        <w:rFonts w:ascii="Symbol" w:hAnsi="Symbol" w:hint="default"/>
      </w:rPr>
    </w:lvl>
    <w:lvl w:ilvl="1" w:tplc="04150003" w:tentative="1">
      <w:start w:val="1"/>
      <w:numFmt w:val="bullet"/>
      <w:lvlText w:val="o"/>
      <w:lvlJc w:val="left"/>
      <w:pPr>
        <w:ind w:left="1619" w:hanging="360"/>
      </w:pPr>
      <w:rPr>
        <w:rFonts w:ascii="Courier New" w:hAnsi="Courier New" w:cs="Courier New" w:hint="default"/>
      </w:rPr>
    </w:lvl>
    <w:lvl w:ilvl="2" w:tplc="04150005" w:tentative="1">
      <w:start w:val="1"/>
      <w:numFmt w:val="bullet"/>
      <w:lvlText w:val=""/>
      <w:lvlJc w:val="left"/>
      <w:pPr>
        <w:ind w:left="2339" w:hanging="360"/>
      </w:pPr>
      <w:rPr>
        <w:rFonts w:ascii="Wingdings" w:hAnsi="Wingdings" w:hint="default"/>
      </w:rPr>
    </w:lvl>
    <w:lvl w:ilvl="3" w:tplc="04150001" w:tentative="1">
      <w:start w:val="1"/>
      <w:numFmt w:val="bullet"/>
      <w:lvlText w:val=""/>
      <w:lvlJc w:val="left"/>
      <w:pPr>
        <w:ind w:left="3059" w:hanging="360"/>
      </w:pPr>
      <w:rPr>
        <w:rFonts w:ascii="Symbol" w:hAnsi="Symbol" w:hint="default"/>
      </w:rPr>
    </w:lvl>
    <w:lvl w:ilvl="4" w:tplc="04150003" w:tentative="1">
      <w:start w:val="1"/>
      <w:numFmt w:val="bullet"/>
      <w:lvlText w:val="o"/>
      <w:lvlJc w:val="left"/>
      <w:pPr>
        <w:ind w:left="3779" w:hanging="360"/>
      </w:pPr>
      <w:rPr>
        <w:rFonts w:ascii="Courier New" w:hAnsi="Courier New" w:cs="Courier New" w:hint="default"/>
      </w:rPr>
    </w:lvl>
    <w:lvl w:ilvl="5" w:tplc="04150005" w:tentative="1">
      <w:start w:val="1"/>
      <w:numFmt w:val="bullet"/>
      <w:lvlText w:val=""/>
      <w:lvlJc w:val="left"/>
      <w:pPr>
        <w:ind w:left="4499" w:hanging="360"/>
      </w:pPr>
      <w:rPr>
        <w:rFonts w:ascii="Wingdings" w:hAnsi="Wingdings" w:hint="default"/>
      </w:rPr>
    </w:lvl>
    <w:lvl w:ilvl="6" w:tplc="04150001" w:tentative="1">
      <w:start w:val="1"/>
      <w:numFmt w:val="bullet"/>
      <w:lvlText w:val=""/>
      <w:lvlJc w:val="left"/>
      <w:pPr>
        <w:ind w:left="5219" w:hanging="360"/>
      </w:pPr>
      <w:rPr>
        <w:rFonts w:ascii="Symbol" w:hAnsi="Symbol" w:hint="default"/>
      </w:rPr>
    </w:lvl>
    <w:lvl w:ilvl="7" w:tplc="04150003" w:tentative="1">
      <w:start w:val="1"/>
      <w:numFmt w:val="bullet"/>
      <w:lvlText w:val="o"/>
      <w:lvlJc w:val="left"/>
      <w:pPr>
        <w:ind w:left="5939" w:hanging="360"/>
      </w:pPr>
      <w:rPr>
        <w:rFonts w:ascii="Courier New" w:hAnsi="Courier New" w:cs="Courier New" w:hint="default"/>
      </w:rPr>
    </w:lvl>
    <w:lvl w:ilvl="8" w:tplc="04150005" w:tentative="1">
      <w:start w:val="1"/>
      <w:numFmt w:val="bullet"/>
      <w:lvlText w:val=""/>
      <w:lvlJc w:val="left"/>
      <w:pPr>
        <w:ind w:left="6659" w:hanging="360"/>
      </w:pPr>
      <w:rPr>
        <w:rFonts w:ascii="Wingdings" w:hAnsi="Wingdings" w:hint="default"/>
      </w:rPr>
    </w:lvl>
  </w:abstractNum>
  <w:abstractNum w:abstractNumId="18" w15:restartNumberingAfterBreak="0">
    <w:nsid w:val="29BE1909"/>
    <w:multiLevelType w:val="hybridMultilevel"/>
    <w:tmpl w:val="0D92F258"/>
    <w:lvl w:ilvl="0" w:tplc="7D941B46">
      <w:start w:val="1"/>
      <w:numFmt w:val="bullet"/>
      <w:pStyle w:val="Akapitzlist"/>
      <w:lvlText w:val=""/>
      <w:lvlJc w:val="left"/>
      <w:pPr>
        <w:ind w:left="2639" w:hanging="360"/>
      </w:pPr>
      <w:rPr>
        <w:rFonts w:ascii="Symbol" w:hAnsi="Symbol" w:hint="default"/>
      </w:rPr>
    </w:lvl>
    <w:lvl w:ilvl="1" w:tplc="04150003" w:tentative="1">
      <w:start w:val="1"/>
      <w:numFmt w:val="bullet"/>
      <w:lvlText w:val="o"/>
      <w:lvlJc w:val="left"/>
      <w:pPr>
        <w:ind w:left="3359" w:hanging="360"/>
      </w:pPr>
      <w:rPr>
        <w:rFonts w:ascii="Courier New" w:hAnsi="Courier New" w:cs="Courier New" w:hint="default"/>
      </w:rPr>
    </w:lvl>
    <w:lvl w:ilvl="2" w:tplc="04150005" w:tentative="1">
      <w:start w:val="1"/>
      <w:numFmt w:val="bullet"/>
      <w:lvlText w:val=""/>
      <w:lvlJc w:val="left"/>
      <w:pPr>
        <w:ind w:left="4079" w:hanging="360"/>
      </w:pPr>
      <w:rPr>
        <w:rFonts w:ascii="Wingdings" w:hAnsi="Wingdings" w:hint="default"/>
      </w:rPr>
    </w:lvl>
    <w:lvl w:ilvl="3" w:tplc="04150001" w:tentative="1">
      <w:start w:val="1"/>
      <w:numFmt w:val="bullet"/>
      <w:lvlText w:val=""/>
      <w:lvlJc w:val="left"/>
      <w:pPr>
        <w:ind w:left="4799" w:hanging="360"/>
      </w:pPr>
      <w:rPr>
        <w:rFonts w:ascii="Symbol" w:hAnsi="Symbol" w:hint="default"/>
      </w:rPr>
    </w:lvl>
    <w:lvl w:ilvl="4" w:tplc="04150003" w:tentative="1">
      <w:start w:val="1"/>
      <w:numFmt w:val="bullet"/>
      <w:lvlText w:val="o"/>
      <w:lvlJc w:val="left"/>
      <w:pPr>
        <w:ind w:left="5519" w:hanging="360"/>
      </w:pPr>
      <w:rPr>
        <w:rFonts w:ascii="Courier New" w:hAnsi="Courier New" w:cs="Courier New" w:hint="default"/>
      </w:rPr>
    </w:lvl>
    <w:lvl w:ilvl="5" w:tplc="04150005" w:tentative="1">
      <w:start w:val="1"/>
      <w:numFmt w:val="bullet"/>
      <w:lvlText w:val=""/>
      <w:lvlJc w:val="left"/>
      <w:pPr>
        <w:ind w:left="6239" w:hanging="360"/>
      </w:pPr>
      <w:rPr>
        <w:rFonts w:ascii="Wingdings" w:hAnsi="Wingdings" w:hint="default"/>
      </w:rPr>
    </w:lvl>
    <w:lvl w:ilvl="6" w:tplc="04150001" w:tentative="1">
      <w:start w:val="1"/>
      <w:numFmt w:val="bullet"/>
      <w:lvlText w:val=""/>
      <w:lvlJc w:val="left"/>
      <w:pPr>
        <w:ind w:left="6959" w:hanging="360"/>
      </w:pPr>
      <w:rPr>
        <w:rFonts w:ascii="Symbol" w:hAnsi="Symbol" w:hint="default"/>
      </w:rPr>
    </w:lvl>
    <w:lvl w:ilvl="7" w:tplc="04150003" w:tentative="1">
      <w:start w:val="1"/>
      <w:numFmt w:val="bullet"/>
      <w:lvlText w:val="o"/>
      <w:lvlJc w:val="left"/>
      <w:pPr>
        <w:ind w:left="7679" w:hanging="360"/>
      </w:pPr>
      <w:rPr>
        <w:rFonts w:ascii="Courier New" w:hAnsi="Courier New" w:cs="Courier New" w:hint="default"/>
      </w:rPr>
    </w:lvl>
    <w:lvl w:ilvl="8" w:tplc="04150005" w:tentative="1">
      <w:start w:val="1"/>
      <w:numFmt w:val="bullet"/>
      <w:lvlText w:val=""/>
      <w:lvlJc w:val="left"/>
      <w:pPr>
        <w:ind w:left="8399" w:hanging="360"/>
      </w:pPr>
      <w:rPr>
        <w:rFonts w:ascii="Wingdings" w:hAnsi="Wingdings" w:hint="default"/>
      </w:rPr>
    </w:lvl>
  </w:abstractNum>
  <w:abstractNum w:abstractNumId="19" w15:restartNumberingAfterBreak="0">
    <w:nsid w:val="2A6230BE"/>
    <w:multiLevelType w:val="hybridMultilevel"/>
    <w:tmpl w:val="451807CC"/>
    <w:lvl w:ilvl="0" w:tplc="04150007">
      <w:start w:val="1"/>
      <w:numFmt w:val="bullet"/>
      <w:lvlText w:val=""/>
      <w:lvlPicBulletId w:val="0"/>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2ACE658F"/>
    <w:multiLevelType w:val="hybridMultilevel"/>
    <w:tmpl w:val="EF5ADCDA"/>
    <w:lvl w:ilvl="0" w:tplc="04150007">
      <w:start w:val="1"/>
      <w:numFmt w:val="bullet"/>
      <w:lvlText w:val=""/>
      <w:lvlPicBulletId w:val="0"/>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31D73A41"/>
    <w:multiLevelType w:val="hybridMultilevel"/>
    <w:tmpl w:val="3368A85E"/>
    <w:lvl w:ilvl="0" w:tplc="04150007">
      <w:start w:val="1"/>
      <w:numFmt w:val="bullet"/>
      <w:lvlText w:val=""/>
      <w:lvlPicBulletId w:val="0"/>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32AB0CE1"/>
    <w:multiLevelType w:val="hybridMultilevel"/>
    <w:tmpl w:val="66D800A8"/>
    <w:lvl w:ilvl="0" w:tplc="04150007">
      <w:start w:val="1"/>
      <w:numFmt w:val="bullet"/>
      <w:lvlText w:val=""/>
      <w:lvlPicBulletId w:val="0"/>
      <w:lvlJc w:val="left"/>
      <w:pPr>
        <w:ind w:left="1572" w:hanging="360"/>
      </w:pPr>
      <w:rPr>
        <w:rFonts w:ascii="Symbol" w:hAnsi="Symbol" w:hint="default"/>
      </w:rPr>
    </w:lvl>
    <w:lvl w:ilvl="1" w:tplc="04150003" w:tentative="1">
      <w:start w:val="1"/>
      <w:numFmt w:val="bullet"/>
      <w:lvlText w:val="o"/>
      <w:lvlJc w:val="left"/>
      <w:pPr>
        <w:ind w:left="2292" w:hanging="360"/>
      </w:pPr>
      <w:rPr>
        <w:rFonts w:ascii="Courier New" w:hAnsi="Courier New" w:cs="Courier New" w:hint="default"/>
      </w:rPr>
    </w:lvl>
    <w:lvl w:ilvl="2" w:tplc="04150005" w:tentative="1">
      <w:start w:val="1"/>
      <w:numFmt w:val="bullet"/>
      <w:lvlText w:val=""/>
      <w:lvlJc w:val="left"/>
      <w:pPr>
        <w:ind w:left="3012" w:hanging="360"/>
      </w:pPr>
      <w:rPr>
        <w:rFonts w:ascii="Wingdings" w:hAnsi="Wingdings" w:hint="default"/>
      </w:rPr>
    </w:lvl>
    <w:lvl w:ilvl="3" w:tplc="04150001" w:tentative="1">
      <w:start w:val="1"/>
      <w:numFmt w:val="bullet"/>
      <w:lvlText w:val=""/>
      <w:lvlJc w:val="left"/>
      <w:pPr>
        <w:ind w:left="3732" w:hanging="360"/>
      </w:pPr>
      <w:rPr>
        <w:rFonts w:ascii="Symbol" w:hAnsi="Symbol" w:hint="default"/>
      </w:rPr>
    </w:lvl>
    <w:lvl w:ilvl="4" w:tplc="04150003" w:tentative="1">
      <w:start w:val="1"/>
      <w:numFmt w:val="bullet"/>
      <w:lvlText w:val="o"/>
      <w:lvlJc w:val="left"/>
      <w:pPr>
        <w:ind w:left="4452" w:hanging="360"/>
      </w:pPr>
      <w:rPr>
        <w:rFonts w:ascii="Courier New" w:hAnsi="Courier New" w:cs="Courier New" w:hint="default"/>
      </w:rPr>
    </w:lvl>
    <w:lvl w:ilvl="5" w:tplc="04150005" w:tentative="1">
      <w:start w:val="1"/>
      <w:numFmt w:val="bullet"/>
      <w:lvlText w:val=""/>
      <w:lvlJc w:val="left"/>
      <w:pPr>
        <w:ind w:left="5172" w:hanging="360"/>
      </w:pPr>
      <w:rPr>
        <w:rFonts w:ascii="Wingdings" w:hAnsi="Wingdings" w:hint="default"/>
      </w:rPr>
    </w:lvl>
    <w:lvl w:ilvl="6" w:tplc="04150001" w:tentative="1">
      <w:start w:val="1"/>
      <w:numFmt w:val="bullet"/>
      <w:lvlText w:val=""/>
      <w:lvlJc w:val="left"/>
      <w:pPr>
        <w:ind w:left="5892" w:hanging="360"/>
      </w:pPr>
      <w:rPr>
        <w:rFonts w:ascii="Symbol" w:hAnsi="Symbol" w:hint="default"/>
      </w:rPr>
    </w:lvl>
    <w:lvl w:ilvl="7" w:tplc="04150003" w:tentative="1">
      <w:start w:val="1"/>
      <w:numFmt w:val="bullet"/>
      <w:lvlText w:val="o"/>
      <w:lvlJc w:val="left"/>
      <w:pPr>
        <w:ind w:left="6612" w:hanging="360"/>
      </w:pPr>
      <w:rPr>
        <w:rFonts w:ascii="Courier New" w:hAnsi="Courier New" w:cs="Courier New" w:hint="default"/>
      </w:rPr>
    </w:lvl>
    <w:lvl w:ilvl="8" w:tplc="04150005" w:tentative="1">
      <w:start w:val="1"/>
      <w:numFmt w:val="bullet"/>
      <w:lvlText w:val=""/>
      <w:lvlJc w:val="left"/>
      <w:pPr>
        <w:ind w:left="7332" w:hanging="360"/>
      </w:pPr>
      <w:rPr>
        <w:rFonts w:ascii="Wingdings" w:hAnsi="Wingdings" w:hint="default"/>
      </w:rPr>
    </w:lvl>
  </w:abstractNum>
  <w:abstractNum w:abstractNumId="23" w15:restartNumberingAfterBreak="0">
    <w:nsid w:val="333A6BB6"/>
    <w:multiLevelType w:val="hybridMultilevel"/>
    <w:tmpl w:val="6470AE92"/>
    <w:lvl w:ilvl="0" w:tplc="04150007">
      <w:start w:val="1"/>
      <w:numFmt w:val="bullet"/>
      <w:lvlText w:val=""/>
      <w:lvlPicBulletId w:val="0"/>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38AF3E35"/>
    <w:multiLevelType w:val="hybridMultilevel"/>
    <w:tmpl w:val="65D4F448"/>
    <w:lvl w:ilvl="0" w:tplc="04150001">
      <w:start w:val="1"/>
      <w:numFmt w:val="bullet"/>
      <w:lvlText w:val=""/>
      <w:lvlJc w:val="left"/>
      <w:pPr>
        <w:ind w:left="1571" w:hanging="360"/>
      </w:pPr>
      <w:rPr>
        <w:rFonts w:ascii="Symbol" w:hAnsi="Symbol"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25" w15:restartNumberingAfterBreak="0">
    <w:nsid w:val="392F05A9"/>
    <w:multiLevelType w:val="hybridMultilevel"/>
    <w:tmpl w:val="5BE6F1D0"/>
    <w:lvl w:ilvl="0" w:tplc="04150007">
      <w:start w:val="1"/>
      <w:numFmt w:val="bullet"/>
      <w:lvlText w:val=""/>
      <w:lvlPicBulletId w:val="1"/>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39941991"/>
    <w:multiLevelType w:val="hybridMultilevel"/>
    <w:tmpl w:val="4ABA493A"/>
    <w:lvl w:ilvl="0" w:tplc="04150007">
      <w:start w:val="1"/>
      <w:numFmt w:val="bullet"/>
      <w:lvlText w:val=""/>
      <w:lvlPicBulletId w:val="0"/>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3C2E77D8"/>
    <w:multiLevelType w:val="hybridMultilevel"/>
    <w:tmpl w:val="121E705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3D325733"/>
    <w:multiLevelType w:val="hybridMultilevel"/>
    <w:tmpl w:val="AE5CB34A"/>
    <w:lvl w:ilvl="0" w:tplc="04150007">
      <w:start w:val="1"/>
      <w:numFmt w:val="bullet"/>
      <w:lvlText w:val=""/>
      <w:lvlPicBulletId w:val="0"/>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3F3465B7"/>
    <w:multiLevelType w:val="hybridMultilevel"/>
    <w:tmpl w:val="00E469C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42200D33"/>
    <w:multiLevelType w:val="hybridMultilevel"/>
    <w:tmpl w:val="FA0E726C"/>
    <w:lvl w:ilvl="0" w:tplc="04150007">
      <w:start w:val="1"/>
      <w:numFmt w:val="bullet"/>
      <w:lvlText w:val=""/>
      <w:lvlPicBulletId w:val="0"/>
      <w:lvlJc w:val="left"/>
      <w:pPr>
        <w:ind w:left="1494"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427373F8"/>
    <w:multiLevelType w:val="hybridMultilevel"/>
    <w:tmpl w:val="65D8AA6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42807316"/>
    <w:multiLevelType w:val="hybridMultilevel"/>
    <w:tmpl w:val="DD464E98"/>
    <w:lvl w:ilvl="0" w:tplc="04150007">
      <w:start w:val="1"/>
      <w:numFmt w:val="bullet"/>
      <w:lvlText w:val=""/>
      <w:lvlPicBulletId w:val="0"/>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45B44D50"/>
    <w:multiLevelType w:val="hybridMultilevel"/>
    <w:tmpl w:val="5E4AC1C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15:restartNumberingAfterBreak="0">
    <w:nsid w:val="4C760804"/>
    <w:multiLevelType w:val="hybridMultilevel"/>
    <w:tmpl w:val="71E25292"/>
    <w:lvl w:ilvl="0" w:tplc="04150007">
      <w:start w:val="1"/>
      <w:numFmt w:val="bullet"/>
      <w:lvlText w:val=""/>
      <w:lvlPicBulletId w:val="0"/>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4DA627A1"/>
    <w:multiLevelType w:val="hybridMultilevel"/>
    <w:tmpl w:val="6FD0229C"/>
    <w:lvl w:ilvl="0" w:tplc="06AE8444">
      <w:start w:val="1"/>
      <w:numFmt w:val="decimal"/>
      <w:lvlText w:val="%1."/>
      <w:lvlJc w:val="left"/>
      <w:pPr>
        <w:ind w:left="720" w:hanging="360"/>
      </w:pPr>
    </w:lvl>
    <w:lvl w:ilvl="1" w:tplc="04150019" w:tentative="1">
      <w:start w:val="1"/>
      <w:numFmt w:val="lowerLetter"/>
      <w:pStyle w:val="Podtytu"/>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6" w15:restartNumberingAfterBreak="0">
    <w:nsid w:val="4E026072"/>
    <w:multiLevelType w:val="hybridMultilevel"/>
    <w:tmpl w:val="8C9A8F04"/>
    <w:lvl w:ilvl="0" w:tplc="04150001">
      <w:start w:val="1"/>
      <w:numFmt w:val="bullet"/>
      <w:lvlText w:val=""/>
      <w:lvlJc w:val="left"/>
      <w:pPr>
        <w:ind w:left="720" w:hanging="360"/>
      </w:pPr>
      <w:rPr>
        <w:rFonts w:ascii="Symbol" w:hAnsi="Symbol" w:hint="default"/>
        <w:b w:val="0"/>
        <w:bCs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7" w15:restartNumberingAfterBreak="0">
    <w:nsid w:val="4E7E7C85"/>
    <w:multiLevelType w:val="hybridMultilevel"/>
    <w:tmpl w:val="9E8CFF2C"/>
    <w:lvl w:ilvl="0" w:tplc="04150007">
      <w:start w:val="1"/>
      <w:numFmt w:val="bullet"/>
      <w:lvlText w:val=""/>
      <w:lvlPicBulletId w:val="0"/>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503F4DD9"/>
    <w:multiLevelType w:val="hybridMultilevel"/>
    <w:tmpl w:val="8B662D54"/>
    <w:lvl w:ilvl="0" w:tplc="04150007">
      <w:start w:val="1"/>
      <w:numFmt w:val="bullet"/>
      <w:lvlText w:val=""/>
      <w:lvlPicBulletId w:val="0"/>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15:restartNumberingAfterBreak="0">
    <w:nsid w:val="526E7BF9"/>
    <w:multiLevelType w:val="hybridMultilevel"/>
    <w:tmpl w:val="7FE84C10"/>
    <w:lvl w:ilvl="0" w:tplc="04150007">
      <w:start w:val="1"/>
      <w:numFmt w:val="bullet"/>
      <w:lvlText w:val=""/>
      <w:lvlPicBulletId w:val="0"/>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537C09D7"/>
    <w:multiLevelType w:val="hybridMultilevel"/>
    <w:tmpl w:val="6FA443B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15:restartNumberingAfterBreak="0">
    <w:nsid w:val="559875BE"/>
    <w:multiLevelType w:val="hybridMultilevel"/>
    <w:tmpl w:val="9DFC661C"/>
    <w:lvl w:ilvl="0" w:tplc="04150007">
      <w:start w:val="1"/>
      <w:numFmt w:val="bullet"/>
      <w:lvlText w:val=""/>
      <w:lvlPicBulletId w:val="1"/>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59584D31"/>
    <w:multiLevelType w:val="hybridMultilevel"/>
    <w:tmpl w:val="EF66ABA0"/>
    <w:lvl w:ilvl="0" w:tplc="04150007">
      <w:start w:val="1"/>
      <w:numFmt w:val="bullet"/>
      <w:lvlText w:val=""/>
      <w:lvlPicBulletId w:val="0"/>
      <w:lvlJc w:val="left"/>
      <w:pPr>
        <w:ind w:left="720" w:hanging="360"/>
      </w:pPr>
      <w:rPr>
        <w:rFonts w:ascii="Symbol" w:hAnsi="Symbol"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3" w15:restartNumberingAfterBreak="0">
    <w:nsid w:val="5A650CBD"/>
    <w:multiLevelType w:val="hybridMultilevel"/>
    <w:tmpl w:val="CA50138C"/>
    <w:lvl w:ilvl="0" w:tplc="04150001">
      <w:start w:val="1"/>
      <w:numFmt w:val="bullet"/>
      <w:lvlText w:val=""/>
      <w:lvlJc w:val="left"/>
      <w:pPr>
        <w:ind w:left="720" w:hanging="360"/>
      </w:pPr>
      <w:rPr>
        <w:rFonts w:ascii="Symbol" w:hAnsi="Symbo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4" w15:restartNumberingAfterBreak="0">
    <w:nsid w:val="5E0001ED"/>
    <w:multiLevelType w:val="hybridMultilevel"/>
    <w:tmpl w:val="14B60DF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5F242FE9"/>
    <w:multiLevelType w:val="hybridMultilevel"/>
    <w:tmpl w:val="06DC9E34"/>
    <w:lvl w:ilvl="0" w:tplc="04150007">
      <w:start w:val="1"/>
      <w:numFmt w:val="bullet"/>
      <w:lvlText w:val=""/>
      <w:lvlPicBulletId w:val="1"/>
      <w:lvlJc w:val="left"/>
      <w:pPr>
        <w:ind w:left="720" w:hanging="360"/>
      </w:pPr>
      <w:rPr>
        <w:rFonts w:ascii="Symbol" w:hAnsi="Symbol" w:hint="default"/>
        <w:sz w:val="22"/>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6" w15:restartNumberingAfterBreak="0">
    <w:nsid w:val="5FB86AE5"/>
    <w:multiLevelType w:val="hybridMultilevel"/>
    <w:tmpl w:val="08B8FBD2"/>
    <w:lvl w:ilvl="0" w:tplc="04150007">
      <w:start w:val="1"/>
      <w:numFmt w:val="bullet"/>
      <w:lvlText w:val=""/>
      <w:lvlPicBulletId w:val="0"/>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15:restartNumberingAfterBreak="0">
    <w:nsid w:val="61C33BC2"/>
    <w:multiLevelType w:val="hybridMultilevel"/>
    <w:tmpl w:val="832A6E8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15:restartNumberingAfterBreak="0">
    <w:nsid w:val="62663927"/>
    <w:multiLevelType w:val="hybridMultilevel"/>
    <w:tmpl w:val="8B920432"/>
    <w:lvl w:ilvl="0" w:tplc="04150007">
      <w:start w:val="1"/>
      <w:numFmt w:val="bullet"/>
      <w:lvlText w:val=""/>
      <w:lvlPicBulletId w:val="0"/>
      <w:lvlJc w:val="left"/>
      <w:pPr>
        <w:ind w:left="720" w:hanging="360"/>
      </w:pPr>
      <w:rPr>
        <w:rFonts w:ascii="Symbol" w:hAnsi="Symbo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9" w15:restartNumberingAfterBreak="0">
    <w:nsid w:val="644C02CB"/>
    <w:multiLevelType w:val="hybridMultilevel"/>
    <w:tmpl w:val="4D7A92A0"/>
    <w:lvl w:ilvl="0" w:tplc="04150001">
      <w:start w:val="1"/>
      <w:numFmt w:val="bullet"/>
      <w:lvlText w:val=""/>
      <w:lvlJc w:val="left"/>
      <w:pPr>
        <w:ind w:left="720" w:hanging="360"/>
      </w:pPr>
      <w:rPr>
        <w:rFonts w:ascii="Symbol" w:hAnsi="Symbo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0" w15:restartNumberingAfterBreak="0">
    <w:nsid w:val="66801C6E"/>
    <w:multiLevelType w:val="hybridMultilevel"/>
    <w:tmpl w:val="C484B958"/>
    <w:lvl w:ilvl="0" w:tplc="04150007">
      <w:start w:val="1"/>
      <w:numFmt w:val="bullet"/>
      <w:lvlText w:val=""/>
      <w:lvlPicBulletId w:val="0"/>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66B16910"/>
    <w:multiLevelType w:val="hybridMultilevel"/>
    <w:tmpl w:val="7102D12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15:restartNumberingAfterBreak="0">
    <w:nsid w:val="6964010D"/>
    <w:multiLevelType w:val="hybridMultilevel"/>
    <w:tmpl w:val="82AEE5D6"/>
    <w:lvl w:ilvl="0" w:tplc="04150007">
      <w:start w:val="1"/>
      <w:numFmt w:val="bullet"/>
      <w:lvlText w:val=""/>
      <w:lvlPicBulletId w:val="0"/>
      <w:lvlJc w:val="left"/>
      <w:pPr>
        <w:ind w:left="2911" w:hanging="360"/>
      </w:pPr>
      <w:rPr>
        <w:rFonts w:ascii="Symbol" w:hAnsi="Symbol" w:hint="default"/>
      </w:rPr>
    </w:lvl>
    <w:lvl w:ilvl="1" w:tplc="04150003" w:tentative="1">
      <w:start w:val="1"/>
      <w:numFmt w:val="bullet"/>
      <w:lvlText w:val="o"/>
      <w:lvlJc w:val="left"/>
      <w:pPr>
        <w:ind w:left="3631" w:hanging="360"/>
      </w:pPr>
      <w:rPr>
        <w:rFonts w:ascii="Courier New" w:hAnsi="Courier New" w:cs="Courier New" w:hint="default"/>
      </w:rPr>
    </w:lvl>
    <w:lvl w:ilvl="2" w:tplc="04150005" w:tentative="1">
      <w:start w:val="1"/>
      <w:numFmt w:val="bullet"/>
      <w:lvlText w:val=""/>
      <w:lvlJc w:val="left"/>
      <w:pPr>
        <w:ind w:left="4351" w:hanging="360"/>
      </w:pPr>
      <w:rPr>
        <w:rFonts w:ascii="Wingdings" w:hAnsi="Wingdings" w:hint="default"/>
      </w:rPr>
    </w:lvl>
    <w:lvl w:ilvl="3" w:tplc="04150001" w:tentative="1">
      <w:start w:val="1"/>
      <w:numFmt w:val="bullet"/>
      <w:lvlText w:val=""/>
      <w:lvlJc w:val="left"/>
      <w:pPr>
        <w:ind w:left="5071" w:hanging="360"/>
      </w:pPr>
      <w:rPr>
        <w:rFonts w:ascii="Symbol" w:hAnsi="Symbol" w:hint="default"/>
      </w:rPr>
    </w:lvl>
    <w:lvl w:ilvl="4" w:tplc="04150003" w:tentative="1">
      <w:start w:val="1"/>
      <w:numFmt w:val="bullet"/>
      <w:lvlText w:val="o"/>
      <w:lvlJc w:val="left"/>
      <w:pPr>
        <w:ind w:left="5791" w:hanging="360"/>
      </w:pPr>
      <w:rPr>
        <w:rFonts w:ascii="Courier New" w:hAnsi="Courier New" w:cs="Courier New" w:hint="default"/>
      </w:rPr>
    </w:lvl>
    <w:lvl w:ilvl="5" w:tplc="04150005" w:tentative="1">
      <w:start w:val="1"/>
      <w:numFmt w:val="bullet"/>
      <w:lvlText w:val=""/>
      <w:lvlJc w:val="left"/>
      <w:pPr>
        <w:ind w:left="6511" w:hanging="360"/>
      </w:pPr>
      <w:rPr>
        <w:rFonts w:ascii="Wingdings" w:hAnsi="Wingdings" w:hint="default"/>
      </w:rPr>
    </w:lvl>
    <w:lvl w:ilvl="6" w:tplc="04150001" w:tentative="1">
      <w:start w:val="1"/>
      <w:numFmt w:val="bullet"/>
      <w:lvlText w:val=""/>
      <w:lvlJc w:val="left"/>
      <w:pPr>
        <w:ind w:left="7231" w:hanging="360"/>
      </w:pPr>
      <w:rPr>
        <w:rFonts w:ascii="Symbol" w:hAnsi="Symbol" w:hint="default"/>
      </w:rPr>
    </w:lvl>
    <w:lvl w:ilvl="7" w:tplc="04150003" w:tentative="1">
      <w:start w:val="1"/>
      <w:numFmt w:val="bullet"/>
      <w:lvlText w:val="o"/>
      <w:lvlJc w:val="left"/>
      <w:pPr>
        <w:ind w:left="7951" w:hanging="360"/>
      </w:pPr>
      <w:rPr>
        <w:rFonts w:ascii="Courier New" w:hAnsi="Courier New" w:cs="Courier New" w:hint="default"/>
      </w:rPr>
    </w:lvl>
    <w:lvl w:ilvl="8" w:tplc="04150005" w:tentative="1">
      <w:start w:val="1"/>
      <w:numFmt w:val="bullet"/>
      <w:lvlText w:val=""/>
      <w:lvlJc w:val="left"/>
      <w:pPr>
        <w:ind w:left="8671" w:hanging="360"/>
      </w:pPr>
      <w:rPr>
        <w:rFonts w:ascii="Wingdings" w:hAnsi="Wingdings" w:hint="default"/>
      </w:rPr>
    </w:lvl>
  </w:abstractNum>
  <w:abstractNum w:abstractNumId="53" w15:restartNumberingAfterBreak="0">
    <w:nsid w:val="6CE141C1"/>
    <w:multiLevelType w:val="hybridMultilevel"/>
    <w:tmpl w:val="0FCC7BD4"/>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4" w15:restartNumberingAfterBreak="0">
    <w:nsid w:val="6D9F3BA1"/>
    <w:multiLevelType w:val="hybridMultilevel"/>
    <w:tmpl w:val="A98CFA5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15:restartNumberingAfterBreak="0">
    <w:nsid w:val="6DA47A02"/>
    <w:multiLevelType w:val="hybridMultilevel"/>
    <w:tmpl w:val="E7FC714E"/>
    <w:lvl w:ilvl="0" w:tplc="04150007">
      <w:start w:val="1"/>
      <w:numFmt w:val="bullet"/>
      <w:lvlText w:val=""/>
      <w:lvlPicBulletId w:val="0"/>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6" w15:restartNumberingAfterBreak="0">
    <w:nsid w:val="6E1C7F92"/>
    <w:multiLevelType w:val="hybridMultilevel"/>
    <w:tmpl w:val="5DD6578A"/>
    <w:lvl w:ilvl="0" w:tplc="04150001">
      <w:start w:val="1"/>
      <w:numFmt w:val="bullet"/>
      <w:lvlText w:val=""/>
      <w:lvlJc w:val="left"/>
      <w:pPr>
        <w:ind w:left="862" w:hanging="360"/>
      </w:pPr>
      <w:rPr>
        <w:rFonts w:ascii="Symbol" w:hAnsi="Symbol" w:hint="default"/>
      </w:rPr>
    </w:lvl>
    <w:lvl w:ilvl="1" w:tplc="04150003" w:tentative="1">
      <w:start w:val="1"/>
      <w:numFmt w:val="bullet"/>
      <w:lvlText w:val="o"/>
      <w:lvlJc w:val="left"/>
      <w:pPr>
        <w:ind w:left="1582" w:hanging="360"/>
      </w:pPr>
      <w:rPr>
        <w:rFonts w:ascii="Courier New" w:hAnsi="Courier New" w:cs="Courier New" w:hint="default"/>
      </w:rPr>
    </w:lvl>
    <w:lvl w:ilvl="2" w:tplc="04150005" w:tentative="1">
      <w:start w:val="1"/>
      <w:numFmt w:val="bullet"/>
      <w:lvlText w:val=""/>
      <w:lvlJc w:val="left"/>
      <w:pPr>
        <w:ind w:left="2302" w:hanging="360"/>
      </w:pPr>
      <w:rPr>
        <w:rFonts w:ascii="Wingdings" w:hAnsi="Wingdings" w:hint="default"/>
      </w:rPr>
    </w:lvl>
    <w:lvl w:ilvl="3" w:tplc="04150001" w:tentative="1">
      <w:start w:val="1"/>
      <w:numFmt w:val="bullet"/>
      <w:lvlText w:val=""/>
      <w:lvlJc w:val="left"/>
      <w:pPr>
        <w:ind w:left="3022" w:hanging="360"/>
      </w:pPr>
      <w:rPr>
        <w:rFonts w:ascii="Symbol" w:hAnsi="Symbol" w:hint="default"/>
      </w:rPr>
    </w:lvl>
    <w:lvl w:ilvl="4" w:tplc="04150003" w:tentative="1">
      <w:start w:val="1"/>
      <w:numFmt w:val="bullet"/>
      <w:lvlText w:val="o"/>
      <w:lvlJc w:val="left"/>
      <w:pPr>
        <w:ind w:left="3742" w:hanging="360"/>
      </w:pPr>
      <w:rPr>
        <w:rFonts w:ascii="Courier New" w:hAnsi="Courier New" w:cs="Courier New" w:hint="default"/>
      </w:rPr>
    </w:lvl>
    <w:lvl w:ilvl="5" w:tplc="04150005" w:tentative="1">
      <w:start w:val="1"/>
      <w:numFmt w:val="bullet"/>
      <w:lvlText w:val=""/>
      <w:lvlJc w:val="left"/>
      <w:pPr>
        <w:ind w:left="4462" w:hanging="360"/>
      </w:pPr>
      <w:rPr>
        <w:rFonts w:ascii="Wingdings" w:hAnsi="Wingdings" w:hint="default"/>
      </w:rPr>
    </w:lvl>
    <w:lvl w:ilvl="6" w:tplc="04150001" w:tentative="1">
      <w:start w:val="1"/>
      <w:numFmt w:val="bullet"/>
      <w:lvlText w:val=""/>
      <w:lvlJc w:val="left"/>
      <w:pPr>
        <w:ind w:left="5182" w:hanging="360"/>
      </w:pPr>
      <w:rPr>
        <w:rFonts w:ascii="Symbol" w:hAnsi="Symbol" w:hint="default"/>
      </w:rPr>
    </w:lvl>
    <w:lvl w:ilvl="7" w:tplc="04150003" w:tentative="1">
      <w:start w:val="1"/>
      <w:numFmt w:val="bullet"/>
      <w:lvlText w:val="o"/>
      <w:lvlJc w:val="left"/>
      <w:pPr>
        <w:ind w:left="5902" w:hanging="360"/>
      </w:pPr>
      <w:rPr>
        <w:rFonts w:ascii="Courier New" w:hAnsi="Courier New" w:cs="Courier New" w:hint="default"/>
      </w:rPr>
    </w:lvl>
    <w:lvl w:ilvl="8" w:tplc="04150005" w:tentative="1">
      <w:start w:val="1"/>
      <w:numFmt w:val="bullet"/>
      <w:lvlText w:val=""/>
      <w:lvlJc w:val="left"/>
      <w:pPr>
        <w:ind w:left="6622" w:hanging="360"/>
      </w:pPr>
      <w:rPr>
        <w:rFonts w:ascii="Wingdings" w:hAnsi="Wingdings" w:hint="default"/>
      </w:rPr>
    </w:lvl>
  </w:abstractNum>
  <w:abstractNum w:abstractNumId="57" w15:restartNumberingAfterBreak="0">
    <w:nsid w:val="6EBD2577"/>
    <w:multiLevelType w:val="hybridMultilevel"/>
    <w:tmpl w:val="0BFE77C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8" w15:restartNumberingAfterBreak="0">
    <w:nsid w:val="6FDE6B88"/>
    <w:multiLevelType w:val="hybridMultilevel"/>
    <w:tmpl w:val="37480C1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9" w15:restartNumberingAfterBreak="0">
    <w:nsid w:val="760273E1"/>
    <w:multiLevelType w:val="hybridMultilevel"/>
    <w:tmpl w:val="18E0BBE8"/>
    <w:lvl w:ilvl="0" w:tplc="04150007">
      <w:start w:val="1"/>
      <w:numFmt w:val="bullet"/>
      <w:lvlText w:val=""/>
      <w:lvlPicBulletId w:val="0"/>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0" w15:restartNumberingAfterBreak="0">
    <w:nsid w:val="774D2734"/>
    <w:multiLevelType w:val="hybridMultilevel"/>
    <w:tmpl w:val="5C44264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15:restartNumberingAfterBreak="0">
    <w:nsid w:val="7F4C6D25"/>
    <w:multiLevelType w:val="hybridMultilevel"/>
    <w:tmpl w:val="C44407D4"/>
    <w:lvl w:ilvl="0" w:tplc="04150007">
      <w:start w:val="1"/>
      <w:numFmt w:val="bullet"/>
      <w:lvlText w:val=""/>
      <w:lvlPicBulletId w:val="1"/>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15:restartNumberingAfterBreak="0">
    <w:nsid w:val="7FF81662"/>
    <w:multiLevelType w:val="hybridMultilevel"/>
    <w:tmpl w:val="EFBEFBBC"/>
    <w:lvl w:ilvl="0" w:tplc="04150007">
      <w:start w:val="1"/>
      <w:numFmt w:val="bullet"/>
      <w:lvlText w:val=""/>
      <w:lvlPicBulletId w:val="1"/>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35"/>
  </w:num>
  <w:num w:numId="2">
    <w:abstractNumId w:val="16"/>
  </w:num>
  <w:num w:numId="3">
    <w:abstractNumId w:val="7"/>
  </w:num>
  <w:num w:numId="4">
    <w:abstractNumId w:val="18"/>
  </w:num>
  <w:num w:numId="5">
    <w:abstractNumId w:val="22"/>
  </w:num>
  <w:num w:numId="6">
    <w:abstractNumId w:val="61"/>
  </w:num>
  <w:num w:numId="7">
    <w:abstractNumId w:val="5"/>
  </w:num>
  <w:num w:numId="8">
    <w:abstractNumId w:val="53"/>
  </w:num>
  <w:num w:numId="9">
    <w:abstractNumId w:val="15"/>
  </w:num>
  <w:num w:numId="10">
    <w:abstractNumId w:val="33"/>
  </w:num>
  <w:num w:numId="11">
    <w:abstractNumId w:val="42"/>
  </w:num>
  <w:num w:numId="12">
    <w:abstractNumId w:val="58"/>
  </w:num>
  <w:num w:numId="13">
    <w:abstractNumId w:val="45"/>
  </w:num>
  <w:num w:numId="14">
    <w:abstractNumId w:val="25"/>
  </w:num>
  <w:num w:numId="15">
    <w:abstractNumId w:val="41"/>
  </w:num>
  <w:num w:numId="16">
    <w:abstractNumId w:val="10"/>
  </w:num>
  <w:num w:numId="17">
    <w:abstractNumId w:val="0"/>
  </w:num>
  <w:num w:numId="18">
    <w:abstractNumId w:val="2"/>
  </w:num>
  <w:num w:numId="19">
    <w:abstractNumId w:val="3"/>
  </w:num>
  <w:num w:numId="20">
    <w:abstractNumId w:val="31"/>
  </w:num>
  <w:num w:numId="21">
    <w:abstractNumId w:val="29"/>
  </w:num>
  <w:num w:numId="22">
    <w:abstractNumId w:val="27"/>
  </w:num>
  <w:num w:numId="23">
    <w:abstractNumId w:val="43"/>
  </w:num>
  <w:num w:numId="24">
    <w:abstractNumId w:val="51"/>
  </w:num>
  <w:num w:numId="25">
    <w:abstractNumId w:val="44"/>
  </w:num>
  <w:num w:numId="26">
    <w:abstractNumId w:val="28"/>
  </w:num>
  <w:num w:numId="27">
    <w:abstractNumId w:val="30"/>
  </w:num>
  <w:num w:numId="28">
    <w:abstractNumId w:val="21"/>
  </w:num>
  <w:num w:numId="29">
    <w:abstractNumId w:val="39"/>
  </w:num>
  <w:num w:numId="30">
    <w:abstractNumId w:val="38"/>
  </w:num>
  <w:num w:numId="31">
    <w:abstractNumId w:val="20"/>
  </w:num>
  <w:num w:numId="32">
    <w:abstractNumId w:val="4"/>
  </w:num>
  <w:num w:numId="33">
    <w:abstractNumId w:val="47"/>
  </w:num>
  <w:num w:numId="34">
    <w:abstractNumId w:val="40"/>
  </w:num>
  <w:num w:numId="35">
    <w:abstractNumId w:val="54"/>
  </w:num>
  <w:num w:numId="36">
    <w:abstractNumId w:val="57"/>
  </w:num>
  <w:num w:numId="37">
    <w:abstractNumId w:val="52"/>
  </w:num>
  <w:num w:numId="38">
    <w:abstractNumId w:val="19"/>
  </w:num>
  <w:num w:numId="39">
    <w:abstractNumId w:val="37"/>
  </w:num>
  <w:num w:numId="40">
    <w:abstractNumId w:val="62"/>
  </w:num>
  <w:num w:numId="41">
    <w:abstractNumId w:val="13"/>
  </w:num>
  <w:num w:numId="42">
    <w:abstractNumId w:val="26"/>
  </w:num>
  <w:num w:numId="43">
    <w:abstractNumId w:val="23"/>
  </w:num>
  <w:num w:numId="44">
    <w:abstractNumId w:val="12"/>
  </w:num>
  <w:num w:numId="45">
    <w:abstractNumId w:val="50"/>
  </w:num>
  <w:num w:numId="46">
    <w:abstractNumId w:val="56"/>
  </w:num>
  <w:num w:numId="47">
    <w:abstractNumId w:val="11"/>
  </w:num>
  <w:num w:numId="48">
    <w:abstractNumId w:val="9"/>
  </w:num>
  <w:num w:numId="49">
    <w:abstractNumId w:val="8"/>
  </w:num>
  <w:num w:numId="50">
    <w:abstractNumId w:val="34"/>
  </w:num>
  <w:num w:numId="51">
    <w:abstractNumId w:val="55"/>
  </w:num>
  <w:num w:numId="52">
    <w:abstractNumId w:val="59"/>
  </w:num>
  <w:num w:numId="53">
    <w:abstractNumId w:val="24"/>
  </w:num>
  <w:num w:numId="54">
    <w:abstractNumId w:val="6"/>
  </w:num>
  <w:num w:numId="55">
    <w:abstractNumId w:val="32"/>
  </w:num>
  <w:num w:numId="56">
    <w:abstractNumId w:val="1"/>
  </w:num>
  <w:num w:numId="57">
    <w:abstractNumId w:val="60"/>
  </w:num>
  <w:num w:numId="58">
    <w:abstractNumId w:val="36"/>
  </w:num>
  <w:num w:numId="59">
    <w:abstractNumId w:val="48"/>
  </w:num>
  <w:num w:numId="60">
    <w:abstractNumId w:val="14"/>
  </w:num>
  <w:num w:numId="61">
    <w:abstractNumId w:val="49"/>
  </w:num>
  <w:num w:numId="62">
    <w:abstractNumId w:val="46"/>
  </w:num>
  <w:num w:numId="63">
    <w:abstractNumId w:val="17"/>
  </w:num>
  <w:numIdMacAtCleanup w:val="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ttachedTemplate r:id="rId1"/>
  <w:defaultTabStop w:val="708"/>
  <w:hyphenationZone w:val="425"/>
  <w:evenAndOddHeaders/>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90E7F"/>
    <w:rsid w:val="00014B46"/>
    <w:rsid w:val="000167AF"/>
    <w:rsid w:val="00026283"/>
    <w:rsid w:val="00027413"/>
    <w:rsid w:val="00042D08"/>
    <w:rsid w:val="00044C1F"/>
    <w:rsid w:val="0004527E"/>
    <w:rsid w:val="00052F1A"/>
    <w:rsid w:val="00053BAC"/>
    <w:rsid w:val="00056471"/>
    <w:rsid w:val="000570F1"/>
    <w:rsid w:val="00081802"/>
    <w:rsid w:val="00087351"/>
    <w:rsid w:val="000906BD"/>
    <w:rsid w:val="00090D3B"/>
    <w:rsid w:val="00091BAE"/>
    <w:rsid w:val="00091D51"/>
    <w:rsid w:val="00095FC2"/>
    <w:rsid w:val="000A5EF7"/>
    <w:rsid w:val="000A7679"/>
    <w:rsid w:val="000B2C0B"/>
    <w:rsid w:val="000C033A"/>
    <w:rsid w:val="000C0963"/>
    <w:rsid w:val="000C36C7"/>
    <w:rsid w:val="000C65BC"/>
    <w:rsid w:val="000D5907"/>
    <w:rsid w:val="000D59B2"/>
    <w:rsid w:val="000E33E4"/>
    <w:rsid w:val="000E6998"/>
    <w:rsid w:val="000E6BC2"/>
    <w:rsid w:val="0010041A"/>
    <w:rsid w:val="00101D17"/>
    <w:rsid w:val="00102198"/>
    <w:rsid w:val="00103511"/>
    <w:rsid w:val="0010521B"/>
    <w:rsid w:val="001075E8"/>
    <w:rsid w:val="00111213"/>
    <w:rsid w:val="001122DC"/>
    <w:rsid w:val="00120B4A"/>
    <w:rsid w:val="00123768"/>
    <w:rsid w:val="00130692"/>
    <w:rsid w:val="00130CC9"/>
    <w:rsid w:val="00136B5A"/>
    <w:rsid w:val="00142622"/>
    <w:rsid w:val="00151754"/>
    <w:rsid w:val="001603F0"/>
    <w:rsid w:val="00174DE0"/>
    <w:rsid w:val="00175616"/>
    <w:rsid w:val="00176303"/>
    <w:rsid w:val="001A0B4C"/>
    <w:rsid w:val="001A5C36"/>
    <w:rsid w:val="001C2035"/>
    <w:rsid w:val="001C373F"/>
    <w:rsid w:val="001D4DEE"/>
    <w:rsid w:val="001E0B10"/>
    <w:rsid w:val="001E162D"/>
    <w:rsid w:val="001E34F3"/>
    <w:rsid w:val="001F2F4D"/>
    <w:rsid w:val="0021510A"/>
    <w:rsid w:val="00217ACB"/>
    <w:rsid w:val="00232719"/>
    <w:rsid w:val="0023441E"/>
    <w:rsid w:val="00237C11"/>
    <w:rsid w:val="00256F5F"/>
    <w:rsid w:val="00260544"/>
    <w:rsid w:val="00284D34"/>
    <w:rsid w:val="002907DD"/>
    <w:rsid w:val="0029554C"/>
    <w:rsid w:val="00295C22"/>
    <w:rsid w:val="00297B22"/>
    <w:rsid w:val="002A31CD"/>
    <w:rsid w:val="002A78B6"/>
    <w:rsid w:val="002B2AC3"/>
    <w:rsid w:val="002B3D05"/>
    <w:rsid w:val="002B3E61"/>
    <w:rsid w:val="002B770E"/>
    <w:rsid w:val="002D23E4"/>
    <w:rsid w:val="002E24A9"/>
    <w:rsid w:val="002E5B76"/>
    <w:rsid w:val="002E7295"/>
    <w:rsid w:val="002F3E4B"/>
    <w:rsid w:val="002F4191"/>
    <w:rsid w:val="002F493F"/>
    <w:rsid w:val="00301EE3"/>
    <w:rsid w:val="00306680"/>
    <w:rsid w:val="00316957"/>
    <w:rsid w:val="00325791"/>
    <w:rsid w:val="00326C4E"/>
    <w:rsid w:val="0033353A"/>
    <w:rsid w:val="00334F62"/>
    <w:rsid w:val="00337026"/>
    <w:rsid w:val="003405DB"/>
    <w:rsid w:val="0036491D"/>
    <w:rsid w:val="003711E3"/>
    <w:rsid w:val="0037389D"/>
    <w:rsid w:val="003817EB"/>
    <w:rsid w:val="00391842"/>
    <w:rsid w:val="003A16DD"/>
    <w:rsid w:val="003A1916"/>
    <w:rsid w:val="003A308C"/>
    <w:rsid w:val="003B652C"/>
    <w:rsid w:val="003B742F"/>
    <w:rsid w:val="003C6121"/>
    <w:rsid w:val="003C7BFF"/>
    <w:rsid w:val="003D66A8"/>
    <w:rsid w:val="003E270F"/>
    <w:rsid w:val="003E388C"/>
    <w:rsid w:val="003E51EB"/>
    <w:rsid w:val="003F0779"/>
    <w:rsid w:val="003F2E50"/>
    <w:rsid w:val="00400B4E"/>
    <w:rsid w:val="00413036"/>
    <w:rsid w:val="004142AE"/>
    <w:rsid w:val="00414F27"/>
    <w:rsid w:val="00416076"/>
    <w:rsid w:val="004205E2"/>
    <w:rsid w:val="00422850"/>
    <w:rsid w:val="00427A68"/>
    <w:rsid w:val="00431A3F"/>
    <w:rsid w:val="00462BEC"/>
    <w:rsid w:val="00466A03"/>
    <w:rsid w:val="00480473"/>
    <w:rsid w:val="00482BA2"/>
    <w:rsid w:val="0048506E"/>
    <w:rsid w:val="004859BA"/>
    <w:rsid w:val="00487106"/>
    <w:rsid w:val="00494C2D"/>
    <w:rsid w:val="00494EB2"/>
    <w:rsid w:val="00495BEC"/>
    <w:rsid w:val="004A4ED7"/>
    <w:rsid w:val="004A5BC7"/>
    <w:rsid w:val="004A5C71"/>
    <w:rsid w:val="004B5BC9"/>
    <w:rsid w:val="004B7EE0"/>
    <w:rsid w:val="004C2366"/>
    <w:rsid w:val="004C537B"/>
    <w:rsid w:val="004D4C36"/>
    <w:rsid w:val="004E158E"/>
    <w:rsid w:val="004E2A3C"/>
    <w:rsid w:val="004E378E"/>
    <w:rsid w:val="004E4C3F"/>
    <w:rsid w:val="004E50FF"/>
    <w:rsid w:val="004E7A90"/>
    <w:rsid w:val="00507CE4"/>
    <w:rsid w:val="00507F25"/>
    <w:rsid w:val="0051246A"/>
    <w:rsid w:val="00522D8B"/>
    <w:rsid w:val="0053183F"/>
    <w:rsid w:val="005359DC"/>
    <w:rsid w:val="005366A1"/>
    <w:rsid w:val="005366B1"/>
    <w:rsid w:val="00551DB1"/>
    <w:rsid w:val="005569A5"/>
    <w:rsid w:val="00562A9F"/>
    <w:rsid w:val="00563C2B"/>
    <w:rsid w:val="00577383"/>
    <w:rsid w:val="005B63BD"/>
    <w:rsid w:val="005B7F8E"/>
    <w:rsid w:val="005C2114"/>
    <w:rsid w:val="005C2B5B"/>
    <w:rsid w:val="005D1A8B"/>
    <w:rsid w:val="005D421F"/>
    <w:rsid w:val="005D7E83"/>
    <w:rsid w:val="005E129B"/>
    <w:rsid w:val="005E6B0D"/>
    <w:rsid w:val="00605A56"/>
    <w:rsid w:val="006120C4"/>
    <w:rsid w:val="006173E3"/>
    <w:rsid w:val="0062349D"/>
    <w:rsid w:val="00625142"/>
    <w:rsid w:val="00630E82"/>
    <w:rsid w:val="006330A6"/>
    <w:rsid w:val="00636B20"/>
    <w:rsid w:val="0064234B"/>
    <w:rsid w:val="006514F9"/>
    <w:rsid w:val="006519A7"/>
    <w:rsid w:val="00651D92"/>
    <w:rsid w:val="00661021"/>
    <w:rsid w:val="0066264B"/>
    <w:rsid w:val="00663515"/>
    <w:rsid w:val="00665086"/>
    <w:rsid w:val="006667C5"/>
    <w:rsid w:val="00666811"/>
    <w:rsid w:val="0068112B"/>
    <w:rsid w:val="00690E7F"/>
    <w:rsid w:val="006920D1"/>
    <w:rsid w:val="006A063F"/>
    <w:rsid w:val="006A1007"/>
    <w:rsid w:val="006B0616"/>
    <w:rsid w:val="006B091D"/>
    <w:rsid w:val="006C0399"/>
    <w:rsid w:val="006C4290"/>
    <w:rsid w:val="006D62CD"/>
    <w:rsid w:val="006D6FE0"/>
    <w:rsid w:val="006E1AF6"/>
    <w:rsid w:val="006E2A43"/>
    <w:rsid w:val="006E394B"/>
    <w:rsid w:val="006E4A70"/>
    <w:rsid w:val="006E6ABC"/>
    <w:rsid w:val="006E6DDE"/>
    <w:rsid w:val="006E7346"/>
    <w:rsid w:val="006E781B"/>
    <w:rsid w:val="006F6F6D"/>
    <w:rsid w:val="007013B6"/>
    <w:rsid w:val="00701C23"/>
    <w:rsid w:val="00702B84"/>
    <w:rsid w:val="00703D43"/>
    <w:rsid w:val="00704D2A"/>
    <w:rsid w:val="00712D4B"/>
    <w:rsid w:val="0072577B"/>
    <w:rsid w:val="00726616"/>
    <w:rsid w:val="007303BC"/>
    <w:rsid w:val="00732434"/>
    <w:rsid w:val="00733091"/>
    <w:rsid w:val="00734DD4"/>
    <w:rsid w:val="00737158"/>
    <w:rsid w:val="00740AA9"/>
    <w:rsid w:val="007410CE"/>
    <w:rsid w:val="007454E0"/>
    <w:rsid w:val="00745CDB"/>
    <w:rsid w:val="007477A4"/>
    <w:rsid w:val="00747A52"/>
    <w:rsid w:val="00760B12"/>
    <w:rsid w:val="00761CB0"/>
    <w:rsid w:val="00762C0F"/>
    <w:rsid w:val="007739FF"/>
    <w:rsid w:val="00776CDA"/>
    <w:rsid w:val="0078327D"/>
    <w:rsid w:val="00784AD0"/>
    <w:rsid w:val="0079086D"/>
    <w:rsid w:val="00797E0C"/>
    <w:rsid w:val="007A0678"/>
    <w:rsid w:val="007A4E93"/>
    <w:rsid w:val="007A5B71"/>
    <w:rsid w:val="007A7141"/>
    <w:rsid w:val="007C1B77"/>
    <w:rsid w:val="007C787B"/>
    <w:rsid w:val="007D6B09"/>
    <w:rsid w:val="007D776B"/>
    <w:rsid w:val="007E223D"/>
    <w:rsid w:val="007E58A1"/>
    <w:rsid w:val="007F76AA"/>
    <w:rsid w:val="008004DC"/>
    <w:rsid w:val="008015A3"/>
    <w:rsid w:val="00801FD4"/>
    <w:rsid w:val="008065AE"/>
    <w:rsid w:val="00821BC1"/>
    <w:rsid w:val="00823F7B"/>
    <w:rsid w:val="00834A24"/>
    <w:rsid w:val="008360FF"/>
    <w:rsid w:val="00837706"/>
    <w:rsid w:val="00844583"/>
    <w:rsid w:val="00845AEA"/>
    <w:rsid w:val="0085103A"/>
    <w:rsid w:val="008543CB"/>
    <w:rsid w:val="0085473D"/>
    <w:rsid w:val="00864DDD"/>
    <w:rsid w:val="008737A7"/>
    <w:rsid w:val="008864DF"/>
    <w:rsid w:val="00892DBF"/>
    <w:rsid w:val="00895A32"/>
    <w:rsid w:val="008A1ECB"/>
    <w:rsid w:val="008A652D"/>
    <w:rsid w:val="008A7F1B"/>
    <w:rsid w:val="008B5828"/>
    <w:rsid w:val="008C430B"/>
    <w:rsid w:val="008E2323"/>
    <w:rsid w:val="008E7925"/>
    <w:rsid w:val="008F25ED"/>
    <w:rsid w:val="00904B39"/>
    <w:rsid w:val="00907991"/>
    <w:rsid w:val="009114C6"/>
    <w:rsid w:val="0091426B"/>
    <w:rsid w:val="00921B01"/>
    <w:rsid w:val="009278B0"/>
    <w:rsid w:val="00937BF8"/>
    <w:rsid w:val="00941EB4"/>
    <w:rsid w:val="00943A9D"/>
    <w:rsid w:val="0095312D"/>
    <w:rsid w:val="00955E2A"/>
    <w:rsid w:val="00957917"/>
    <w:rsid w:val="00961017"/>
    <w:rsid w:val="00962D2F"/>
    <w:rsid w:val="00964371"/>
    <w:rsid w:val="00970E36"/>
    <w:rsid w:val="00972548"/>
    <w:rsid w:val="00974649"/>
    <w:rsid w:val="009879DD"/>
    <w:rsid w:val="009938EA"/>
    <w:rsid w:val="009B2EB4"/>
    <w:rsid w:val="009B403E"/>
    <w:rsid w:val="009B624B"/>
    <w:rsid w:val="009C19BA"/>
    <w:rsid w:val="009D2F5C"/>
    <w:rsid w:val="009D6DD3"/>
    <w:rsid w:val="009E1C86"/>
    <w:rsid w:val="009E4562"/>
    <w:rsid w:val="009E4CBF"/>
    <w:rsid w:val="009F2D1C"/>
    <w:rsid w:val="009F69CA"/>
    <w:rsid w:val="009F7119"/>
    <w:rsid w:val="00A0313D"/>
    <w:rsid w:val="00A05F62"/>
    <w:rsid w:val="00A139DC"/>
    <w:rsid w:val="00A2132A"/>
    <w:rsid w:val="00A24AD3"/>
    <w:rsid w:val="00A33A7C"/>
    <w:rsid w:val="00A37D95"/>
    <w:rsid w:val="00A521C6"/>
    <w:rsid w:val="00A53827"/>
    <w:rsid w:val="00A54E82"/>
    <w:rsid w:val="00A55024"/>
    <w:rsid w:val="00A65E6B"/>
    <w:rsid w:val="00A70EA5"/>
    <w:rsid w:val="00A97715"/>
    <w:rsid w:val="00AA3128"/>
    <w:rsid w:val="00AB19BD"/>
    <w:rsid w:val="00AB263B"/>
    <w:rsid w:val="00AB3E29"/>
    <w:rsid w:val="00AC701B"/>
    <w:rsid w:val="00AD5402"/>
    <w:rsid w:val="00AD7047"/>
    <w:rsid w:val="00AE14D7"/>
    <w:rsid w:val="00AE4C8C"/>
    <w:rsid w:val="00AF641E"/>
    <w:rsid w:val="00B04619"/>
    <w:rsid w:val="00B063F0"/>
    <w:rsid w:val="00B14787"/>
    <w:rsid w:val="00B16F07"/>
    <w:rsid w:val="00B254BA"/>
    <w:rsid w:val="00B257C2"/>
    <w:rsid w:val="00B430D0"/>
    <w:rsid w:val="00B509E0"/>
    <w:rsid w:val="00B50B20"/>
    <w:rsid w:val="00B61062"/>
    <w:rsid w:val="00B664F9"/>
    <w:rsid w:val="00B703D2"/>
    <w:rsid w:val="00B72DEC"/>
    <w:rsid w:val="00B7378D"/>
    <w:rsid w:val="00B93460"/>
    <w:rsid w:val="00B95EDB"/>
    <w:rsid w:val="00B9647B"/>
    <w:rsid w:val="00BA1554"/>
    <w:rsid w:val="00BA5631"/>
    <w:rsid w:val="00BA5A72"/>
    <w:rsid w:val="00BB034E"/>
    <w:rsid w:val="00BB7F69"/>
    <w:rsid w:val="00BC488F"/>
    <w:rsid w:val="00BD3D54"/>
    <w:rsid w:val="00BD71A8"/>
    <w:rsid w:val="00C01FFB"/>
    <w:rsid w:val="00C1051A"/>
    <w:rsid w:val="00C112EB"/>
    <w:rsid w:val="00C11D0F"/>
    <w:rsid w:val="00C12116"/>
    <w:rsid w:val="00C1342E"/>
    <w:rsid w:val="00C16CB1"/>
    <w:rsid w:val="00C16FE0"/>
    <w:rsid w:val="00C177E4"/>
    <w:rsid w:val="00C35A02"/>
    <w:rsid w:val="00C377D8"/>
    <w:rsid w:val="00C37C4D"/>
    <w:rsid w:val="00C47AA7"/>
    <w:rsid w:val="00C5112A"/>
    <w:rsid w:val="00C519F9"/>
    <w:rsid w:val="00C53E08"/>
    <w:rsid w:val="00C53E44"/>
    <w:rsid w:val="00C54060"/>
    <w:rsid w:val="00C57B8F"/>
    <w:rsid w:val="00C605E3"/>
    <w:rsid w:val="00C60A4C"/>
    <w:rsid w:val="00C60C31"/>
    <w:rsid w:val="00C63C8A"/>
    <w:rsid w:val="00C6675B"/>
    <w:rsid w:val="00C709E6"/>
    <w:rsid w:val="00C71ABD"/>
    <w:rsid w:val="00C725A4"/>
    <w:rsid w:val="00C92114"/>
    <w:rsid w:val="00C9249F"/>
    <w:rsid w:val="00C929FE"/>
    <w:rsid w:val="00CA0AB8"/>
    <w:rsid w:val="00CA3C7E"/>
    <w:rsid w:val="00CA6ACB"/>
    <w:rsid w:val="00CB6F84"/>
    <w:rsid w:val="00CC3389"/>
    <w:rsid w:val="00CC33B5"/>
    <w:rsid w:val="00CC4485"/>
    <w:rsid w:val="00CC5394"/>
    <w:rsid w:val="00CC55AA"/>
    <w:rsid w:val="00CD14BE"/>
    <w:rsid w:val="00CD298B"/>
    <w:rsid w:val="00CE0F0B"/>
    <w:rsid w:val="00CF4171"/>
    <w:rsid w:val="00CF4811"/>
    <w:rsid w:val="00D120A1"/>
    <w:rsid w:val="00D17F85"/>
    <w:rsid w:val="00D23A8B"/>
    <w:rsid w:val="00D37D37"/>
    <w:rsid w:val="00D467C8"/>
    <w:rsid w:val="00D54A66"/>
    <w:rsid w:val="00D665D1"/>
    <w:rsid w:val="00D66672"/>
    <w:rsid w:val="00D73F15"/>
    <w:rsid w:val="00D95FB9"/>
    <w:rsid w:val="00D97684"/>
    <w:rsid w:val="00DA2A56"/>
    <w:rsid w:val="00DA6726"/>
    <w:rsid w:val="00DD0997"/>
    <w:rsid w:val="00DD31FB"/>
    <w:rsid w:val="00DF6F81"/>
    <w:rsid w:val="00E00D96"/>
    <w:rsid w:val="00E01108"/>
    <w:rsid w:val="00E035C6"/>
    <w:rsid w:val="00E2360E"/>
    <w:rsid w:val="00E40A73"/>
    <w:rsid w:val="00E4424D"/>
    <w:rsid w:val="00E50187"/>
    <w:rsid w:val="00E65B11"/>
    <w:rsid w:val="00E65D31"/>
    <w:rsid w:val="00E67ED0"/>
    <w:rsid w:val="00E70191"/>
    <w:rsid w:val="00E736E3"/>
    <w:rsid w:val="00E74850"/>
    <w:rsid w:val="00E8036F"/>
    <w:rsid w:val="00E82F94"/>
    <w:rsid w:val="00E84F7B"/>
    <w:rsid w:val="00E92EAA"/>
    <w:rsid w:val="00E93771"/>
    <w:rsid w:val="00EA1F4A"/>
    <w:rsid w:val="00EA3474"/>
    <w:rsid w:val="00EB09D8"/>
    <w:rsid w:val="00EB6192"/>
    <w:rsid w:val="00EC081E"/>
    <w:rsid w:val="00EC723D"/>
    <w:rsid w:val="00ED2BBA"/>
    <w:rsid w:val="00ED5103"/>
    <w:rsid w:val="00ED67FA"/>
    <w:rsid w:val="00EE414D"/>
    <w:rsid w:val="00EE6958"/>
    <w:rsid w:val="00EF51C7"/>
    <w:rsid w:val="00EF5A04"/>
    <w:rsid w:val="00F00D78"/>
    <w:rsid w:val="00F01827"/>
    <w:rsid w:val="00F0500E"/>
    <w:rsid w:val="00F1340D"/>
    <w:rsid w:val="00F31BA9"/>
    <w:rsid w:val="00F34F63"/>
    <w:rsid w:val="00F4376D"/>
    <w:rsid w:val="00F5097E"/>
    <w:rsid w:val="00F52999"/>
    <w:rsid w:val="00F52FF8"/>
    <w:rsid w:val="00F666EC"/>
    <w:rsid w:val="00F84A3C"/>
    <w:rsid w:val="00F91E78"/>
    <w:rsid w:val="00FA1D9B"/>
    <w:rsid w:val="00FB2512"/>
    <w:rsid w:val="00FB2C29"/>
    <w:rsid w:val="00FB5B78"/>
    <w:rsid w:val="00FB79D2"/>
    <w:rsid w:val="00FC5673"/>
    <w:rsid w:val="00FC7448"/>
    <w:rsid w:val="00FD377F"/>
    <w:rsid w:val="00FD5EBE"/>
    <w:rsid w:val="00FE59B5"/>
    <w:rsid w:val="00FF0BA1"/>
    <w:rsid w:val="00FF6FD9"/>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AAACA8E"/>
  <w15:chartTrackingRefBased/>
  <w15:docId w15:val="{10F59B84-A336-4CB0-8384-CC9B1C3C67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AF641E"/>
    <w:pPr>
      <w:spacing w:before="120" w:after="240" w:line="276" w:lineRule="auto"/>
      <w:ind w:left="851"/>
    </w:pPr>
    <w:rPr>
      <w:sz w:val="24"/>
      <w:lang w:val="en-AU"/>
    </w:rPr>
  </w:style>
  <w:style w:type="paragraph" w:styleId="Nagwek1">
    <w:name w:val="heading 1"/>
    <w:basedOn w:val="Normalny"/>
    <w:next w:val="Normalny"/>
    <w:link w:val="Nagwek1Znak"/>
    <w:autoRedefine/>
    <w:uiPriority w:val="9"/>
    <w:qFormat/>
    <w:rsid w:val="00630E82"/>
    <w:pPr>
      <w:keepNext/>
      <w:keepLines/>
      <w:pageBreakBefore/>
      <w:numPr>
        <w:numId w:val="3"/>
      </w:numPr>
      <w:spacing w:before="480" w:after="1200"/>
      <w:ind w:left="851" w:hanging="851"/>
      <w:outlineLvl w:val="0"/>
    </w:pPr>
    <w:rPr>
      <w:rFonts w:ascii="Calibri" w:eastAsiaTheme="majorEastAsia" w:hAnsi="Calibri" w:cstheme="majorBidi"/>
      <w:b/>
      <w:noProof/>
      <w:sz w:val="48"/>
      <w:szCs w:val="32"/>
    </w:rPr>
  </w:style>
  <w:style w:type="paragraph" w:styleId="Nagwek2">
    <w:name w:val="heading 2"/>
    <w:basedOn w:val="Normalny"/>
    <w:next w:val="Normalny"/>
    <w:link w:val="Nagwek2Znak"/>
    <w:autoRedefine/>
    <w:uiPriority w:val="9"/>
    <w:unhideWhenUsed/>
    <w:qFormat/>
    <w:rsid w:val="00630E82"/>
    <w:pPr>
      <w:keepNext/>
      <w:keepLines/>
      <w:numPr>
        <w:ilvl w:val="1"/>
        <w:numId w:val="3"/>
      </w:numPr>
      <w:spacing w:before="720"/>
      <w:ind w:left="851" w:hanging="851"/>
      <w:outlineLvl w:val="1"/>
    </w:pPr>
    <w:rPr>
      <w:rFonts w:ascii="Calibri" w:eastAsiaTheme="majorEastAsia" w:hAnsi="Calibri" w:cstheme="majorBidi"/>
      <w:b/>
      <w:noProof/>
      <w:sz w:val="30"/>
      <w:szCs w:val="26"/>
    </w:rPr>
  </w:style>
  <w:style w:type="paragraph" w:styleId="Nagwek3">
    <w:name w:val="heading 3"/>
    <w:basedOn w:val="Normalny"/>
    <w:next w:val="Normalny"/>
    <w:link w:val="Nagwek3Znak"/>
    <w:uiPriority w:val="9"/>
    <w:unhideWhenUsed/>
    <w:qFormat/>
    <w:rsid w:val="00630E82"/>
    <w:pPr>
      <w:keepNext/>
      <w:keepLines/>
      <w:numPr>
        <w:ilvl w:val="2"/>
        <w:numId w:val="3"/>
      </w:numPr>
      <w:spacing w:after="120"/>
      <w:ind w:left="851" w:firstLine="0"/>
      <w:outlineLvl w:val="2"/>
    </w:pPr>
    <w:rPr>
      <w:rFonts w:ascii="Calibri" w:eastAsiaTheme="majorEastAsia" w:hAnsi="Calibri" w:cstheme="majorBidi"/>
      <w:b/>
      <w:noProof/>
      <w:sz w:val="26"/>
      <w:szCs w:val="24"/>
    </w:rPr>
  </w:style>
  <w:style w:type="paragraph" w:styleId="Nagwek4">
    <w:name w:val="heading 4"/>
    <w:basedOn w:val="Normalny"/>
    <w:next w:val="Normalny"/>
    <w:link w:val="Nagwek4Znak"/>
    <w:autoRedefine/>
    <w:uiPriority w:val="9"/>
    <w:unhideWhenUsed/>
    <w:qFormat/>
    <w:rsid w:val="001E162D"/>
    <w:pPr>
      <w:keepNext/>
      <w:keepLines/>
      <w:numPr>
        <w:ilvl w:val="3"/>
        <w:numId w:val="3"/>
      </w:numPr>
      <w:spacing w:before="40" w:after="0"/>
      <w:ind w:left="851" w:firstLine="0"/>
      <w:outlineLvl w:val="3"/>
    </w:pPr>
    <w:rPr>
      <w:rFonts w:ascii="Calibri" w:eastAsiaTheme="majorEastAsia" w:hAnsi="Calibri" w:cstheme="majorBidi"/>
      <w:b/>
      <w:bCs/>
      <w:iCs/>
      <w:noProof/>
      <w:lang w:val="pl-PL"/>
    </w:rPr>
  </w:style>
  <w:style w:type="paragraph" w:styleId="Nagwek5">
    <w:name w:val="heading 5"/>
    <w:basedOn w:val="Normalny"/>
    <w:next w:val="Normalny"/>
    <w:link w:val="Nagwek5Znak"/>
    <w:uiPriority w:val="9"/>
    <w:unhideWhenUsed/>
    <w:qFormat/>
    <w:rsid w:val="00284D34"/>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ytu">
    <w:name w:val="Title"/>
    <w:basedOn w:val="Normalny"/>
    <w:next w:val="Normalny"/>
    <w:link w:val="TytuZnak"/>
    <w:uiPriority w:val="10"/>
    <w:qFormat/>
    <w:rsid w:val="00507CE4"/>
    <w:pPr>
      <w:numPr>
        <w:numId w:val="2"/>
      </w:numPr>
      <w:spacing w:before="480" w:after="720" w:line="240" w:lineRule="auto"/>
      <w:contextualSpacing/>
    </w:pPr>
    <w:rPr>
      <w:rFonts w:eastAsiaTheme="majorEastAsia" w:cstheme="majorBidi"/>
      <w:b/>
      <w:spacing w:val="-10"/>
      <w:kern w:val="28"/>
      <w:sz w:val="48"/>
      <w:szCs w:val="56"/>
    </w:rPr>
  </w:style>
  <w:style w:type="character" w:customStyle="1" w:styleId="TytuZnak">
    <w:name w:val="Tytuł Znak"/>
    <w:basedOn w:val="Domylnaczcionkaakapitu"/>
    <w:link w:val="Tytu"/>
    <w:uiPriority w:val="10"/>
    <w:rsid w:val="00507CE4"/>
    <w:rPr>
      <w:rFonts w:eastAsiaTheme="majorEastAsia" w:cstheme="majorBidi"/>
      <w:b/>
      <w:spacing w:val="-10"/>
      <w:kern w:val="28"/>
      <w:sz w:val="48"/>
      <w:szCs w:val="56"/>
      <w:lang w:val="en-AU"/>
    </w:rPr>
  </w:style>
  <w:style w:type="paragraph" w:styleId="Podtytu">
    <w:name w:val="Subtitle"/>
    <w:basedOn w:val="Normalny"/>
    <w:next w:val="Normalny"/>
    <w:link w:val="PodtytuZnak"/>
    <w:uiPriority w:val="11"/>
    <w:qFormat/>
    <w:rsid w:val="00507CE4"/>
    <w:pPr>
      <w:numPr>
        <w:ilvl w:val="1"/>
        <w:numId w:val="1"/>
      </w:numPr>
      <w:spacing w:before="720" w:after="480"/>
      <w:ind w:left="851" w:hanging="851"/>
    </w:pPr>
    <w:rPr>
      <w:rFonts w:ascii="Calibri" w:eastAsiaTheme="minorEastAsia" w:hAnsi="Calibri"/>
      <w:b/>
      <w:spacing w:val="15"/>
      <w:sz w:val="28"/>
    </w:rPr>
  </w:style>
  <w:style w:type="character" w:customStyle="1" w:styleId="PodtytuZnak">
    <w:name w:val="Podtytuł Znak"/>
    <w:basedOn w:val="Domylnaczcionkaakapitu"/>
    <w:link w:val="Podtytu"/>
    <w:uiPriority w:val="11"/>
    <w:rsid w:val="00507CE4"/>
    <w:rPr>
      <w:rFonts w:ascii="Calibri" w:eastAsiaTheme="minorEastAsia" w:hAnsi="Calibri"/>
      <w:b/>
      <w:spacing w:val="15"/>
      <w:sz w:val="28"/>
      <w:lang w:val="en-AU"/>
    </w:rPr>
  </w:style>
  <w:style w:type="character" w:styleId="Wyrnieniedelikatne">
    <w:name w:val="Subtle Emphasis"/>
    <w:uiPriority w:val="19"/>
    <w:qFormat/>
    <w:rsid w:val="00AD5402"/>
    <w:rPr>
      <w:rFonts w:asciiTheme="minorHAnsi" w:hAnsiTheme="minorHAnsi"/>
      <w:b/>
      <w:bCs/>
      <w:i w:val="0"/>
      <w:iCs/>
      <w:color w:val="auto"/>
      <w:sz w:val="26"/>
    </w:rPr>
  </w:style>
  <w:style w:type="character" w:customStyle="1" w:styleId="Nagwek1Znak">
    <w:name w:val="Nagłówek 1 Znak"/>
    <w:basedOn w:val="Domylnaczcionkaakapitu"/>
    <w:link w:val="Nagwek1"/>
    <w:uiPriority w:val="9"/>
    <w:rsid w:val="00630E82"/>
    <w:rPr>
      <w:rFonts w:ascii="Calibri" w:eastAsiaTheme="majorEastAsia" w:hAnsi="Calibri" w:cstheme="majorBidi"/>
      <w:b/>
      <w:noProof/>
      <w:sz w:val="48"/>
      <w:szCs w:val="32"/>
      <w:lang w:val="en-AU"/>
    </w:rPr>
  </w:style>
  <w:style w:type="character" w:customStyle="1" w:styleId="Nagwek2Znak">
    <w:name w:val="Nagłówek 2 Znak"/>
    <w:basedOn w:val="Domylnaczcionkaakapitu"/>
    <w:link w:val="Nagwek2"/>
    <w:uiPriority w:val="9"/>
    <w:rsid w:val="00630E82"/>
    <w:rPr>
      <w:rFonts w:ascii="Calibri" w:eastAsiaTheme="majorEastAsia" w:hAnsi="Calibri" w:cstheme="majorBidi"/>
      <w:b/>
      <w:noProof/>
      <w:sz w:val="30"/>
      <w:szCs w:val="26"/>
      <w:lang w:val="en-AU"/>
    </w:rPr>
  </w:style>
  <w:style w:type="paragraph" w:styleId="Akapitzlist">
    <w:name w:val="List Paragraph"/>
    <w:aliases w:val="L1,Numerowanie,Akapit normalny,Lista XXX,Akapit z listą 1,Akapit z listą5,EPL lista punktowana z wyrózneniem,Akapit z listą BS"/>
    <w:basedOn w:val="Normalny"/>
    <w:link w:val="AkapitzlistZnak"/>
    <w:uiPriority w:val="34"/>
    <w:qFormat/>
    <w:rsid w:val="00823F7B"/>
    <w:pPr>
      <w:numPr>
        <w:numId w:val="4"/>
      </w:numPr>
      <w:contextualSpacing/>
    </w:pPr>
    <w:rPr>
      <w:noProof/>
    </w:rPr>
  </w:style>
  <w:style w:type="character" w:customStyle="1" w:styleId="Nagwek3Znak">
    <w:name w:val="Nagłówek 3 Znak"/>
    <w:basedOn w:val="Domylnaczcionkaakapitu"/>
    <w:link w:val="Nagwek3"/>
    <w:uiPriority w:val="9"/>
    <w:rsid w:val="00630E82"/>
    <w:rPr>
      <w:rFonts w:ascii="Calibri" w:eastAsiaTheme="majorEastAsia" w:hAnsi="Calibri" w:cstheme="majorBidi"/>
      <w:b/>
      <w:noProof/>
      <w:sz w:val="26"/>
      <w:szCs w:val="24"/>
      <w:lang w:val="en-AU"/>
    </w:rPr>
  </w:style>
  <w:style w:type="paragraph" w:styleId="Nagwek">
    <w:name w:val="header"/>
    <w:basedOn w:val="Normalny"/>
    <w:link w:val="NagwekZnak"/>
    <w:uiPriority w:val="99"/>
    <w:unhideWhenUsed/>
    <w:rsid w:val="007739FF"/>
    <w:pPr>
      <w:tabs>
        <w:tab w:val="center" w:pos="4536"/>
        <w:tab w:val="right" w:pos="9072"/>
      </w:tabs>
      <w:spacing w:before="0" w:after="0" w:line="240" w:lineRule="auto"/>
    </w:pPr>
  </w:style>
  <w:style w:type="character" w:customStyle="1" w:styleId="NagwekZnak">
    <w:name w:val="Nagłówek Znak"/>
    <w:basedOn w:val="Domylnaczcionkaakapitu"/>
    <w:link w:val="Nagwek"/>
    <w:uiPriority w:val="99"/>
    <w:rsid w:val="007739FF"/>
    <w:rPr>
      <w:sz w:val="24"/>
      <w:lang w:val="en-AU"/>
    </w:rPr>
  </w:style>
  <w:style w:type="paragraph" w:styleId="Stopka">
    <w:name w:val="footer"/>
    <w:basedOn w:val="Normalny"/>
    <w:link w:val="StopkaZnak"/>
    <w:uiPriority w:val="99"/>
    <w:unhideWhenUsed/>
    <w:rsid w:val="007739FF"/>
    <w:pPr>
      <w:tabs>
        <w:tab w:val="center" w:pos="4536"/>
        <w:tab w:val="right" w:pos="9072"/>
      </w:tabs>
      <w:spacing w:before="0" w:after="0" w:line="240" w:lineRule="auto"/>
    </w:pPr>
  </w:style>
  <w:style w:type="character" w:customStyle="1" w:styleId="StopkaZnak">
    <w:name w:val="Stopka Znak"/>
    <w:basedOn w:val="Domylnaczcionkaakapitu"/>
    <w:link w:val="Stopka"/>
    <w:uiPriority w:val="99"/>
    <w:rsid w:val="007739FF"/>
    <w:rPr>
      <w:sz w:val="24"/>
      <w:lang w:val="en-AU"/>
    </w:rPr>
  </w:style>
  <w:style w:type="paragraph" w:styleId="Tekstprzypisudolnego">
    <w:name w:val="footnote text"/>
    <w:basedOn w:val="Normalny"/>
    <w:link w:val="TekstprzypisudolnegoZnak"/>
    <w:uiPriority w:val="99"/>
    <w:unhideWhenUsed/>
    <w:rsid w:val="00E40A73"/>
    <w:pPr>
      <w:spacing w:before="0" w:after="120"/>
    </w:pPr>
    <w:rPr>
      <w:rFonts w:ascii="Calibri Light" w:hAnsi="Calibri Light"/>
      <w:szCs w:val="20"/>
    </w:rPr>
  </w:style>
  <w:style w:type="character" w:customStyle="1" w:styleId="TekstprzypisudolnegoZnak">
    <w:name w:val="Tekst przypisu dolnego Znak"/>
    <w:basedOn w:val="Domylnaczcionkaakapitu"/>
    <w:link w:val="Tekstprzypisudolnego"/>
    <w:uiPriority w:val="99"/>
    <w:rsid w:val="00E40A73"/>
    <w:rPr>
      <w:rFonts w:ascii="Calibri Light" w:hAnsi="Calibri Light"/>
      <w:sz w:val="24"/>
      <w:szCs w:val="20"/>
      <w:lang w:val="en-AU"/>
    </w:rPr>
  </w:style>
  <w:style w:type="character" w:styleId="Odwoanieprzypisudolnego">
    <w:name w:val="footnote reference"/>
    <w:basedOn w:val="Domylnaczcionkaakapitu"/>
    <w:uiPriority w:val="99"/>
    <w:semiHidden/>
    <w:unhideWhenUsed/>
    <w:rsid w:val="004E2A3C"/>
    <w:rPr>
      <w:vertAlign w:val="superscript"/>
    </w:rPr>
  </w:style>
  <w:style w:type="paragraph" w:styleId="Nagwekspisutreci">
    <w:name w:val="TOC Heading"/>
    <w:basedOn w:val="Nagwek1"/>
    <w:next w:val="Normalny"/>
    <w:uiPriority w:val="39"/>
    <w:unhideWhenUsed/>
    <w:qFormat/>
    <w:rsid w:val="00F0500E"/>
    <w:pPr>
      <w:pageBreakBefore w:val="0"/>
      <w:spacing w:before="240" w:after="0" w:line="259" w:lineRule="auto"/>
      <w:ind w:left="0" w:firstLine="0"/>
      <w:outlineLvl w:val="9"/>
    </w:pPr>
    <w:rPr>
      <w:rFonts w:asciiTheme="majorHAnsi" w:hAnsiTheme="majorHAnsi"/>
      <w:noProof w:val="0"/>
      <w:color w:val="2F5496" w:themeColor="accent1" w:themeShade="BF"/>
      <w:sz w:val="32"/>
      <w:lang w:val="pl-PL" w:eastAsia="pl-PL"/>
    </w:rPr>
  </w:style>
  <w:style w:type="paragraph" w:styleId="Spistreci1">
    <w:name w:val="toc 1"/>
    <w:basedOn w:val="Normalny"/>
    <w:next w:val="Normalny"/>
    <w:autoRedefine/>
    <w:uiPriority w:val="39"/>
    <w:unhideWhenUsed/>
    <w:rsid w:val="00F0500E"/>
    <w:pPr>
      <w:spacing w:after="100"/>
      <w:ind w:left="0"/>
    </w:pPr>
  </w:style>
  <w:style w:type="paragraph" w:styleId="Spistreci2">
    <w:name w:val="toc 2"/>
    <w:basedOn w:val="Normalny"/>
    <w:next w:val="Normalny"/>
    <w:autoRedefine/>
    <w:uiPriority w:val="39"/>
    <w:unhideWhenUsed/>
    <w:rsid w:val="00F0500E"/>
    <w:pPr>
      <w:spacing w:after="100"/>
      <w:ind w:left="240"/>
    </w:pPr>
  </w:style>
  <w:style w:type="paragraph" w:styleId="Spistreci3">
    <w:name w:val="toc 3"/>
    <w:basedOn w:val="Normalny"/>
    <w:next w:val="Normalny"/>
    <w:autoRedefine/>
    <w:uiPriority w:val="39"/>
    <w:unhideWhenUsed/>
    <w:rsid w:val="00F0500E"/>
    <w:pPr>
      <w:spacing w:after="100"/>
      <w:ind w:left="480"/>
    </w:pPr>
  </w:style>
  <w:style w:type="character" w:styleId="Hipercze">
    <w:name w:val="Hyperlink"/>
    <w:basedOn w:val="Domylnaczcionkaakapitu"/>
    <w:uiPriority w:val="99"/>
    <w:unhideWhenUsed/>
    <w:rsid w:val="00F0500E"/>
    <w:rPr>
      <w:color w:val="0563C1" w:themeColor="hyperlink"/>
      <w:u w:val="single"/>
    </w:rPr>
  </w:style>
  <w:style w:type="paragraph" w:styleId="Bezodstpw">
    <w:name w:val="No Spacing"/>
    <w:uiPriority w:val="1"/>
    <w:qFormat/>
    <w:rsid w:val="00297B22"/>
    <w:pPr>
      <w:spacing w:after="0" w:line="240" w:lineRule="auto"/>
      <w:ind w:left="851"/>
    </w:pPr>
    <w:rPr>
      <w:sz w:val="24"/>
      <w:lang w:val="en-AU"/>
    </w:rPr>
  </w:style>
  <w:style w:type="character" w:customStyle="1" w:styleId="Nagwek4Znak">
    <w:name w:val="Nagłówek 4 Znak"/>
    <w:basedOn w:val="Domylnaczcionkaakapitu"/>
    <w:link w:val="Nagwek4"/>
    <w:uiPriority w:val="9"/>
    <w:rsid w:val="001E162D"/>
    <w:rPr>
      <w:rFonts w:ascii="Calibri" w:eastAsiaTheme="majorEastAsia" w:hAnsi="Calibri" w:cstheme="majorBidi"/>
      <w:b/>
      <w:bCs/>
      <w:iCs/>
      <w:noProof/>
      <w:sz w:val="24"/>
    </w:rPr>
  </w:style>
  <w:style w:type="table" w:styleId="Tabela-Siatka">
    <w:name w:val="Table Grid"/>
    <w:basedOn w:val="Standardowy"/>
    <w:uiPriority w:val="59"/>
    <w:rsid w:val="0090799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asiatki1jasna">
    <w:name w:val="Grid Table 1 Light"/>
    <w:basedOn w:val="Standardowy"/>
    <w:uiPriority w:val="46"/>
    <w:rsid w:val="00907991"/>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styleId="Pogrubienie">
    <w:name w:val="Strong"/>
    <w:basedOn w:val="Domylnaczcionkaakapitu"/>
    <w:uiPriority w:val="22"/>
    <w:qFormat/>
    <w:rsid w:val="00A139DC"/>
    <w:rPr>
      <w:b/>
    </w:rPr>
  </w:style>
  <w:style w:type="paragraph" w:styleId="Legenda">
    <w:name w:val="caption"/>
    <w:aliases w:val="Legenda Znak Znak Znak,Legenda Znak Znak,Legenda Znak Znak Znak Znak,Legenda Znak Znak Znak Znak Znak Znak,Legenda Znak Znak Znak Znak Znak Znak Znak,Legenda Znak Znak Znak Znak Znak Znak Znak Znak Znak Z,Legenda Znak Znak Z Znak"/>
    <w:basedOn w:val="Normalny"/>
    <w:next w:val="Normalny"/>
    <w:link w:val="LegendaZnak"/>
    <w:autoRedefine/>
    <w:uiPriority w:val="35"/>
    <w:unhideWhenUsed/>
    <w:qFormat/>
    <w:rsid w:val="002E24A9"/>
    <w:pPr>
      <w:keepNext/>
      <w:tabs>
        <w:tab w:val="left" w:pos="0"/>
      </w:tabs>
      <w:spacing w:before="360" w:after="120" w:line="240" w:lineRule="auto"/>
      <w:ind w:left="0"/>
    </w:pPr>
    <w:rPr>
      <w:bCs/>
      <w:iCs/>
      <w:sz w:val="20"/>
      <w:szCs w:val="20"/>
    </w:rPr>
  </w:style>
  <w:style w:type="paragraph" w:styleId="Spisilustracji">
    <w:name w:val="table of figures"/>
    <w:basedOn w:val="Normalny"/>
    <w:next w:val="Normalny"/>
    <w:uiPriority w:val="99"/>
    <w:unhideWhenUsed/>
    <w:rsid w:val="005C2114"/>
    <w:pPr>
      <w:spacing w:after="0"/>
      <w:ind w:left="0"/>
    </w:pPr>
  </w:style>
  <w:style w:type="character" w:styleId="Odwoaniedokomentarza">
    <w:name w:val="annotation reference"/>
    <w:basedOn w:val="Domylnaczcionkaakapitu"/>
    <w:uiPriority w:val="99"/>
    <w:semiHidden/>
    <w:unhideWhenUsed/>
    <w:rsid w:val="009B2EB4"/>
    <w:rPr>
      <w:sz w:val="16"/>
      <w:szCs w:val="16"/>
    </w:rPr>
  </w:style>
  <w:style w:type="paragraph" w:styleId="Tekstkomentarza">
    <w:name w:val="annotation text"/>
    <w:basedOn w:val="Normalny"/>
    <w:link w:val="TekstkomentarzaZnak"/>
    <w:uiPriority w:val="99"/>
    <w:semiHidden/>
    <w:unhideWhenUsed/>
    <w:rsid w:val="009B2EB4"/>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9B2EB4"/>
    <w:rPr>
      <w:sz w:val="20"/>
      <w:szCs w:val="20"/>
      <w:lang w:val="en-AU"/>
    </w:rPr>
  </w:style>
  <w:style w:type="paragraph" w:styleId="Tematkomentarza">
    <w:name w:val="annotation subject"/>
    <w:basedOn w:val="Tekstkomentarza"/>
    <w:next w:val="Tekstkomentarza"/>
    <w:link w:val="TematkomentarzaZnak"/>
    <w:uiPriority w:val="99"/>
    <w:semiHidden/>
    <w:unhideWhenUsed/>
    <w:rsid w:val="009B2EB4"/>
    <w:rPr>
      <w:b/>
      <w:bCs/>
    </w:rPr>
  </w:style>
  <w:style w:type="character" w:customStyle="1" w:styleId="TematkomentarzaZnak">
    <w:name w:val="Temat komentarza Znak"/>
    <w:basedOn w:val="TekstkomentarzaZnak"/>
    <w:link w:val="Tematkomentarza"/>
    <w:uiPriority w:val="99"/>
    <w:semiHidden/>
    <w:rsid w:val="009B2EB4"/>
    <w:rPr>
      <w:b/>
      <w:bCs/>
      <w:sz w:val="20"/>
      <w:szCs w:val="20"/>
      <w:lang w:val="en-AU"/>
    </w:rPr>
  </w:style>
  <w:style w:type="paragraph" w:customStyle="1" w:styleId="elementgraficznytabela">
    <w:name w:val="element graficzny / tabela"/>
    <w:basedOn w:val="Normalny"/>
    <w:next w:val="podpiselementu"/>
    <w:link w:val="elementgraficznytabelaZnak"/>
    <w:qFormat/>
    <w:rsid w:val="00701C23"/>
    <w:pPr>
      <w:keepNext/>
      <w:spacing w:after="120"/>
      <w:ind w:left="0"/>
    </w:pPr>
    <w:rPr>
      <w:noProof/>
      <w:lang w:val="pl-PL"/>
    </w:rPr>
  </w:style>
  <w:style w:type="paragraph" w:customStyle="1" w:styleId="podpiselementu">
    <w:name w:val="podpis elementu"/>
    <w:basedOn w:val="Normalny"/>
    <w:next w:val="Normalny"/>
    <w:link w:val="podpiselementuZnak"/>
    <w:qFormat/>
    <w:rsid w:val="00B509E0"/>
    <w:pPr>
      <w:spacing w:after="360"/>
      <w:ind w:left="0"/>
    </w:pPr>
    <w:rPr>
      <w:rFonts w:ascii="Calibri Light" w:hAnsi="Calibri Light"/>
    </w:rPr>
  </w:style>
  <w:style w:type="character" w:customStyle="1" w:styleId="elementgraficznytabelaZnak">
    <w:name w:val="element graficzny / tabela Znak"/>
    <w:basedOn w:val="Domylnaczcionkaakapitu"/>
    <w:link w:val="elementgraficznytabela"/>
    <w:rsid w:val="00701C23"/>
    <w:rPr>
      <w:noProof/>
      <w:sz w:val="24"/>
    </w:rPr>
  </w:style>
  <w:style w:type="character" w:customStyle="1" w:styleId="podpiselementuZnak">
    <w:name w:val="podpis elementu Znak"/>
    <w:basedOn w:val="elementgraficznytabelaZnak"/>
    <w:link w:val="podpiselementu"/>
    <w:rsid w:val="00B509E0"/>
    <w:rPr>
      <w:rFonts w:ascii="Calibri Light" w:hAnsi="Calibri Light"/>
      <w:noProof/>
      <w:sz w:val="24"/>
      <w:lang w:val="en-AU"/>
    </w:rPr>
  </w:style>
  <w:style w:type="character" w:styleId="Odwoaniedelikatne">
    <w:name w:val="Subtle Reference"/>
    <w:basedOn w:val="Domylnaczcionkaakapitu"/>
    <w:uiPriority w:val="31"/>
    <w:qFormat/>
    <w:rsid w:val="00E40A73"/>
    <w:rPr>
      <w:smallCaps/>
      <w:color w:val="5A5A5A" w:themeColor="text1" w:themeTint="A5"/>
    </w:rPr>
  </w:style>
  <w:style w:type="character" w:styleId="Nierozpoznanawzmianka">
    <w:name w:val="Unresolved Mention"/>
    <w:basedOn w:val="Domylnaczcionkaakapitu"/>
    <w:uiPriority w:val="99"/>
    <w:semiHidden/>
    <w:unhideWhenUsed/>
    <w:rsid w:val="008E7925"/>
    <w:rPr>
      <w:color w:val="605E5C"/>
      <w:shd w:val="clear" w:color="auto" w:fill="E1DFDD"/>
    </w:rPr>
  </w:style>
  <w:style w:type="paragraph" w:customStyle="1" w:styleId="metryczka">
    <w:name w:val="metryczka"/>
    <w:basedOn w:val="Normalny"/>
    <w:link w:val="metryczkaZnak"/>
    <w:qFormat/>
    <w:rsid w:val="009E4CBF"/>
    <w:pPr>
      <w:spacing w:after="120"/>
      <w:ind w:left="0"/>
    </w:pPr>
  </w:style>
  <w:style w:type="character" w:customStyle="1" w:styleId="A3">
    <w:name w:val="A3"/>
    <w:uiPriority w:val="99"/>
    <w:rsid w:val="008A1ECB"/>
    <w:rPr>
      <w:rFonts w:cs="Cambria"/>
      <w:color w:val="000000"/>
      <w:sz w:val="20"/>
      <w:szCs w:val="20"/>
    </w:rPr>
  </w:style>
  <w:style w:type="character" w:customStyle="1" w:styleId="metryczkaZnak">
    <w:name w:val="metryczka Znak"/>
    <w:basedOn w:val="elementgraficznytabelaZnak"/>
    <w:link w:val="metryczka"/>
    <w:rsid w:val="009E4CBF"/>
    <w:rPr>
      <w:noProof/>
      <w:sz w:val="24"/>
      <w:lang w:val="en-AU"/>
    </w:rPr>
  </w:style>
  <w:style w:type="table" w:customStyle="1" w:styleId="CWD">
    <w:name w:val="CWD"/>
    <w:basedOn w:val="Standardowy"/>
    <w:uiPriority w:val="99"/>
    <w:rsid w:val="00026283"/>
    <w:pPr>
      <w:spacing w:after="0" w:line="240" w:lineRule="auto"/>
      <w:jc w:val="right"/>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jc w:val="left"/>
      </w:pPr>
      <w:rPr>
        <w:b/>
      </w:rPr>
      <w:tblPr/>
      <w:tcPr>
        <w:shd w:val="clear" w:color="auto" w:fill="FBB613"/>
      </w:tcPr>
    </w:tblStylePr>
    <w:tblStylePr w:type="firstCol">
      <w:pPr>
        <w:jc w:val="left"/>
      </w:pPr>
      <w:rPr>
        <w:b/>
      </w:rPr>
      <w:tblPr/>
      <w:tcPr>
        <w:shd w:val="clear" w:color="auto" w:fill="D9D9D9" w:themeFill="background1" w:themeFillShade="D9"/>
      </w:tcPr>
    </w:tblStylePr>
  </w:style>
  <w:style w:type="character" w:customStyle="1" w:styleId="Nagwek5Znak">
    <w:name w:val="Nagłówek 5 Znak"/>
    <w:basedOn w:val="Domylnaczcionkaakapitu"/>
    <w:link w:val="Nagwek5"/>
    <w:uiPriority w:val="9"/>
    <w:rsid w:val="00284D34"/>
    <w:rPr>
      <w:rFonts w:asciiTheme="majorHAnsi" w:eastAsiaTheme="majorEastAsia" w:hAnsiTheme="majorHAnsi" w:cstheme="majorBidi"/>
      <w:color w:val="2F5496" w:themeColor="accent1" w:themeShade="BF"/>
      <w:sz w:val="24"/>
      <w:lang w:val="en-AU"/>
    </w:rPr>
  </w:style>
  <w:style w:type="character" w:customStyle="1" w:styleId="AkapitzlistZnak">
    <w:name w:val="Akapit z listą Znak"/>
    <w:aliases w:val="L1 Znak,Numerowanie Znak,Akapit normalny Znak,Lista XXX Znak,Akapit z listą 1 Znak,Akapit z listą5 Znak,EPL lista punktowana z wyrózneniem Znak,Akapit z listą BS Znak"/>
    <w:basedOn w:val="Domylnaczcionkaakapitu"/>
    <w:link w:val="Akapitzlist"/>
    <w:uiPriority w:val="34"/>
    <w:qFormat/>
    <w:rsid w:val="005359DC"/>
    <w:rPr>
      <w:noProof/>
      <w:sz w:val="24"/>
      <w:lang w:val="en-AU"/>
    </w:rPr>
  </w:style>
  <w:style w:type="character" w:customStyle="1" w:styleId="normaltextrun">
    <w:name w:val="normaltextrun"/>
    <w:basedOn w:val="Domylnaczcionkaakapitu"/>
    <w:rsid w:val="005359DC"/>
  </w:style>
  <w:style w:type="character" w:customStyle="1" w:styleId="LegendaZnak">
    <w:name w:val="Legenda Znak"/>
    <w:aliases w:val="Legenda Znak Znak Znak Znak1,Legenda Znak Znak Znak1,Legenda Znak Znak Znak Znak Znak,Legenda Znak Znak Znak Znak Znak Znak Znak1,Legenda Znak Znak Znak Znak Znak Znak Znak Znak,Legenda Znak Znak Znak Znak Znak Znak Znak Znak Znak Z Znak"/>
    <w:basedOn w:val="Domylnaczcionkaakapitu"/>
    <w:link w:val="Legenda"/>
    <w:uiPriority w:val="35"/>
    <w:locked/>
    <w:rsid w:val="002E24A9"/>
    <w:rPr>
      <w:bCs/>
      <w:iCs/>
      <w:sz w:val="20"/>
      <w:szCs w:val="20"/>
      <w:lang w:val="en-AU"/>
    </w:rPr>
  </w:style>
  <w:style w:type="paragraph" w:styleId="NormalnyWeb">
    <w:name w:val="Normal (Web)"/>
    <w:basedOn w:val="Normalny"/>
    <w:uiPriority w:val="99"/>
    <w:unhideWhenUsed/>
    <w:rsid w:val="00FC7448"/>
    <w:pPr>
      <w:spacing w:before="100" w:beforeAutospacing="1" w:after="100" w:afterAutospacing="1" w:line="240" w:lineRule="auto"/>
      <w:ind w:left="0"/>
    </w:pPr>
    <w:rPr>
      <w:rFonts w:ascii="Times New Roman" w:eastAsia="Times New Roman" w:hAnsi="Times New Roman" w:cs="Times New Roman"/>
      <w:szCs w:val="24"/>
      <w:lang w:val="pl-PL" w:eastAsia="pl-PL"/>
    </w:rPr>
  </w:style>
  <w:style w:type="paragraph" w:customStyle="1" w:styleId="rdo">
    <w:name w:val="źródło"/>
    <w:basedOn w:val="Normalny"/>
    <w:link w:val="rdoZnak"/>
    <w:qFormat/>
    <w:rsid w:val="00636B20"/>
    <w:pPr>
      <w:spacing w:before="0" w:after="120" w:line="240" w:lineRule="auto"/>
      <w:ind w:left="0"/>
      <w:jc w:val="both"/>
    </w:pPr>
    <w:rPr>
      <w:rFonts w:ascii="Calibri Light" w:eastAsia="Calibri" w:hAnsi="Calibri Light" w:cs="Times New Roman"/>
      <w:i/>
      <w:color w:val="1F3864" w:themeColor="accent1" w:themeShade="80"/>
      <w:sz w:val="18"/>
      <w:lang w:val="pl-PL"/>
    </w:rPr>
  </w:style>
  <w:style w:type="character" w:customStyle="1" w:styleId="rdoZnak">
    <w:name w:val="źródło Znak"/>
    <w:basedOn w:val="Domylnaczcionkaakapitu"/>
    <w:link w:val="rdo"/>
    <w:rsid w:val="00636B20"/>
    <w:rPr>
      <w:rFonts w:ascii="Calibri Light" w:eastAsia="Calibri" w:hAnsi="Calibri Light" w:cs="Times New Roman"/>
      <w:i/>
      <w:color w:val="1F3864" w:themeColor="accent1" w:themeShade="80"/>
      <w:sz w:val="18"/>
    </w:rPr>
  </w:style>
  <w:style w:type="paragraph" w:customStyle="1" w:styleId="nad">
    <w:name w:val="nad"/>
    <w:basedOn w:val="Legenda"/>
    <w:link w:val="nadZnak"/>
    <w:qFormat/>
    <w:rsid w:val="00636B20"/>
    <w:pPr>
      <w:spacing w:before="240" w:after="0"/>
    </w:pPr>
    <w:rPr>
      <w:rFonts w:asciiTheme="majorHAnsi" w:hAnsiTheme="majorHAnsi"/>
      <w:b/>
      <w:i/>
      <w:color w:val="1F3864" w:themeColor="accent1" w:themeShade="80"/>
      <w:sz w:val="18"/>
      <w:lang w:val="pl-PL"/>
    </w:rPr>
  </w:style>
  <w:style w:type="character" w:customStyle="1" w:styleId="nadZnak">
    <w:name w:val="nad Znak"/>
    <w:basedOn w:val="Domylnaczcionkaakapitu"/>
    <w:link w:val="nad"/>
    <w:rsid w:val="00636B20"/>
    <w:rPr>
      <w:rFonts w:asciiTheme="majorHAnsi" w:hAnsiTheme="majorHAnsi"/>
      <w:i/>
      <w:iCs/>
      <w:color w:val="1F3864" w:themeColor="accent1" w:themeShade="80"/>
      <w:sz w:val="18"/>
      <w:szCs w:val="18"/>
    </w:rPr>
  </w:style>
  <w:style w:type="character" w:customStyle="1" w:styleId="kwal">
    <w:name w:val="kwal"/>
    <w:basedOn w:val="Domylnaczcionkaakapitu"/>
    <w:rsid w:val="0004527E"/>
  </w:style>
  <w:style w:type="character" w:customStyle="1" w:styleId="def">
    <w:name w:val="def"/>
    <w:basedOn w:val="Domylnaczcionkaakapitu"/>
    <w:rsid w:val="0004527E"/>
  </w:style>
  <w:style w:type="paragraph" w:customStyle="1" w:styleId="opcjonalne">
    <w:name w:val="opcjonalne"/>
    <w:basedOn w:val="Akapitzlist"/>
    <w:link w:val="opcjonalneZnak"/>
    <w:qFormat/>
    <w:rsid w:val="000B2C0B"/>
    <w:pPr>
      <w:numPr>
        <w:numId w:val="0"/>
      </w:numPr>
      <w:spacing w:before="100" w:beforeAutospacing="1" w:after="100" w:afterAutospacing="1" w:line="240" w:lineRule="auto"/>
    </w:pPr>
    <w:rPr>
      <w:rFonts w:cstheme="minorHAnsi"/>
      <w:color w:val="44546A" w:themeColor="text2"/>
      <w:sz w:val="18"/>
      <w:szCs w:val="18"/>
      <w:shd w:val="clear" w:color="auto" w:fill="FFFFFF"/>
    </w:rPr>
  </w:style>
  <w:style w:type="character" w:customStyle="1" w:styleId="opcjonalneZnak">
    <w:name w:val="opcjonalne Znak"/>
    <w:basedOn w:val="AkapitzlistZnak"/>
    <w:link w:val="opcjonalne"/>
    <w:rsid w:val="000B2C0B"/>
    <w:rPr>
      <w:rFonts w:cstheme="minorHAnsi"/>
      <w:noProof/>
      <w:color w:val="44546A" w:themeColor="text2"/>
      <w:sz w:val="18"/>
      <w:szCs w:val="18"/>
      <w:lang w:val="en-AU"/>
    </w:rPr>
  </w:style>
  <w:style w:type="character" w:styleId="UyteHipercze">
    <w:name w:val="FollowedHyperlink"/>
    <w:basedOn w:val="Domylnaczcionkaakapitu"/>
    <w:uiPriority w:val="99"/>
    <w:semiHidden/>
    <w:unhideWhenUsed/>
    <w:rsid w:val="003C7BFF"/>
    <w:rPr>
      <w:color w:val="954F72" w:themeColor="followedHyperlink"/>
      <w:u w:val="single"/>
    </w:rPr>
  </w:style>
  <w:style w:type="paragraph" w:customStyle="1" w:styleId="msonormal0">
    <w:name w:val="msonormal"/>
    <w:basedOn w:val="Normalny"/>
    <w:rsid w:val="003C7BFF"/>
    <w:pPr>
      <w:spacing w:before="100" w:beforeAutospacing="1" w:after="100" w:afterAutospacing="1" w:line="240" w:lineRule="auto"/>
      <w:ind w:left="0"/>
    </w:pPr>
    <w:rPr>
      <w:rFonts w:ascii="Times New Roman" w:eastAsia="Times New Roman" w:hAnsi="Times New Roman" w:cs="Times New Roman"/>
      <w:szCs w:val="24"/>
      <w:lang w:val="pl-PL" w:eastAsia="pl-PL"/>
    </w:rPr>
  </w:style>
  <w:style w:type="paragraph" w:customStyle="1" w:styleId="paragraph">
    <w:name w:val="paragraph"/>
    <w:basedOn w:val="Normalny"/>
    <w:rsid w:val="003C7BFF"/>
    <w:pPr>
      <w:spacing w:before="100" w:beforeAutospacing="1" w:after="100" w:afterAutospacing="1" w:line="240" w:lineRule="auto"/>
      <w:ind w:left="0"/>
    </w:pPr>
    <w:rPr>
      <w:rFonts w:ascii="Times New Roman" w:eastAsia="Times New Roman" w:hAnsi="Times New Roman" w:cs="Times New Roman"/>
      <w:szCs w:val="24"/>
      <w:lang w:val="pl-PL" w:eastAsia="pl-PL"/>
    </w:rPr>
  </w:style>
  <w:style w:type="character" w:customStyle="1" w:styleId="Tytu1">
    <w:name w:val="Tytuł1"/>
    <w:basedOn w:val="Domylnaczcionkaakapitu"/>
    <w:rsid w:val="003C7BFF"/>
  </w:style>
  <w:style w:type="character" w:customStyle="1" w:styleId="Tytu2">
    <w:name w:val="Tytuł2"/>
    <w:basedOn w:val="Domylnaczcionkaakapitu"/>
    <w:rsid w:val="003C7BFF"/>
  </w:style>
  <w:style w:type="character" w:customStyle="1" w:styleId="Tytu3">
    <w:name w:val="Tytuł3"/>
    <w:basedOn w:val="Domylnaczcionkaakapitu"/>
    <w:rsid w:val="003C7BFF"/>
  </w:style>
  <w:style w:type="character" w:customStyle="1" w:styleId="Tytu4">
    <w:name w:val="Tytuł4"/>
    <w:basedOn w:val="Domylnaczcionkaakapitu"/>
    <w:rsid w:val="003C7BFF"/>
  </w:style>
  <w:style w:type="character" w:customStyle="1" w:styleId="eop">
    <w:name w:val="eop"/>
    <w:basedOn w:val="Domylnaczcionkaakapitu"/>
    <w:rsid w:val="003C7BFF"/>
  </w:style>
  <w:style w:type="character" w:styleId="Uwydatnienie">
    <w:name w:val="Emphasis"/>
    <w:basedOn w:val="Domylnaczcionkaakapitu"/>
    <w:uiPriority w:val="20"/>
    <w:qFormat/>
    <w:rsid w:val="003C7BFF"/>
    <w:rPr>
      <w:i/>
      <w:iCs/>
    </w:rPr>
  </w:style>
  <w:style w:type="character" w:styleId="Odwoanieprzypisukocowego">
    <w:name w:val="endnote reference"/>
    <w:basedOn w:val="Domylnaczcionkaakapitu"/>
    <w:uiPriority w:val="99"/>
    <w:semiHidden/>
    <w:unhideWhenUsed/>
    <w:rsid w:val="00663515"/>
    <w:rPr>
      <w:vertAlign w:val="superscript"/>
    </w:rPr>
  </w:style>
  <w:style w:type="paragraph" w:styleId="HTML-wstpniesformatowany">
    <w:name w:val="HTML Preformatted"/>
    <w:basedOn w:val="Normalny"/>
    <w:link w:val="HTML-wstpniesformatowanyZnak"/>
    <w:uiPriority w:val="99"/>
    <w:unhideWhenUsed/>
    <w:rsid w:val="00522D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ind w:left="0"/>
    </w:pPr>
    <w:rPr>
      <w:rFonts w:ascii="Courier New" w:eastAsia="Times New Roman" w:hAnsi="Courier New" w:cs="Courier New"/>
      <w:sz w:val="20"/>
      <w:szCs w:val="20"/>
      <w:lang w:val="pl-PL" w:eastAsia="pl-PL"/>
    </w:rPr>
  </w:style>
  <w:style w:type="character" w:customStyle="1" w:styleId="HTML-wstpniesformatowanyZnak">
    <w:name w:val="HTML - wstępnie sformatowany Znak"/>
    <w:basedOn w:val="Domylnaczcionkaakapitu"/>
    <w:link w:val="HTML-wstpniesformatowany"/>
    <w:uiPriority w:val="99"/>
    <w:rsid w:val="00522D8B"/>
    <w:rPr>
      <w:rFonts w:ascii="Courier New" w:eastAsia="Times New Roman" w:hAnsi="Courier New" w:cs="Courier New"/>
      <w:sz w:val="20"/>
      <w:szCs w:val="20"/>
      <w:lang w:eastAsia="pl-P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2207988">
      <w:bodyDiv w:val="1"/>
      <w:marLeft w:val="0"/>
      <w:marRight w:val="0"/>
      <w:marTop w:val="0"/>
      <w:marBottom w:val="0"/>
      <w:divBdr>
        <w:top w:val="none" w:sz="0" w:space="0" w:color="auto"/>
        <w:left w:val="none" w:sz="0" w:space="0" w:color="auto"/>
        <w:bottom w:val="none" w:sz="0" w:space="0" w:color="auto"/>
        <w:right w:val="none" w:sz="0" w:space="0" w:color="auto"/>
      </w:divBdr>
      <w:divsChild>
        <w:div w:id="1977251805">
          <w:marLeft w:val="547"/>
          <w:marRight w:val="0"/>
          <w:marTop w:val="0"/>
          <w:marBottom w:val="0"/>
          <w:divBdr>
            <w:top w:val="none" w:sz="0" w:space="0" w:color="auto"/>
            <w:left w:val="none" w:sz="0" w:space="0" w:color="auto"/>
            <w:bottom w:val="none" w:sz="0" w:space="0" w:color="auto"/>
            <w:right w:val="none" w:sz="0" w:space="0" w:color="auto"/>
          </w:divBdr>
        </w:div>
      </w:divsChild>
    </w:div>
    <w:div w:id="406079963">
      <w:bodyDiv w:val="1"/>
      <w:marLeft w:val="0"/>
      <w:marRight w:val="0"/>
      <w:marTop w:val="0"/>
      <w:marBottom w:val="0"/>
      <w:divBdr>
        <w:top w:val="none" w:sz="0" w:space="0" w:color="auto"/>
        <w:left w:val="none" w:sz="0" w:space="0" w:color="auto"/>
        <w:bottom w:val="none" w:sz="0" w:space="0" w:color="auto"/>
        <w:right w:val="none" w:sz="0" w:space="0" w:color="auto"/>
      </w:divBdr>
    </w:div>
    <w:div w:id="506602360">
      <w:bodyDiv w:val="1"/>
      <w:marLeft w:val="0"/>
      <w:marRight w:val="0"/>
      <w:marTop w:val="0"/>
      <w:marBottom w:val="0"/>
      <w:divBdr>
        <w:top w:val="none" w:sz="0" w:space="0" w:color="auto"/>
        <w:left w:val="none" w:sz="0" w:space="0" w:color="auto"/>
        <w:bottom w:val="none" w:sz="0" w:space="0" w:color="auto"/>
        <w:right w:val="none" w:sz="0" w:space="0" w:color="auto"/>
      </w:divBdr>
      <w:divsChild>
        <w:div w:id="313141718">
          <w:marLeft w:val="0"/>
          <w:marRight w:val="0"/>
          <w:marTop w:val="0"/>
          <w:marBottom w:val="0"/>
          <w:divBdr>
            <w:top w:val="none" w:sz="0" w:space="0" w:color="auto"/>
            <w:left w:val="none" w:sz="0" w:space="0" w:color="auto"/>
            <w:bottom w:val="none" w:sz="0" w:space="0" w:color="auto"/>
            <w:right w:val="none" w:sz="0" w:space="0" w:color="auto"/>
          </w:divBdr>
          <w:divsChild>
            <w:div w:id="8139088">
              <w:marLeft w:val="0"/>
              <w:marRight w:val="0"/>
              <w:marTop w:val="0"/>
              <w:marBottom w:val="0"/>
              <w:divBdr>
                <w:top w:val="none" w:sz="0" w:space="0" w:color="auto"/>
                <w:left w:val="none" w:sz="0" w:space="0" w:color="auto"/>
                <w:bottom w:val="none" w:sz="0" w:space="0" w:color="auto"/>
                <w:right w:val="none" w:sz="0" w:space="0" w:color="auto"/>
              </w:divBdr>
            </w:div>
            <w:div w:id="1469129637">
              <w:marLeft w:val="0"/>
              <w:marRight w:val="0"/>
              <w:marTop w:val="0"/>
              <w:marBottom w:val="0"/>
              <w:divBdr>
                <w:top w:val="none" w:sz="0" w:space="0" w:color="auto"/>
                <w:left w:val="none" w:sz="0" w:space="0" w:color="auto"/>
                <w:bottom w:val="none" w:sz="0" w:space="0" w:color="auto"/>
                <w:right w:val="none" w:sz="0" w:space="0" w:color="auto"/>
              </w:divBdr>
            </w:div>
            <w:div w:id="1834952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5794164">
      <w:bodyDiv w:val="1"/>
      <w:marLeft w:val="0"/>
      <w:marRight w:val="0"/>
      <w:marTop w:val="0"/>
      <w:marBottom w:val="0"/>
      <w:divBdr>
        <w:top w:val="none" w:sz="0" w:space="0" w:color="auto"/>
        <w:left w:val="none" w:sz="0" w:space="0" w:color="auto"/>
        <w:bottom w:val="none" w:sz="0" w:space="0" w:color="auto"/>
        <w:right w:val="none" w:sz="0" w:space="0" w:color="auto"/>
      </w:divBdr>
    </w:div>
    <w:div w:id="654646663">
      <w:bodyDiv w:val="1"/>
      <w:marLeft w:val="0"/>
      <w:marRight w:val="0"/>
      <w:marTop w:val="0"/>
      <w:marBottom w:val="0"/>
      <w:divBdr>
        <w:top w:val="none" w:sz="0" w:space="0" w:color="auto"/>
        <w:left w:val="none" w:sz="0" w:space="0" w:color="auto"/>
        <w:bottom w:val="none" w:sz="0" w:space="0" w:color="auto"/>
        <w:right w:val="none" w:sz="0" w:space="0" w:color="auto"/>
      </w:divBdr>
    </w:div>
    <w:div w:id="943003737">
      <w:bodyDiv w:val="1"/>
      <w:marLeft w:val="0"/>
      <w:marRight w:val="0"/>
      <w:marTop w:val="0"/>
      <w:marBottom w:val="0"/>
      <w:divBdr>
        <w:top w:val="none" w:sz="0" w:space="0" w:color="auto"/>
        <w:left w:val="none" w:sz="0" w:space="0" w:color="auto"/>
        <w:bottom w:val="none" w:sz="0" w:space="0" w:color="auto"/>
        <w:right w:val="none" w:sz="0" w:space="0" w:color="auto"/>
      </w:divBdr>
      <w:divsChild>
        <w:div w:id="638925252">
          <w:marLeft w:val="0"/>
          <w:marRight w:val="0"/>
          <w:marTop w:val="0"/>
          <w:marBottom w:val="0"/>
          <w:divBdr>
            <w:top w:val="none" w:sz="0" w:space="0" w:color="auto"/>
            <w:left w:val="none" w:sz="0" w:space="0" w:color="auto"/>
            <w:bottom w:val="none" w:sz="0" w:space="0" w:color="auto"/>
            <w:right w:val="none" w:sz="0" w:space="0" w:color="auto"/>
          </w:divBdr>
        </w:div>
      </w:divsChild>
    </w:div>
    <w:div w:id="1020274801">
      <w:bodyDiv w:val="1"/>
      <w:marLeft w:val="0"/>
      <w:marRight w:val="0"/>
      <w:marTop w:val="0"/>
      <w:marBottom w:val="0"/>
      <w:divBdr>
        <w:top w:val="none" w:sz="0" w:space="0" w:color="auto"/>
        <w:left w:val="none" w:sz="0" w:space="0" w:color="auto"/>
        <w:bottom w:val="none" w:sz="0" w:space="0" w:color="auto"/>
        <w:right w:val="none" w:sz="0" w:space="0" w:color="auto"/>
      </w:divBdr>
      <w:divsChild>
        <w:div w:id="1696224063">
          <w:marLeft w:val="547"/>
          <w:marRight w:val="0"/>
          <w:marTop w:val="0"/>
          <w:marBottom w:val="0"/>
          <w:divBdr>
            <w:top w:val="none" w:sz="0" w:space="0" w:color="auto"/>
            <w:left w:val="none" w:sz="0" w:space="0" w:color="auto"/>
            <w:bottom w:val="none" w:sz="0" w:space="0" w:color="auto"/>
            <w:right w:val="none" w:sz="0" w:space="0" w:color="auto"/>
          </w:divBdr>
        </w:div>
      </w:divsChild>
    </w:div>
    <w:div w:id="1068305768">
      <w:bodyDiv w:val="1"/>
      <w:marLeft w:val="0"/>
      <w:marRight w:val="0"/>
      <w:marTop w:val="0"/>
      <w:marBottom w:val="0"/>
      <w:divBdr>
        <w:top w:val="none" w:sz="0" w:space="0" w:color="auto"/>
        <w:left w:val="none" w:sz="0" w:space="0" w:color="auto"/>
        <w:bottom w:val="none" w:sz="0" w:space="0" w:color="auto"/>
        <w:right w:val="none" w:sz="0" w:space="0" w:color="auto"/>
      </w:divBdr>
    </w:div>
    <w:div w:id="1084185391">
      <w:bodyDiv w:val="1"/>
      <w:marLeft w:val="0"/>
      <w:marRight w:val="0"/>
      <w:marTop w:val="0"/>
      <w:marBottom w:val="0"/>
      <w:divBdr>
        <w:top w:val="none" w:sz="0" w:space="0" w:color="auto"/>
        <w:left w:val="none" w:sz="0" w:space="0" w:color="auto"/>
        <w:bottom w:val="none" w:sz="0" w:space="0" w:color="auto"/>
        <w:right w:val="none" w:sz="0" w:space="0" w:color="auto"/>
      </w:divBdr>
    </w:div>
    <w:div w:id="1106999908">
      <w:bodyDiv w:val="1"/>
      <w:marLeft w:val="0"/>
      <w:marRight w:val="0"/>
      <w:marTop w:val="0"/>
      <w:marBottom w:val="0"/>
      <w:divBdr>
        <w:top w:val="none" w:sz="0" w:space="0" w:color="auto"/>
        <w:left w:val="none" w:sz="0" w:space="0" w:color="auto"/>
        <w:bottom w:val="none" w:sz="0" w:space="0" w:color="auto"/>
        <w:right w:val="none" w:sz="0" w:space="0" w:color="auto"/>
      </w:divBdr>
    </w:div>
    <w:div w:id="1324968625">
      <w:bodyDiv w:val="1"/>
      <w:marLeft w:val="0"/>
      <w:marRight w:val="0"/>
      <w:marTop w:val="0"/>
      <w:marBottom w:val="0"/>
      <w:divBdr>
        <w:top w:val="none" w:sz="0" w:space="0" w:color="auto"/>
        <w:left w:val="none" w:sz="0" w:space="0" w:color="auto"/>
        <w:bottom w:val="none" w:sz="0" w:space="0" w:color="auto"/>
        <w:right w:val="none" w:sz="0" w:space="0" w:color="auto"/>
      </w:divBdr>
      <w:divsChild>
        <w:div w:id="1085691545">
          <w:marLeft w:val="547"/>
          <w:marRight w:val="0"/>
          <w:marTop w:val="0"/>
          <w:marBottom w:val="0"/>
          <w:divBdr>
            <w:top w:val="none" w:sz="0" w:space="0" w:color="auto"/>
            <w:left w:val="none" w:sz="0" w:space="0" w:color="auto"/>
            <w:bottom w:val="none" w:sz="0" w:space="0" w:color="auto"/>
            <w:right w:val="none" w:sz="0" w:space="0" w:color="auto"/>
          </w:divBdr>
        </w:div>
      </w:divsChild>
    </w:div>
    <w:div w:id="1490172630">
      <w:bodyDiv w:val="1"/>
      <w:marLeft w:val="0"/>
      <w:marRight w:val="0"/>
      <w:marTop w:val="0"/>
      <w:marBottom w:val="0"/>
      <w:divBdr>
        <w:top w:val="none" w:sz="0" w:space="0" w:color="auto"/>
        <w:left w:val="none" w:sz="0" w:space="0" w:color="auto"/>
        <w:bottom w:val="none" w:sz="0" w:space="0" w:color="auto"/>
        <w:right w:val="none" w:sz="0" w:space="0" w:color="auto"/>
      </w:divBdr>
    </w:div>
    <w:div w:id="16398443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39.png"/><Relationship Id="rId21" Type="http://schemas.openxmlformats.org/officeDocument/2006/relationships/diagramQuickStyle" Target="diagrams/quickStyle1.xml"/><Relationship Id="rId42" Type="http://schemas.openxmlformats.org/officeDocument/2006/relationships/chart" Target="charts/chart5.xml"/><Relationship Id="rId63" Type="http://schemas.openxmlformats.org/officeDocument/2006/relationships/image" Target="media/image23.png"/><Relationship Id="rId84" Type="http://schemas.openxmlformats.org/officeDocument/2006/relationships/chart" Target="charts/chart16.xml"/><Relationship Id="rId138" Type="http://schemas.openxmlformats.org/officeDocument/2006/relationships/diagramQuickStyle" Target="diagrams/quickStyle5.xml"/><Relationship Id="rId159" Type="http://schemas.openxmlformats.org/officeDocument/2006/relationships/image" Target="media/image57.png"/><Relationship Id="rId170" Type="http://schemas.openxmlformats.org/officeDocument/2006/relationships/image" Target="media/image63.svg"/><Relationship Id="rId107" Type="http://schemas.openxmlformats.org/officeDocument/2006/relationships/diagramColors" Target="diagrams/colors4.xml"/><Relationship Id="rId11" Type="http://schemas.openxmlformats.org/officeDocument/2006/relationships/image" Target="media/image3.png"/><Relationship Id="rId32" Type="http://schemas.openxmlformats.org/officeDocument/2006/relationships/image" Target="media/image11.png"/><Relationship Id="rId53" Type="http://schemas.microsoft.com/office/2007/relationships/diagramDrawing" Target="diagrams/drawing3.xml"/><Relationship Id="rId74" Type="http://schemas.openxmlformats.org/officeDocument/2006/relationships/footer" Target="footer1.xml"/><Relationship Id="rId128" Type="http://schemas.openxmlformats.org/officeDocument/2006/relationships/hyperlink" Target="https://analizy.monitorrozwoju.pl" TargetMode="External"/><Relationship Id="rId149" Type="http://schemas.openxmlformats.org/officeDocument/2006/relationships/image" Target="media/image50.jpeg"/><Relationship Id="rId5" Type="http://schemas.openxmlformats.org/officeDocument/2006/relationships/numbering" Target="numbering.xml"/><Relationship Id="rId95" Type="http://schemas.openxmlformats.org/officeDocument/2006/relationships/image" Target="media/image33.png"/><Relationship Id="rId160" Type="http://schemas.openxmlformats.org/officeDocument/2006/relationships/image" Target="media/image58.png"/><Relationship Id="rId181" Type="http://schemas.openxmlformats.org/officeDocument/2006/relationships/chart" Target="charts/chart32.xml"/><Relationship Id="rId22" Type="http://schemas.openxmlformats.org/officeDocument/2006/relationships/diagramColors" Target="diagrams/colors1.xml"/><Relationship Id="rId43" Type="http://schemas.openxmlformats.org/officeDocument/2006/relationships/chart" Target="charts/chart6.xml"/><Relationship Id="rId64" Type="http://schemas.openxmlformats.org/officeDocument/2006/relationships/image" Target="media/image24.png"/><Relationship Id="rId118" Type="http://schemas.openxmlformats.org/officeDocument/2006/relationships/hyperlink" Target="https://encyklopedia.pwn.pl/encyklopedia/Poda%C5%BC%20pracy.html" TargetMode="External"/><Relationship Id="rId139" Type="http://schemas.openxmlformats.org/officeDocument/2006/relationships/diagramColors" Target="diagrams/colors5.xml"/><Relationship Id="rId85" Type="http://schemas.openxmlformats.org/officeDocument/2006/relationships/hyperlink" Target="https://analizy.monitorrozwoju.pl" TargetMode="External"/><Relationship Id="rId150" Type="http://schemas.openxmlformats.org/officeDocument/2006/relationships/hyperlink" Target="http://www.warmena.pl" TargetMode="External"/><Relationship Id="rId171" Type="http://schemas.openxmlformats.org/officeDocument/2006/relationships/image" Target="media/image64.png"/><Relationship Id="rId12" Type="http://schemas.openxmlformats.org/officeDocument/2006/relationships/image" Target="media/image4.png"/><Relationship Id="rId33" Type="http://schemas.openxmlformats.org/officeDocument/2006/relationships/image" Target="media/image12.png"/><Relationship Id="rId108" Type="http://schemas.microsoft.com/office/2007/relationships/diagramDrawing" Target="diagrams/drawing4.xml"/><Relationship Id="rId129" Type="http://schemas.openxmlformats.org/officeDocument/2006/relationships/hyperlink" Target="https://analizy.monitorrozwoju.pl" TargetMode="External"/><Relationship Id="rId54" Type="http://schemas.openxmlformats.org/officeDocument/2006/relationships/hyperlink" Target="https://partnerstwa.monitorrozwoju.pl" TargetMode="External"/><Relationship Id="rId75" Type="http://schemas.openxmlformats.org/officeDocument/2006/relationships/footer" Target="footer2.xml"/><Relationship Id="rId96" Type="http://schemas.openxmlformats.org/officeDocument/2006/relationships/chart" Target="charts/chart17.xml"/><Relationship Id="rId140" Type="http://schemas.microsoft.com/office/2007/relationships/diagramDrawing" Target="diagrams/drawing5.xml"/><Relationship Id="rId161" Type="http://schemas.openxmlformats.org/officeDocument/2006/relationships/diagramData" Target="diagrams/data6.xml"/><Relationship Id="rId182" Type="http://schemas.openxmlformats.org/officeDocument/2006/relationships/chart" Target="charts/chart33.xml"/><Relationship Id="rId6" Type="http://schemas.openxmlformats.org/officeDocument/2006/relationships/styles" Target="styles.xml"/><Relationship Id="rId23" Type="http://schemas.microsoft.com/office/2007/relationships/diagramDrawing" Target="diagrams/drawing1.xml"/><Relationship Id="rId119" Type="http://schemas.openxmlformats.org/officeDocument/2006/relationships/hyperlink" Target="https://encyklopedia.pwn.pl/encyklopedia/Popyt%20na%20prac%C4%99.html" TargetMode="External"/><Relationship Id="rId44" Type="http://schemas.openxmlformats.org/officeDocument/2006/relationships/image" Target="media/image16.png"/><Relationship Id="rId65" Type="http://schemas.openxmlformats.org/officeDocument/2006/relationships/image" Target="media/image25.png"/><Relationship Id="rId86" Type="http://schemas.openxmlformats.org/officeDocument/2006/relationships/image" Target="media/image31.png"/><Relationship Id="rId130" Type="http://schemas.openxmlformats.org/officeDocument/2006/relationships/hyperlink" Target="https://analizy.monitorrozwoju.pl" TargetMode="External"/><Relationship Id="rId151" Type="http://schemas.openxmlformats.org/officeDocument/2006/relationships/image" Target="media/image51.png"/><Relationship Id="rId172" Type="http://schemas.openxmlformats.org/officeDocument/2006/relationships/image" Target="media/image65.png"/><Relationship Id="rId13" Type="http://schemas.openxmlformats.org/officeDocument/2006/relationships/image" Target="media/image5.png"/><Relationship Id="rId18" Type="http://schemas.openxmlformats.org/officeDocument/2006/relationships/hyperlink" Target="https://partnerstwa.monitorrozwoju.pl" TargetMode="External"/><Relationship Id="rId39" Type="http://schemas.openxmlformats.org/officeDocument/2006/relationships/chart" Target="charts/chart3.xml"/><Relationship Id="rId109" Type="http://schemas.openxmlformats.org/officeDocument/2006/relationships/image" Target="media/image36.png"/><Relationship Id="rId34" Type="http://schemas.openxmlformats.org/officeDocument/2006/relationships/image" Target="media/image13.png"/><Relationship Id="rId50" Type="http://schemas.openxmlformats.org/officeDocument/2006/relationships/diagramLayout" Target="diagrams/layout3.xml"/><Relationship Id="rId55" Type="http://schemas.openxmlformats.org/officeDocument/2006/relationships/image" Target="media/image20.png"/><Relationship Id="rId76" Type="http://schemas.openxmlformats.org/officeDocument/2006/relationships/header" Target="header3.xml"/><Relationship Id="rId97" Type="http://schemas.openxmlformats.org/officeDocument/2006/relationships/chart" Target="charts/chart18.xml"/><Relationship Id="rId104" Type="http://schemas.openxmlformats.org/officeDocument/2006/relationships/diagramData" Target="diagrams/data4.xml"/><Relationship Id="rId120" Type="http://schemas.openxmlformats.org/officeDocument/2006/relationships/image" Target="media/image40.png"/><Relationship Id="rId125" Type="http://schemas.openxmlformats.org/officeDocument/2006/relationships/image" Target="media/image42.svg"/><Relationship Id="rId141" Type="http://schemas.openxmlformats.org/officeDocument/2006/relationships/image" Target="media/image45.png"/><Relationship Id="rId146" Type="http://schemas.openxmlformats.org/officeDocument/2006/relationships/image" Target="media/image47.png"/><Relationship Id="rId167" Type="http://schemas.openxmlformats.org/officeDocument/2006/relationships/image" Target="media/image60.svg"/><Relationship Id="rId7" Type="http://schemas.openxmlformats.org/officeDocument/2006/relationships/settings" Target="settings.xml"/><Relationship Id="rId71" Type="http://schemas.openxmlformats.org/officeDocument/2006/relationships/hyperlink" Target="https://analizy.monitorrozwoju.plopiek" TargetMode="External"/><Relationship Id="rId92" Type="http://schemas.openxmlformats.org/officeDocument/2006/relationships/hyperlink" Target="http://ksow.pl/baza-danych/lgd-2014-2020?tx_wrobksow_ksowlgd%5Baction%5D=show&amp;tx_wrobksow_ksowlgd%5Bcontroller%5D=LGD&amp;tx_wrobksow_ksowlgd%5BlGD%5D=265&amp;cHash=c3d5fdb5757dc21b27c55db5299e5648" TargetMode="External"/><Relationship Id="rId162" Type="http://schemas.openxmlformats.org/officeDocument/2006/relationships/diagramLayout" Target="diagrams/layout6.xml"/><Relationship Id="rId183" Type="http://schemas.openxmlformats.org/officeDocument/2006/relationships/image" Target="media/image74.png"/><Relationship Id="rId2" Type="http://schemas.openxmlformats.org/officeDocument/2006/relationships/customXml" Target="../customXml/item2.xml"/><Relationship Id="rId29" Type="http://schemas.openxmlformats.org/officeDocument/2006/relationships/image" Target="media/image8.png"/><Relationship Id="rId24" Type="http://schemas.openxmlformats.org/officeDocument/2006/relationships/diagramData" Target="diagrams/data2.xml"/><Relationship Id="rId40" Type="http://schemas.openxmlformats.org/officeDocument/2006/relationships/chart" Target="charts/chart4.xml"/><Relationship Id="rId45" Type="http://schemas.openxmlformats.org/officeDocument/2006/relationships/image" Target="media/image17.png"/><Relationship Id="rId66" Type="http://schemas.openxmlformats.org/officeDocument/2006/relationships/chart" Target="charts/chart11.xml"/><Relationship Id="rId87" Type="http://schemas.openxmlformats.org/officeDocument/2006/relationships/hyperlink" Target="https://analizy.monitorrozwoju.pl" TargetMode="External"/><Relationship Id="rId110" Type="http://schemas.microsoft.com/office/2007/relationships/hdphoto" Target="media/hdphoto2.wdp"/><Relationship Id="rId115" Type="http://schemas.openxmlformats.org/officeDocument/2006/relationships/chart" Target="charts/chart23.xml"/><Relationship Id="rId131" Type="http://schemas.openxmlformats.org/officeDocument/2006/relationships/chart" Target="charts/chart27.xml"/><Relationship Id="rId136" Type="http://schemas.openxmlformats.org/officeDocument/2006/relationships/diagramData" Target="diagrams/data5.xml"/><Relationship Id="rId157" Type="http://schemas.openxmlformats.org/officeDocument/2006/relationships/image" Target="media/image55.png"/><Relationship Id="rId178" Type="http://schemas.openxmlformats.org/officeDocument/2006/relationships/image" Target="media/image71.png"/><Relationship Id="rId61" Type="http://schemas.openxmlformats.org/officeDocument/2006/relationships/chart" Target="charts/chart9.xml"/><Relationship Id="rId82" Type="http://schemas.openxmlformats.org/officeDocument/2006/relationships/chart" Target="charts/chart14.xml"/><Relationship Id="rId152" Type="http://schemas.openxmlformats.org/officeDocument/2006/relationships/image" Target="media/image52.png"/><Relationship Id="rId173" Type="http://schemas.openxmlformats.org/officeDocument/2006/relationships/image" Target="media/image66.svg"/><Relationship Id="rId19" Type="http://schemas.openxmlformats.org/officeDocument/2006/relationships/diagramData" Target="diagrams/data1.xml"/><Relationship Id="rId14" Type="http://schemas.openxmlformats.org/officeDocument/2006/relationships/image" Target="media/image6.png"/><Relationship Id="rId30" Type="http://schemas.openxmlformats.org/officeDocument/2006/relationships/image" Target="media/image9.svg"/><Relationship Id="rId35" Type="http://schemas.openxmlformats.org/officeDocument/2006/relationships/image" Target="media/image14.png"/><Relationship Id="rId56" Type="http://schemas.openxmlformats.org/officeDocument/2006/relationships/image" Target="media/image21.png"/><Relationship Id="rId77" Type="http://schemas.openxmlformats.org/officeDocument/2006/relationships/footer" Target="footer3.xml"/><Relationship Id="rId100" Type="http://schemas.openxmlformats.org/officeDocument/2006/relationships/hyperlink" Target="https://analizy.monitorrozwoju.plopiek" TargetMode="External"/><Relationship Id="rId105" Type="http://schemas.openxmlformats.org/officeDocument/2006/relationships/diagramLayout" Target="diagrams/layout4.xml"/><Relationship Id="rId126" Type="http://schemas.openxmlformats.org/officeDocument/2006/relationships/image" Target="media/image43.png"/><Relationship Id="rId147" Type="http://schemas.openxmlformats.org/officeDocument/2006/relationships/image" Target="media/image48.png"/><Relationship Id="rId168" Type="http://schemas.openxmlformats.org/officeDocument/2006/relationships/image" Target="media/image61.png"/><Relationship Id="rId8" Type="http://schemas.openxmlformats.org/officeDocument/2006/relationships/webSettings" Target="webSettings.xml"/><Relationship Id="rId51" Type="http://schemas.openxmlformats.org/officeDocument/2006/relationships/diagramQuickStyle" Target="diagrams/quickStyle3.xml"/><Relationship Id="rId72" Type="http://schemas.openxmlformats.org/officeDocument/2006/relationships/header" Target="header1.xml"/><Relationship Id="rId93" Type="http://schemas.openxmlformats.org/officeDocument/2006/relationships/hyperlink" Target="http://ksow.pl/baza-danych/lgd-2014-2020?tx_wrobksow_ksowlgd%5Baction%5D=show&amp;tx_wrobksow_ksowlgd%5Bcontroller%5D=LGD&amp;tx_wrobksow_ksowlgd%5BlGD%5D=261&amp;cHash=a92bf9fd7cb7baee02463cb64660f3a1" TargetMode="External"/><Relationship Id="rId98" Type="http://schemas.openxmlformats.org/officeDocument/2006/relationships/hyperlink" Target="https://analizy.monitorrozwoju.pl" TargetMode="External"/><Relationship Id="rId121" Type="http://schemas.openxmlformats.org/officeDocument/2006/relationships/image" Target="media/image41.png"/><Relationship Id="rId142" Type="http://schemas.microsoft.com/office/2007/relationships/hdphoto" Target="media/hdphoto3.wdp"/><Relationship Id="rId163" Type="http://schemas.openxmlformats.org/officeDocument/2006/relationships/diagramQuickStyle" Target="diagrams/quickStyle6.xml"/><Relationship Id="rId184" Type="http://schemas.openxmlformats.org/officeDocument/2006/relationships/fontTable" Target="fontTable.xml"/><Relationship Id="rId3" Type="http://schemas.openxmlformats.org/officeDocument/2006/relationships/customXml" Target="../customXml/item3.xml"/><Relationship Id="rId25" Type="http://schemas.openxmlformats.org/officeDocument/2006/relationships/diagramLayout" Target="diagrams/layout2.xml"/><Relationship Id="rId46" Type="http://schemas.openxmlformats.org/officeDocument/2006/relationships/image" Target="media/image18.png"/><Relationship Id="rId67" Type="http://schemas.openxmlformats.org/officeDocument/2006/relationships/chart" Target="charts/chart12.xml"/><Relationship Id="rId116" Type="http://schemas.openxmlformats.org/officeDocument/2006/relationships/chart" Target="charts/chart24.xml"/><Relationship Id="rId137" Type="http://schemas.openxmlformats.org/officeDocument/2006/relationships/diagramLayout" Target="diagrams/layout5.xml"/><Relationship Id="rId158" Type="http://schemas.openxmlformats.org/officeDocument/2006/relationships/image" Target="media/image56.png"/><Relationship Id="rId20" Type="http://schemas.openxmlformats.org/officeDocument/2006/relationships/diagramLayout" Target="diagrams/layout1.xml"/><Relationship Id="rId41" Type="http://schemas.openxmlformats.org/officeDocument/2006/relationships/hyperlink" Target="https://filharmonia.olsztyn.pl/" TargetMode="External"/><Relationship Id="rId62" Type="http://schemas.openxmlformats.org/officeDocument/2006/relationships/chart" Target="charts/chart10.xml"/><Relationship Id="rId83" Type="http://schemas.openxmlformats.org/officeDocument/2006/relationships/chart" Target="charts/chart15.xml"/><Relationship Id="rId88" Type="http://schemas.openxmlformats.org/officeDocument/2006/relationships/hyperlink" Target="https://pl.wikipedia.org/wiki/Integracja_spo%C5%82eczna" TargetMode="External"/><Relationship Id="rId111" Type="http://schemas.openxmlformats.org/officeDocument/2006/relationships/image" Target="media/image37.png"/><Relationship Id="rId132" Type="http://schemas.openxmlformats.org/officeDocument/2006/relationships/hyperlink" Target="https://analizy.monitorrozwoju.pl" TargetMode="External"/><Relationship Id="rId153" Type="http://schemas.openxmlformats.org/officeDocument/2006/relationships/chart" Target="charts/chart30.xml"/><Relationship Id="rId174" Type="http://schemas.openxmlformats.org/officeDocument/2006/relationships/image" Target="media/image67.png"/><Relationship Id="rId179" Type="http://schemas.openxmlformats.org/officeDocument/2006/relationships/image" Target="media/image72.svg"/><Relationship Id="rId15" Type="http://schemas.openxmlformats.org/officeDocument/2006/relationships/image" Target="media/image7.png"/><Relationship Id="rId36" Type="http://schemas.openxmlformats.org/officeDocument/2006/relationships/image" Target="media/image15.svg"/><Relationship Id="rId57" Type="http://schemas.openxmlformats.org/officeDocument/2006/relationships/chart" Target="charts/chart7.xml"/><Relationship Id="rId106" Type="http://schemas.openxmlformats.org/officeDocument/2006/relationships/diagramQuickStyle" Target="diagrams/quickStyle4.xml"/><Relationship Id="rId127" Type="http://schemas.openxmlformats.org/officeDocument/2006/relationships/image" Target="media/image44.png"/><Relationship Id="rId10" Type="http://schemas.openxmlformats.org/officeDocument/2006/relationships/endnotes" Target="endnotes.xml"/><Relationship Id="rId31" Type="http://schemas.openxmlformats.org/officeDocument/2006/relationships/image" Target="media/image10.png"/><Relationship Id="rId52" Type="http://schemas.openxmlformats.org/officeDocument/2006/relationships/diagramColors" Target="diagrams/colors3.xml"/><Relationship Id="rId73" Type="http://schemas.openxmlformats.org/officeDocument/2006/relationships/header" Target="header2.xml"/><Relationship Id="rId78" Type="http://schemas.openxmlformats.org/officeDocument/2006/relationships/image" Target="media/image30.png"/><Relationship Id="rId94" Type="http://schemas.openxmlformats.org/officeDocument/2006/relationships/hyperlink" Target="http://ksow.pl/baza-danych/lgd-2014-2020?tx_wrobksow_ksowlgd%5Baction%5D=show&amp;tx_wrobksow_ksowlgd%5Bcontroller%5D=LGD&amp;tx_wrobksow_ksowlgd%5BlGD%5D=265&amp;cHash=c3d5fdb5757dc21b27c55db5299e5648" TargetMode="External"/><Relationship Id="rId99" Type="http://schemas.openxmlformats.org/officeDocument/2006/relationships/image" Target="media/image34.png"/><Relationship Id="rId101" Type="http://schemas.openxmlformats.org/officeDocument/2006/relationships/chart" Target="charts/chart19.xml"/><Relationship Id="rId122" Type="http://schemas.openxmlformats.org/officeDocument/2006/relationships/hyperlink" Target="https://barometrzawodow.pl/pl/warminsko-mazurskie/prognozy-w-tabelach/2020/warminsko-mazurskie.19...307-315-320-321...2.5-3-1-4-2.14..0.1.0-1..?province=warminsko-mazurskie&amp;Jobs_page=2&amp;ALL=ALL" TargetMode="External"/><Relationship Id="rId143" Type="http://schemas.openxmlformats.org/officeDocument/2006/relationships/image" Target="media/image46.png"/><Relationship Id="rId148" Type="http://schemas.openxmlformats.org/officeDocument/2006/relationships/image" Target="media/image49.png"/><Relationship Id="rId164" Type="http://schemas.openxmlformats.org/officeDocument/2006/relationships/diagramColors" Target="diagrams/colors6.xml"/><Relationship Id="rId169" Type="http://schemas.openxmlformats.org/officeDocument/2006/relationships/image" Target="media/image62.png"/><Relationship Id="rId185"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73.png"/><Relationship Id="rId26" Type="http://schemas.openxmlformats.org/officeDocument/2006/relationships/diagramQuickStyle" Target="diagrams/quickStyle2.xml"/><Relationship Id="rId47" Type="http://schemas.microsoft.com/office/2007/relationships/hdphoto" Target="media/hdphoto1.wdp"/><Relationship Id="rId68" Type="http://schemas.openxmlformats.org/officeDocument/2006/relationships/image" Target="media/image26.png"/><Relationship Id="rId89" Type="http://schemas.openxmlformats.org/officeDocument/2006/relationships/hyperlink" Target="https://pl.wikipedia.org/wiki/Spo%C5%82ecze%C5%84stwo" TargetMode="External"/><Relationship Id="rId112" Type="http://schemas.openxmlformats.org/officeDocument/2006/relationships/chart" Target="charts/chart21.xml"/><Relationship Id="rId133" Type="http://schemas.openxmlformats.org/officeDocument/2006/relationships/hyperlink" Target="https://analizy.monitorrozwoju.pl" TargetMode="External"/><Relationship Id="rId154" Type="http://schemas.openxmlformats.org/officeDocument/2006/relationships/chart" Target="charts/chart31.xml"/><Relationship Id="rId175" Type="http://schemas.openxmlformats.org/officeDocument/2006/relationships/image" Target="media/image68.png"/><Relationship Id="rId16" Type="http://schemas.openxmlformats.org/officeDocument/2006/relationships/hyperlink" Target="https://analizy.monitorrozwoju.pl/" TargetMode="External"/><Relationship Id="rId37" Type="http://schemas.openxmlformats.org/officeDocument/2006/relationships/chart" Target="charts/chart1.xml"/><Relationship Id="rId58" Type="http://schemas.openxmlformats.org/officeDocument/2006/relationships/chart" Target="charts/chart8.xml"/><Relationship Id="rId79" Type="http://schemas.openxmlformats.org/officeDocument/2006/relationships/hyperlink" Target="https://analizy.monitorrozwoju.pl" TargetMode="External"/><Relationship Id="rId102" Type="http://schemas.openxmlformats.org/officeDocument/2006/relationships/image" Target="media/image35.png"/><Relationship Id="rId123" Type="http://schemas.openxmlformats.org/officeDocument/2006/relationships/chart" Target="charts/chart25.xml"/><Relationship Id="rId144" Type="http://schemas.openxmlformats.org/officeDocument/2006/relationships/hyperlink" Target="https://partnerstwa.monitorrozwoju.plopiek" TargetMode="External"/><Relationship Id="rId90" Type="http://schemas.openxmlformats.org/officeDocument/2006/relationships/image" Target="media/image32.png"/><Relationship Id="rId165" Type="http://schemas.microsoft.com/office/2007/relationships/diagramDrawing" Target="diagrams/drawing6.xml"/><Relationship Id="rId27" Type="http://schemas.openxmlformats.org/officeDocument/2006/relationships/diagramColors" Target="diagrams/colors2.xml"/><Relationship Id="rId48" Type="http://schemas.openxmlformats.org/officeDocument/2006/relationships/image" Target="media/image19.png"/><Relationship Id="rId69" Type="http://schemas.openxmlformats.org/officeDocument/2006/relationships/image" Target="media/image27.png"/><Relationship Id="rId113" Type="http://schemas.openxmlformats.org/officeDocument/2006/relationships/image" Target="media/image38.tmp"/><Relationship Id="rId134" Type="http://schemas.openxmlformats.org/officeDocument/2006/relationships/chart" Target="charts/chart28.xml"/><Relationship Id="rId80" Type="http://schemas.openxmlformats.org/officeDocument/2006/relationships/chart" Target="charts/chart13.xml"/><Relationship Id="rId155" Type="http://schemas.openxmlformats.org/officeDocument/2006/relationships/image" Target="media/image53.tmp"/><Relationship Id="rId176" Type="http://schemas.openxmlformats.org/officeDocument/2006/relationships/image" Target="media/image69.svg"/><Relationship Id="rId17" Type="http://schemas.openxmlformats.org/officeDocument/2006/relationships/hyperlink" Target="https://analizy.monitorrozwoju.pl" TargetMode="External"/><Relationship Id="rId38" Type="http://schemas.openxmlformats.org/officeDocument/2006/relationships/chart" Target="charts/chart2.xml"/><Relationship Id="rId59" Type="http://schemas.openxmlformats.org/officeDocument/2006/relationships/image" Target="media/image22.png"/><Relationship Id="rId103" Type="http://schemas.openxmlformats.org/officeDocument/2006/relationships/chart" Target="charts/chart20.xml"/><Relationship Id="rId124" Type="http://schemas.openxmlformats.org/officeDocument/2006/relationships/chart" Target="charts/chart26.xml"/><Relationship Id="rId70" Type="http://schemas.openxmlformats.org/officeDocument/2006/relationships/image" Target="media/image28.png"/><Relationship Id="rId91" Type="http://schemas.openxmlformats.org/officeDocument/2006/relationships/hyperlink" Target="https://analizy.monitorrozwoju.pl" TargetMode="External"/><Relationship Id="rId145" Type="http://schemas.openxmlformats.org/officeDocument/2006/relationships/chart" Target="charts/chart29.xml"/><Relationship Id="rId166" Type="http://schemas.openxmlformats.org/officeDocument/2006/relationships/image" Target="media/image59.png"/><Relationship Id="rId1" Type="http://schemas.openxmlformats.org/officeDocument/2006/relationships/customXml" Target="../customXml/item1.xml"/><Relationship Id="rId28" Type="http://schemas.microsoft.com/office/2007/relationships/diagramDrawing" Target="diagrams/drawing2.xml"/><Relationship Id="rId49" Type="http://schemas.openxmlformats.org/officeDocument/2006/relationships/diagramData" Target="diagrams/data3.xml"/><Relationship Id="rId114" Type="http://schemas.openxmlformats.org/officeDocument/2006/relationships/chart" Target="charts/chart22.xml"/><Relationship Id="rId60" Type="http://schemas.openxmlformats.org/officeDocument/2006/relationships/hyperlink" Target="https://analizy.monitorrozwoju.pl" TargetMode="External"/><Relationship Id="rId81" Type="http://schemas.openxmlformats.org/officeDocument/2006/relationships/hyperlink" Target="https://rpwdl.csioz.gov.pl/RPM" TargetMode="External"/><Relationship Id="rId135" Type="http://schemas.openxmlformats.org/officeDocument/2006/relationships/hyperlink" Target="https://analizy.monitorrozwoju.pl" TargetMode="External"/><Relationship Id="rId156" Type="http://schemas.openxmlformats.org/officeDocument/2006/relationships/image" Target="media/image54.tmp"/><Relationship Id="rId177" Type="http://schemas.openxmlformats.org/officeDocument/2006/relationships/image" Target="media/image70.png"/></Relationships>
</file>

<file path=word/_rels/footer1.xml.rels><?xml version="1.0" encoding="UTF-8" standalone="yes"?>
<Relationships xmlns="http://schemas.openxmlformats.org/package/2006/relationships"><Relationship Id="rId1" Type="http://schemas.openxmlformats.org/officeDocument/2006/relationships/image" Target="media/image29.png"/></Relationships>
</file>

<file path=word/_rels/footer2.xml.rels><?xml version="1.0" encoding="UTF-8" standalone="yes"?>
<Relationships xmlns="http://schemas.openxmlformats.org/package/2006/relationships"><Relationship Id="rId1" Type="http://schemas.openxmlformats.org/officeDocument/2006/relationships/image" Target="media/image29.png"/></Relationships>
</file>

<file path=word/_rels/footnotes.xml.rels><?xml version="1.0" encoding="UTF-8" standalone="yes"?>
<Relationships xmlns="http://schemas.openxmlformats.org/package/2006/relationships"><Relationship Id="rId2" Type="http://schemas.openxmlformats.org/officeDocument/2006/relationships/hyperlink" Target="http://www.ulc.gov.pl/_download/lotniska/regulacje_europejskie/Wykaz_ladowisk_cyw_27_04_2018.pdf" TargetMode="External"/><Relationship Id="rId1" Type="http://schemas.openxmlformats.org/officeDocument/2006/relationships/hyperlink" Target="http://www.systemanaliz.pl" TargetMode="External"/></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gi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cwik\Downloads\CWD_wzornik_WORD%20(2).dotx"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https://d.docs.live.net/06c66cf147ff36e0/Pulpit/Matryca%20bilansu%20us&#322;ug%20Mazury%20po&#322;udniowe%20ver10%20(2).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https://d.docs.live.net/06c66cf147ff36e0/Pulpit/demografia.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G:\Mazury%20Po&#322;udniowe\dane\ruch%20naturalny.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G:\Mazury%20Po&#322;udniowe\dane\ruch%20naturalny.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G:\Mazury%20Po&#322;udniowe\dane\Podstawowa%20opieka%20zdrowotna%20-%20porady.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G:\Mazury%20Po&#322;udniowe\dane\Lekarze%20-%20wska&#378;niki.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file:///G:\Mazury%20Po&#322;udniowe\dane\Lekarze%20-%20wska&#378;niki.xlsx"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https://d.docs.live.net/06c66cf147ff36e0/Pulpit/Nowy%20Arkusz%20programu%20Microsoft%20Excel.xlsx" TargetMode="External"/><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oleObject" Target="https://d.docs.live.net/06c66cf147ff36e0/Pulpit/takie%20tam.xlsx" TargetMode="External"/><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oleObject" Target="https://d.docs.live.net/06c66cf147ff36e0/Pulpit/Nowy%20Arkusz%20programu%20Microsoft%20Excel.xlsx" TargetMode="External"/><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oleObject" Target="https://d.docs.live.net/06c66cf147ff36e0/Pulpit/kultura%20organizacyjna%20-%20zbior&#243;wka.xlsx" TargetMode="External"/><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oleObject" Target="file:///G:\Mazury%20Po&#322;udniowe\dane_Delta\DANE_Mazury%20Po&#322;udniowe_Edytowane_5.xlsx" TargetMode="External"/><Relationship Id="rId2" Type="http://schemas.microsoft.com/office/2011/relationships/chartColorStyle" Target="colors21.xml"/><Relationship Id="rId1" Type="http://schemas.microsoft.com/office/2011/relationships/chartStyle" Target="style21.xml"/></Relationships>
</file>

<file path=word/charts/_rels/chart22.xml.rels><?xml version="1.0" encoding="UTF-8" standalone="yes"?>
<Relationships xmlns="http://schemas.openxmlformats.org/package/2006/relationships"><Relationship Id="rId3" Type="http://schemas.openxmlformats.org/officeDocument/2006/relationships/oleObject" Target="file:///C:\Users\jcwik\Downloads\TURY_2396_XTAB_20210324191645.xlsx" TargetMode="External"/><Relationship Id="rId2" Type="http://schemas.microsoft.com/office/2011/relationships/chartColorStyle" Target="colors22.xml"/><Relationship Id="rId1" Type="http://schemas.microsoft.com/office/2011/relationships/chartStyle" Target="style22.xml"/></Relationships>
</file>

<file path=word/charts/_rels/chart23.xml.rels><?xml version="1.0" encoding="UTF-8" standalone="yes"?>
<Relationships xmlns="http://schemas.openxmlformats.org/package/2006/relationships"><Relationship Id="rId3" Type="http://schemas.openxmlformats.org/officeDocument/2006/relationships/oleObject" Target="https://d.docs.live.net/06c66cf147ff36e0/Pulpit/turystyka%20wskazniki.xlsx" TargetMode="External"/><Relationship Id="rId2" Type="http://schemas.microsoft.com/office/2011/relationships/chartColorStyle" Target="colors23.xml"/><Relationship Id="rId1" Type="http://schemas.microsoft.com/office/2011/relationships/chartStyle" Target="style23.xml"/></Relationships>
</file>

<file path=word/charts/_rels/chart24.xml.rels><?xml version="1.0" encoding="UTF-8" standalone="yes"?>
<Relationships xmlns="http://schemas.openxmlformats.org/package/2006/relationships"><Relationship Id="rId3" Type="http://schemas.openxmlformats.org/officeDocument/2006/relationships/oleObject" Target="file:///C:\Users\jcwik\Downloads\TURY_3350_XTAB_20210324175915.xlsx" TargetMode="External"/><Relationship Id="rId2" Type="http://schemas.microsoft.com/office/2011/relationships/chartColorStyle" Target="colors24.xml"/><Relationship Id="rId1" Type="http://schemas.microsoft.com/office/2011/relationships/chartStyle" Target="style24.xml"/></Relationships>
</file>

<file path=word/charts/_rels/chart25.xml.rels><?xml version="1.0" encoding="UTF-8" standalone="yes"?>
<Relationships xmlns="http://schemas.openxmlformats.org/package/2006/relationships"><Relationship Id="rId3" Type="http://schemas.openxmlformats.org/officeDocument/2006/relationships/oleObject" Target="https://d.docs.live.net/06c66cf147ff36e0/Pulpit/jijio.xlsx" TargetMode="External"/><Relationship Id="rId2" Type="http://schemas.microsoft.com/office/2011/relationships/chartColorStyle" Target="colors25.xml"/><Relationship Id="rId1" Type="http://schemas.microsoft.com/office/2011/relationships/chartStyle" Target="style25.xml"/></Relationships>
</file>

<file path=word/charts/_rels/chart26.xml.rels><?xml version="1.0" encoding="UTF-8" standalone="yes"?>
<Relationships xmlns="http://schemas.openxmlformats.org/package/2006/relationships"><Relationship Id="rId3" Type="http://schemas.openxmlformats.org/officeDocument/2006/relationships/oleObject" Target="https://d.docs.live.net/06c66cf147ff36e0/Pulpit/mobilni.xlsx" TargetMode="External"/><Relationship Id="rId2" Type="http://schemas.microsoft.com/office/2011/relationships/chartColorStyle" Target="colors26.xml"/><Relationship Id="rId1" Type="http://schemas.microsoft.com/office/2011/relationships/chartStyle" Target="style26.xml"/></Relationships>
</file>

<file path=word/charts/_rels/chart27.xml.rels><?xml version="1.0" encoding="UTF-8" standalone="yes"?>
<Relationships xmlns="http://schemas.openxmlformats.org/package/2006/relationships"><Relationship Id="rId3" Type="http://schemas.openxmlformats.org/officeDocument/2006/relationships/oleObject" Target="file:///C:\Users\jcwik\Downloads\9-relacja-kwoty-zaduzenia-w-danym-roku-do-dochodow-ogoem-2021-03-23.xlsx" TargetMode="External"/><Relationship Id="rId2" Type="http://schemas.microsoft.com/office/2011/relationships/chartColorStyle" Target="colors27.xml"/><Relationship Id="rId1" Type="http://schemas.microsoft.com/office/2011/relationships/chartStyle" Target="style27.xml"/></Relationships>
</file>

<file path=word/charts/_rels/chart28.xml.rels><?xml version="1.0" encoding="UTF-8" standalone="yes"?>
<Relationships xmlns="http://schemas.openxmlformats.org/package/2006/relationships"><Relationship Id="rId3" Type="http://schemas.openxmlformats.org/officeDocument/2006/relationships/oleObject" Target="Zeszyt1" TargetMode="External"/><Relationship Id="rId2" Type="http://schemas.microsoft.com/office/2011/relationships/chartColorStyle" Target="colors28.xml"/><Relationship Id="rId1" Type="http://schemas.microsoft.com/office/2011/relationships/chartStyle" Target="style28.xml"/></Relationships>
</file>

<file path=word/charts/_rels/chart29.xml.rels><?xml version="1.0" encoding="UTF-8" standalone="yes"?>
<Relationships xmlns="http://schemas.openxmlformats.org/package/2006/relationships"><Relationship Id="rId3" Type="http://schemas.openxmlformats.org/officeDocument/2006/relationships/oleObject" Target="file:///G:\Mazury%20Po&#322;udniowe\dane\wykorzystanie%20grunt&#243;w.xlsx" TargetMode="External"/><Relationship Id="rId2" Type="http://schemas.microsoft.com/office/2011/relationships/chartColorStyle" Target="colors29.xml"/><Relationship Id="rId1" Type="http://schemas.microsoft.com/office/2011/relationships/chartStyle" Target="style29.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jcwik\OneDrive\Pulpit\ZMP\cwd\po&#322;udniowe%20mazury\diagnoza\materia&#322;y%20-%20cwd-diagnoza\badania%20powi&#261;za&#324;%20%20funkcjonalnych\Matryca%2520bilansu%2520us&#322;ug%2520Mazury%2520po&#322;udniowe%2520ver10%2520(2)(Automatycznie%20odzyskany).xlsx" TargetMode="External"/><Relationship Id="rId2" Type="http://schemas.microsoft.com/office/2011/relationships/chartColorStyle" Target="colors3.xml"/><Relationship Id="rId1" Type="http://schemas.microsoft.com/office/2011/relationships/chartStyle" Target="style3.xml"/></Relationships>
</file>

<file path=word/charts/_rels/chart30.xml.rels><?xml version="1.0" encoding="UTF-8" standalone="yes"?>
<Relationships xmlns="http://schemas.openxmlformats.org/package/2006/relationships"><Relationship Id="rId3" Type="http://schemas.openxmlformats.org/officeDocument/2006/relationships/oleObject" Target="file:///G:\Mazury%20Po&#322;udniowe\dane\EMISJA%20ZANIECZYSZCZE&#323;%20POWIETRZA%20Z%20ZAK&#321;AD&#211;W%20SZCZEG&#211;LNIE%20UCI&#260;&#379;LIWYCH_przestawna.xlsx" TargetMode="External"/><Relationship Id="rId2" Type="http://schemas.microsoft.com/office/2011/relationships/chartColorStyle" Target="colors30.xml"/><Relationship Id="rId1" Type="http://schemas.microsoft.com/office/2011/relationships/chartStyle" Target="style30.xml"/></Relationships>
</file>

<file path=word/charts/_rels/chart31.xml.rels><?xml version="1.0" encoding="UTF-8" standalone="yes"?>
<Relationships xmlns="http://schemas.openxmlformats.org/package/2006/relationships"><Relationship Id="rId3" Type="http://schemas.openxmlformats.org/officeDocument/2006/relationships/oleObject" Target="file:///G:\Mazury%20Po&#322;udniowe\dane\EMISJA%20ZANIECZYSZCZE&#323;%20POWIETRZA%20Z%20ZAK&#321;AD&#211;W%20SZCZEG&#211;LNIE%20UCI&#260;&#379;LIWYCH_py&#322;owe.xlsx" TargetMode="External"/><Relationship Id="rId2" Type="http://schemas.microsoft.com/office/2011/relationships/chartColorStyle" Target="colors31.xml"/><Relationship Id="rId1" Type="http://schemas.microsoft.com/office/2011/relationships/chartStyle" Target="style31.xml"/></Relationships>
</file>

<file path=word/charts/_rels/chart32.xml.rels><?xml version="1.0" encoding="UTF-8" standalone="yes"?>
<Relationships xmlns="http://schemas.openxmlformats.org/package/2006/relationships"><Relationship Id="rId3" Type="http://schemas.openxmlformats.org/officeDocument/2006/relationships/oleObject" Target="https://d.docs.live.net/06c66cf147ff36e0/Pulpit/TURYSTYKA/do%20strategii.xlsx" TargetMode="External"/><Relationship Id="rId2" Type="http://schemas.microsoft.com/office/2011/relationships/chartColorStyle" Target="colors32.xml"/><Relationship Id="rId1" Type="http://schemas.microsoft.com/office/2011/relationships/chartStyle" Target="style32.xml"/></Relationships>
</file>

<file path=word/charts/_rels/chart33.xml.rels><?xml version="1.0" encoding="UTF-8" standalone="yes"?>
<Relationships xmlns="http://schemas.openxmlformats.org/package/2006/relationships"><Relationship Id="rId3" Type="http://schemas.openxmlformats.org/officeDocument/2006/relationships/oleObject" Target="https://d.docs.live.net/06c66cf147ff36e0/Pulpit/TURYSTYKA/do%20strategii.xlsx" TargetMode="External"/><Relationship Id="rId2" Type="http://schemas.microsoft.com/office/2011/relationships/chartColorStyle" Target="colors33.xml"/><Relationship Id="rId1" Type="http://schemas.microsoft.com/office/2011/relationships/chartStyle" Target="style3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jcwik\OneDrive\Pulpit\ZMP\cwd\po&#322;udniowe%20mazury\diagnoza\materia&#322;y%20-%20cwd-diagnoza\badania%20powi&#261;za&#324;%20%20funkcjonalnych\Matryca%2520bilansu%2520us&#322;ug%2520Mazury%2520po&#322;udniowe%2520ver10%2520(2)(Automatycznie%20odzyskany).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https://d.docs.live.net/06c66cf147ff36e0/Pulpit/Matryca%20bilansu%20us&#322;ug%20Mazury%20po&#322;udniowe%20ver10%20(2).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jcwik\OneDrive\Pulpit\ZMP\cwd\po&#322;udniowe%20mazury\diagnoza\materia&#322;y%20-%20cwd-diagnoza\badania%20powi&#261;za&#324;%20%20funkcjonalnych\Matryca%2520bilansu%2520us&#322;ug%2520Mazury%2520po&#322;udniowe%2520ver10%2520(2)(Automatycznie%20odzyskany).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https://d.docs.live.net/06c66cf147ff36e0/Pulpit/demografia.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jcwik\AppData\Roaming\Microsoft\Excel\Nowy%2520Arkusz%2520programu%2520Microsoft%2520Excel%20(version%201).xlsb"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https://d.docs.live.net/06c66cf147ff36e0/Pulpit/demografia.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4731524936014446"/>
          <c:y val="8.978401826832752E-2"/>
          <c:w val="0.4836291920936856"/>
          <c:h val="0.8065499275277157"/>
        </c:manualLayout>
      </c:layout>
      <c:radarChart>
        <c:radarStyle val="marker"/>
        <c:varyColors val="0"/>
        <c:ser>
          <c:idx val="0"/>
          <c:order val="0"/>
          <c:tx>
            <c:v>Export usługi</c:v>
          </c:tx>
          <c:spPr>
            <a:ln w="19050" cap="rnd">
              <a:solidFill>
                <a:schemeClr val="accent1"/>
              </a:solidFill>
              <a:round/>
            </a:ln>
            <a:effectLst/>
          </c:spPr>
          <c:marker>
            <c:symbol val="none"/>
          </c:marker>
          <c:cat>
            <c:strRef>
              <c:f>'[Matryca bilansu usług Mazury południowe ver10 (2).xlsx]Bilans-Zbiorczy'!$V$6:$AR$6</c:f>
              <c:strCache>
                <c:ptCount val="23"/>
                <c:pt idx="0">
                  <c:v>Szczytno (miasto)</c:v>
                </c:pt>
                <c:pt idx="1">
                  <c:v>Biała Piska</c:v>
                </c:pt>
                <c:pt idx="2">
                  <c:v>Lidzbark</c:v>
                </c:pt>
                <c:pt idx="3">
                  <c:v>Nidzica</c:v>
                </c:pt>
                <c:pt idx="4">
                  <c:v>Orzysz</c:v>
                </c:pt>
                <c:pt idx="5">
                  <c:v>Pasym</c:v>
                </c:pt>
                <c:pt idx="6">
                  <c:v>Pisz</c:v>
                </c:pt>
                <c:pt idx="7">
                  <c:v>Ruciane-Nida</c:v>
                </c:pt>
                <c:pt idx="8">
                  <c:v>Wielbark</c:v>
                </c:pt>
                <c:pt idx="9">
                  <c:v>Działdowo (miasto)</c:v>
                </c:pt>
                <c:pt idx="10">
                  <c:v>Działdowo (gmina)</c:v>
                </c:pt>
                <c:pt idx="11">
                  <c:v>Dźwierzuty</c:v>
                </c:pt>
                <c:pt idx="12">
                  <c:v>Iłowo-Osada</c:v>
                </c:pt>
                <c:pt idx="13">
                  <c:v>Janowiec Kościelny</c:v>
                </c:pt>
                <c:pt idx="14">
                  <c:v>Janowo</c:v>
                </c:pt>
                <c:pt idx="15">
                  <c:v>Jedwabno</c:v>
                </c:pt>
                <c:pt idx="16">
                  <c:v>Kozłowo</c:v>
                </c:pt>
                <c:pt idx="17">
                  <c:v>Płośnica</c:v>
                </c:pt>
                <c:pt idx="18">
                  <c:v>Rozogi</c:v>
                </c:pt>
                <c:pt idx="19">
                  <c:v>Rybno</c:v>
                </c:pt>
                <c:pt idx="20">
                  <c:v>Szczytno (gmina)</c:v>
                </c:pt>
                <c:pt idx="21">
                  <c:v>Świętajno</c:v>
                </c:pt>
                <c:pt idx="22">
                  <c:v>Poza partnerstwem</c:v>
                </c:pt>
              </c:strCache>
            </c:strRef>
          </c:cat>
          <c:val>
            <c:numRef>
              <c:f>'[Matryca bilansu usług Mazury południowe ver10 (2).xlsx]Bilans-Zbiorczy'!$V$21:$AR$21</c:f>
              <c:numCache>
                <c:formatCode>0.00</c:formatCode>
                <c:ptCount val="23"/>
                <c:pt idx="0">
                  <c:v>1.0965517858501077</c:v>
                </c:pt>
                <c:pt idx="1">
                  <c:v>0</c:v>
                </c:pt>
                <c:pt idx="2">
                  <c:v>0</c:v>
                </c:pt>
                <c:pt idx="3">
                  <c:v>0.24739269911009498</c:v>
                </c:pt>
                <c:pt idx="4">
                  <c:v>0</c:v>
                </c:pt>
                <c:pt idx="5">
                  <c:v>0</c:v>
                </c:pt>
                <c:pt idx="6">
                  <c:v>0.37991203854912819</c:v>
                </c:pt>
                <c:pt idx="7">
                  <c:v>0</c:v>
                </c:pt>
                <c:pt idx="8">
                  <c:v>0</c:v>
                </c:pt>
                <c:pt idx="9">
                  <c:v>0.92453032790919298</c:v>
                </c:pt>
                <c:pt idx="10">
                  <c:v>0</c:v>
                </c:pt>
                <c:pt idx="11">
                  <c:v>0</c:v>
                </c:pt>
                <c:pt idx="12">
                  <c:v>0</c:v>
                </c:pt>
                <c:pt idx="13">
                  <c:v>0</c:v>
                </c:pt>
                <c:pt idx="14">
                  <c:v>0</c:v>
                </c:pt>
                <c:pt idx="15">
                  <c:v>0</c:v>
                </c:pt>
                <c:pt idx="16">
                  <c:v>0</c:v>
                </c:pt>
                <c:pt idx="17">
                  <c:v>0</c:v>
                </c:pt>
                <c:pt idx="18">
                  <c:v>0</c:v>
                </c:pt>
                <c:pt idx="19">
                  <c:v>0</c:v>
                </c:pt>
                <c:pt idx="20">
                  <c:v>0</c:v>
                </c:pt>
                <c:pt idx="21">
                  <c:v>0</c:v>
                </c:pt>
                <c:pt idx="22">
                  <c:v>1.7238296787125238</c:v>
                </c:pt>
              </c:numCache>
            </c:numRef>
          </c:val>
          <c:extLst>
            <c:ext xmlns:c16="http://schemas.microsoft.com/office/drawing/2014/chart" uri="{C3380CC4-5D6E-409C-BE32-E72D297353CC}">
              <c16:uniqueId val="{00000000-CD3B-4EF3-937D-91C2544BA94F}"/>
            </c:ext>
          </c:extLst>
        </c:ser>
        <c:ser>
          <c:idx val="1"/>
          <c:order val="1"/>
          <c:tx>
            <c:v>Import usługi</c:v>
          </c:tx>
          <c:spPr>
            <a:ln w="19050" cap="rnd">
              <a:solidFill>
                <a:schemeClr val="accent2"/>
              </a:solidFill>
              <a:round/>
            </a:ln>
            <a:effectLst/>
          </c:spPr>
          <c:marker>
            <c:symbol val="none"/>
          </c:marker>
          <c:cat>
            <c:strRef>
              <c:f>'[Matryca bilansu usług Mazury południowe ver10 (2).xlsx]Bilans-Zbiorczy'!$V$6:$AR$6</c:f>
              <c:strCache>
                <c:ptCount val="23"/>
                <c:pt idx="0">
                  <c:v>Szczytno (miasto)</c:v>
                </c:pt>
                <c:pt idx="1">
                  <c:v>Biała Piska</c:v>
                </c:pt>
                <c:pt idx="2">
                  <c:v>Lidzbark</c:v>
                </c:pt>
                <c:pt idx="3">
                  <c:v>Nidzica</c:v>
                </c:pt>
                <c:pt idx="4">
                  <c:v>Orzysz</c:v>
                </c:pt>
                <c:pt idx="5">
                  <c:v>Pasym</c:v>
                </c:pt>
                <c:pt idx="6">
                  <c:v>Pisz</c:v>
                </c:pt>
                <c:pt idx="7">
                  <c:v>Ruciane-Nida</c:v>
                </c:pt>
                <c:pt idx="8">
                  <c:v>Wielbark</c:v>
                </c:pt>
                <c:pt idx="9">
                  <c:v>Działdowo (miasto)</c:v>
                </c:pt>
                <c:pt idx="10">
                  <c:v>Działdowo (gmina)</c:v>
                </c:pt>
                <c:pt idx="11">
                  <c:v>Dźwierzuty</c:v>
                </c:pt>
                <c:pt idx="12">
                  <c:v>Iłowo-Osada</c:v>
                </c:pt>
                <c:pt idx="13">
                  <c:v>Janowiec Kościelny</c:v>
                </c:pt>
                <c:pt idx="14">
                  <c:v>Janowo</c:v>
                </c:pt>
                <c:pt idx="15">
                  <c:v>Jedwabno</c:v>
                </c:pt>
                <c:pt idx="16">
                  <c:v>Kozłowo</c:v>
                </c:pt>
                <c:pt idx="17">
                  <c:v>Płośnica</c:v>
                </c:pt>
                <c:pt idx="18">
                  <c:v>Rozogi</c:v>
                </c:pt>
                <c:pt idx="19">
                  <c:v>Rybno</c:v>
                </c:pt>
                <c:pt idx="20">
                  <c:v>Szczytno (gmina)</c:v>
                </c:pt>
                <c:pt idx="21">
                  <c:v>Świętajno</c:v>
                </c:pt>
                <c:pt idx="22">
                  <c:v>Poza partnerstwem</c:v>
                </c:pt>
              </c:strCache>
            </c:strRef>
          </c:cat>
          <c:val>
            <c:numRef>
              <c:f>'[Matryca bilansu usług Mazury południowe ver10 (2).xlsx]Bilans-Zbiorczy'!$BB$123:$BX$123</c:f>
              <c:numCache>
                <c:formatCode>0.00</c:formatCode>
                <c:ptCount val="23"/>
                <c:pt idx="0">
                  <c:v>0</c:v>
                </c:pt>
                <c:pt idx="1">
                  <c:v>0</c:v>
                </c:pt>
                <c:pt idx="2">
                  <c:v>0</c:v>
                </c:pt>
                <c:pt idx="3">
                  <c:v>0</c:v>
                </c:pt>
                <c:pt idx="4">
                  <c:v>0</c:v>
                </c:pt>
                <c:pt idx="5">
                  <c:v>0</c:v>
                </c:pt>
                <c:pt idx="6">
                  <c:v>0</c:v>
                </c:pt>
                <c:pt idx="7">
                  <c:v>0</c:v>
                </c:pt>
                <c:pt idx="8">
                  <c:v>0</c:v>
                </c:pt>
                <c:pt idx="9">
                  <c:v>0</c:v>
                </c:pt>
                <c:pt idx="10">
                  <c:v>0</c:v>
                </c:pt>
                <c:pt idx="11">
                  <c:v>0</c:v>
                </c:pt>
                <c:pt idx="12">
                  <c:v>0</c:v>
                </c:pt>
                <c:pt idx="13">
                  <c:v>-0.2819106336714286</c:v>
                </c:pt>
                <c:pt idx="14">
                  <c:v>-0.18794042244761908</c:v>
                </c:pt>
                <c:pt idx="15">
                  <c:v>0</c:v>
                </c:pt>
                <c:pt idx="16">
                  <c:v>-0.37588084489523815</c:v>
                </c:pt>
                <c:pt idx="17">
                  <c:v>0</c:v>
                </c:pt>
                <c:pt idx="18">
                  <c:v>0</c:v>
                </c:pt>
                <c:pt idx="19">
                  <c:v>0</c:v>
                </c:pt>
                <c:pt idx="20">
                  <c:v>-0.41319511245732798</c:v>
                </c:pt>
                <c:pt idx="21">
                  <c:v>0</c:v>
                </c:pt>
                <c:pt idx="22">
                  <c:v>0</c:v>
                </c:pt>
              </c:numCache>
            </c:numRef>
          </c:val>
          <c:extLst>
            <c:ext xmlns:c16="http://schemas.microsoft.com/office/drawing/2014/chart" uri="{C3380CC4-5D6E-409C-BE32-E72D297353CC}">
              <c16:uniqueId val="{00000001-CD3B-4EF3-937D-91C2544BA94F}"/>
            </c:ext>
          </c:extLst>
        </c:ser>
        <c:dLbls>
          <c:showLegendKey val="0"/>
          <c:showVal val="0"/>
          <c:showCatName val="0"/>
          <c:showSerName val="0"/>
          <c:showPercent val="0"/>
          <c:showBubbleSize val="0"/>
        </c:dLbls>
        <c:axId val="1804947263"/>
        <c:axId val="1569326143"/>
      </c:radarChart>
      <c:catAx>
        <c:axId val="1804947263"/>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pl-PL"/>
          </a:p>
        </c:txPr>
        <c:crossAx val="1569326143"/>
        <c:crosses val="autoZero"/>
        <c:auto val="1"/>
        <c:lblAlgn val="ctr"/>
        <c:lblOffset val="100"/>
        <c:noMultiLvlLbl val="0"/>
      </c:catAx>
      <c:valAx>
        <c:axId val="1569326143"/>
        <c:scaling>
          <c:orientation val="minMax"/>
          <c:min val="-2"/>
        </c:scaling>
        <c:delete val="0"/>
        <c:axPos val="l"/>
        <c:majorGridlines>
          <c:spPr>
            <a:ln w="9525" cap="flat" cmpd="sng" algn="ctr">
              <a:solidFill>
                <a:schemeClr val="tx1">
                  <a:lumMod val="15000"/>
                  <a:lumOff val="85000"/>
                </a:schemeClr>
              </a:solidFill>
              <a:round/>
            </a:ln>
            <a:effectLst/>
          </c:spPr>
        </c:majorGridlines>
        <c:numFmt formatCode="0_ ;[Red]\-0\ " sourceLinked="0"/>
        <c:majorTickMark val="cross"/>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pl-PL"/>
          </a:p>
        </c:txPr>
        <c:crossAx val="1804947263"/>
        <c:crosses val="autoZero"/>
        <c:crossBetween val="between"/>
        <c:majorUnit val="1"/>
      </c:valAx>
      <c:spPr>
        <a:noFill/>
        <a:ln>
          <a:noFill/>
        </a:ln>
        <a:effectLst/>
      </c:spPr>
    </c:plotArea>
    <c:legend>
      <c:legendPos val="b"/>
      <c:layout>
        <c:manualLayout>
          <c:xMode val="edge"/>
          <c:yMode val="edge"/>
          <c:x val="1.537992125984252E-2"/>
          <c:y val="0.83391149023038769"/>
          <c:w val="0.21924015748031497"/>
          <c:h val="0.1197922134733158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solidFill>
      <a:round/>
    </a:ln>
    <a:effectLst/>
  </c:spPr>
  <c:txPr>
    <a:bodyPr/>
    <a:lstStyle/>
    <a:p>
      <a:pPr>
        <a:defRPr/>
      </a:pPr>
      <a:endParaRPr lang="pl-PL"/>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'prognozy '!$A$2</c:f>
              <c:strCache>
                <c:ptCount val="1"/>
                <c:pt idx="0">
                  <c:v>powiat działdowski </c:v>
                </c:pt>
              </c:strCache>
            </c:strRef>
          </c:tx>
          <c:spPr>
            <a:ln w="28575" cap="rnd">
              <a:solidFill>
                <a:schemeClr val="accent1"/>
              </a:solidFill>
              <a:round/>
            </a:ln>
            <a:effectLst/>
          </c:spPr>
          <c:marker>
            <c:symbol val="none"/>
          </c:marker>
          <c:cat>
            <c:numRef>
              <c:f>'prognozy '!$B$1:$AF$1</c:f>
              <c:numCache>
                <c:formatCode>General</c:formatCode>
                <c:ptCount val="31"/>
                <c:pt idx="0">
                  <c:v>2020</c:v>
                </c:pt>
                <c:pt idx="1">
                  <c:v>2021</c:v>
                </c:pt>
                <c:pt idx="2">
                  <c:v>2022</c:v>
                </c:pt>
                <c:pt idx="3">
                  <c:v>2023</c:v>
                </c:pt>
                <c:pt idx="4">
                  <c:v>2024</c:v>
                </c:pt>
                <c:pt idx="5">
                  <c:v>2025</c:v>
                </c:pt>
                <c:pt idx="6">
                  <c:v>2026</c:v>
                </c:pt>
                <c:pt idx="7">
                  <c:v>2027</c:v>
                </c:pt>
                <c:pt idx="8">
                  <c:v>2028</c:v>
                </c:pt>
                <c:pt idx="9">
                  <c:v>2029</c:v>
                </c:pt>
                <c:pt idx="10">
                  <c:v>2030</c:v>
                </c:pt>
                <c:pt idx="11">
                  <c:v>2031</c:v>
                </c:pt>
                <c:pt idx="12">
                  <c:v>2032</c:v>
                </c:pt>
                <c:pt idx="13">
                  <c:v>2033</c:v>
                </c:pt>
                <c:pt idx="14">
                  <c:v>2034</c:v>
                </c:pt>
                <c:pt idx="15">
                  <c:v>2035</c:v>
                </c:pt>
                <c:pt idx="16">
                  <c:v>2036</c:v>
                </c:pt>
                <c:pt idx="17">
                  <c:v>2037</c:v>
                </c:pt>
                <c:pt idx="18">
                  <c:v>2038</c:v>
                </c:pt>
                <c:pt idx="19">
                  <c:v>2039</c:v>
                </c:pt>
                <c:pt idx="20">
                  <c:v>2040</c:v>
                </c:pt>
                <c:pt idx="21">
                  <c:v>2041</c:v>
                </c:pt>
                <c:pt idx="22">
                  <c:v>2042</c:v>
                </c:pt>
                <c:pt idx="23">
                  <c:v>2043</c:v>
                </c:pt>
                <c:pt idx="24">
                  <c:v>2044</c:v>
                </c:pt>
                <c:pt idx="25">
                  <c:v>2045</c:v>
                </c:pt>
                <c:pt idx="26">
                  <c:v>2046</c:v>
                </c:pt>
                <c:pt idx="27">
                  <c:v>2047</c:v>
                </c:pt>
                <c:pt idx="28">
                  <c:v>2048</c:v>
                </c:pt>
                <c:pt idx="29">
                  <c:v>2049</c:v>
                </c:pt>
                <c:pt idx="30">
                  <c:v>2050</c:v>
                </c:pt>
              </c:numCache>
            </c:numRef>
          </c:cat>
          <c:val>
            <c:numRef>
              <c:f>'prognozy '!$B$2:$AF$2</c:f>
              <c:numCache>
                <c:formatCode>0</c:formatCode>
                <c:ptCount val="31"/>
                <c:pt idx="0">
                  <c:v>65607</c:v>
                </c:pt>
                <c:pt idx="1">
                  <c:v>65460</c:v>
                </c:pt>
                <c:pt idx="2">
                  <c:v>65303</c:v>
                </c:pt>
                <c:pt idx="3">
                  <c:v>65135</c:v>
                </c:pt>
                <c:pt idx="4">
                  <c:v>64957</c:v>
                </c:pt>
                <c:pt idx="5">
                  <c:v>64769</c:v>
                </c:pt>
                <c:pt idx="6">
                  <c:v>64568</c:v>
                </c:pt>
                <c:pt idx="7">
                  <c:v>64358</c:v>
                </c:pt>
                <c:pt idx="8">
                  <c:v>64136</c:v>
                </c:pt>
                <c:pt idx="9">
                  <c:v>63905</c:v>
                </c:pt>
                <c:pt idx="10">
                  <c:v>63661</c:v>
                </c:pt>
                <c:pt idx="11">
                  <c:v>63407</c:v>
                </c:pt>
                <c:pt idx="12">
                  <c:v>63139</c:v>
                </c:pt>
                <c:pt idx="13">
                  <c:v>62858</c:v>
                </c:pt>
                <c:pt idx="14">
                  <c:v>62566</c:v>
                </c:pt>
                <c:pt idx="15">
                  <c:v>62262</c:v>
                </c:pt>
                <c:pt idx="16">
                  <c:v>61949</c:v>
                </c:pt>
                <c:pt idx="17">
                  <c:v>61626</c:v>
                </c:pt>
                <c:pt idx="18">
                  <c:v>61294</c:v>
                </c:pt>
                <c:pt idx="19">
                  <c:v>60950</c:v>
                </c:pt>
                <c:pt idx="20">
                  <c:v>60602</c:v>
                </c:pt>
                <c:pt idx="21">
                  <c:v>60245</c:v>
                </c:pt>
                <c:pt idx="22">
                  <c:v>59882</c:v>
                </c:pt>
                <c:pt idx="23">
                  <c:v>59515</c:v>
                </c:pt>
                <c:pt idx="24">
                  <c:v>59141</c:v>
                </c:pt>
                <c:pt idx="25">
                  <c:v>58763</c:v>
                </c:pt>
                <c:pt idx="26">
                  <c:v>58379</c:v>
                </c:pt>
                <c:pt idx="27">
                  <c:v>57993</c:v>
                </c:pt>
                <c:pt idx="28">
                  <c:v>57603</c:v>
                </c:pt>
                <c:pt idx="29">
                  <c:v>57209</c:v>
                </c:pt>
                <c:pt idx="30">
                  <c:v>56813</c:v>
                </c:pt>
              </c:numCache>
            </c:numRef>
          </c:val>
          <c:smooth val="0"/>
          <c:extLst>
            <c:ext xmlns:c16="http://schemas.microsoft.com/office/drawing/2014/chart" uri="{C3380CC4-5D6E-409C-BE32-E72D297353CC}">
              <c16:uniqueId val="{00000000-5319-4CCD-833B-E300665C0F63}"/>
            </c:ext>
          </c:extLst>
        </c:ser>
        <c:ser>
          <c:idx val="1"/>
          <c:order val="1"/>
          <c:tx>
            <c:strRef>
              <c:f>'prognozy '!$A$3</c:f>
              <c:strCache>
                <c:ptCount val="1"/>
                <c:pt idx="0">
                  <c:v>powiat szczycieński </c:v>
                </c:pt>
              </c:strCache>
            </c:strRef>
          </c:tx>
          <c:spPr>
            <a:ln w="28575" cap="rnd">
              <a:solidFill>
                <a:schemeClr val="accent2"/>
              </a:solidFill>
              <a:round/>
            </a:ln>
            <a:effectLst/>
          </c:spPr>
          <c:marker>
            <c:symbol val="none"/>
          </c:marker>
          <c:cat>
            <c:numRef>
              <c:f>'prognozy '!$B$1:$AF$1</c:f>
              <c:numCache>
                <c:formatCode>General</c:formatCode>
                <c:ptCount val="31"/>
                <c:pt idx="0">
                  <c:v>2020</c:v>
                </c:pt>
                <c:pt idx="1">
                  <c:v>2021</c:v>
                </c:pt>
                <c:pt idx="2">
                  <c:v>2022</c:v>
                </c:pt>
                <c:pt idx="3">
                  <c:v>2023</c:v>
                </c:pt>
                <c:pt idx="4">
                  <c:v>2024</c:v>
                </c:pt>
                <c:pt idx="5">
                  <c:v>2025</c:v>
                </c:pt>
                <c:pt idx="6">
                  <c:v>2026</c:v>
                </c:pt>
                <c:pt idx="7">
                  <c:v>2027</c:v>
                </c:pt>
                <c:pt idx="8">
                  <c:v>2028</c:v>
                </c:pt>
                <c:pt idx="9">
                  <c:v>2029</c:v>
                </c:pt>
                <c:pt idx="10">
                  <c:v>2030</c:v>
                </c:pt>
                <c:pt idx="11">
                  <c:v>2031</c:v>
                </c:pt>
                <c:pt idx="12">
                  <c:v>2032</c:v>
                </c:pt>
                <c:pt idx="13">
                  <c:v>2033</c:v>
                </c:pt>
                <c:pt idx="14">
                  <c:v>2034</c:v>
                </c:pt>
                <c:pt idx="15">
                  <c:v>2035</c:v>
                </c:pt>
                <c:pt idx="16">
                  <c:v>2036</c:v>
                </c:pt>
                <c:pt idx="17">
                  <c:v>2037</c:v>
                </c:pt>
                <c:pt idx="18">
                  <c:v>2038</c:v>
                </c:pt>
                <c:pt idx="19">
                  <c:v>2039</c:v>
                </c:pt>
                <c:pt idx="20">
                  <c:v>2040</c:v>
                </c:pt>
                <c:pt idx="21">
                  <c:v>2041</c:v>
                </c:pt>
                <c:pt idx="22">
                  <c:v>2042</c:v>
                </c:pt>
                <c:pt idx="23">
                  <c:v>2043</c:v>
                </c:pt>
                <c:pt idx="24">
                  <c:v>2044</c:v>
                </c:pt>
                <c:pt idx="25">
                  <c:v>2045</c:v>
                </c:pt>
                <c:pt idx="26">
                  <c:v>2046</c:v>
                </c:pt>
                <c:pt idx="27">
                  <c:v>2047</c:v>
                </c:pt>
                <c:pt idx="28">
                  <c:v>2048</c:v>
                </c:pt>
                <c:pt idx="29">
                  <c:v>2049</c:v>
                </c:pt>
                <c:pt idx="30">
                  <c:v>2050</c:v>
                </c:pt>
              </c:numCache>
            </c:numRef>
          </c:cat>
          <c:val>
            <c:numRef>
              <c:f>'prognozy '!$B$3:$AF$3</c:f>
              <c:numCache>
                <c:formatCode>0</c:formatCode>
                <c:ptCount val="31"/>
                <c:pt idx="0">
                  <c:v>69594</c:v>
                </c:pt>
                <c:pt idx="1">
                  <c:v>69364</c:v>
                </c:pt>
                <c:pt idx="2">
                  <c:v>69126</c:v>
                </c:pt>
                <c:pt idx="3">
                  <c:v>68879</c:v>
                </c:pt>
                <c:pt idx="4">
                  <c:v>68619</c:v>
                </c:pt>
                <c:pt idx="5">
                  <c:v>68349</c:v>
                </c:pt>
                <c:pt idx="6">
                  <c:v>68066</c:v>
                </c:pt>
                <c:pt idx="7">
                  <c:v>67771</c:v>
                </c:pt>
                <c:pt idx="8">
                  <c:v>67463</c:v>
                </c:pt>
                <c:pt idx="9">
                  <c:v>67144</c:v>
                </c:pt>
                <c:pt idx="10">
                  <c:v>66812</c:v>
                </c:pt>
                <c:pt idx="11">
                  <c:v>66462</c:v>
                </c:pt>
                <c:pt idx="12">
                  <c:v>66098</c:v>
                </c:pt>
                <c:pt idx="13">
                  <c:v>65718</c:v>
                </c:pt>
                <c:pt idx="14">
                  <c:v>65323</c:v>
                </c:pt>
                <c:pt idx="15">
                  <c:v>64917</c:v>
                </c:pt>
                <c:pt idx="16">
                  <c:v>64494</c:v>
                </c:pt>
                <c:pt idx="17">
                  <c:v>64059</c:v>
                </c:pt>
                <c:pt idx="18">
                  <c:v>63611</c:v>
                </c:pt>
                <c:pt idx="19">
                  <c:v>63149</c:v>
                </c:pt>
                <c:pt idx="20">
                  <c:v>62677</c:v>
                </c:pt>
                <c:pt idx="21">
                  <c:v>62193</c:v>
                </c:pt>
                <c:pt idx="22">
                  <c:v>61701</c:v>
                </c:pt>
                <c:pt idx="23">
                  <c:v>61201</c:v>
                </c:pt>
                <c:pt idx="24">
                  <c:v>60693</c:v>
                </c:pt>
                <c:pt idx="25">
                  <c:v>60178</c:v>
                </c:pt>
                <c:pt idx="26">
                  <c:v>59658</c:v>
                </c:pt>
                <c:pt idx="27">
                  <c:v>59130</c:v>
                </c:pt>
                <c:pt idx="28">
                  <c:v>58601</c:v>
                </c:pt>
                <c:pt idx="29">
                  <c:v>58066</c:v>
                </c:pt>
                <c:pt idx="30">
                  <c:v>57529</c:v>
                </c:pt>
              </c:numCache>
            </c:numRef>
          </c:val>
          <c:smooth val="0"/>
          <c:extLst>
            <c:ext xmlns:c16="http://schemas.microsoft.com/office/drawing/2014/chart" uri="{C3380CC4-5D6E-409C-BE32-E72D297353CC}">
              <c16:uniqueId val="{00000001-5319-4CCD-833B-E300665C0F63}"/>
            </c:ext>
          </c:extLst>
        </c:ser>
        <c:ser>
          <c:idx val="2"/>
          <c:order val="2"/>
          <c:tx>
            <c:strRef>
              <c:f>'prognozy '!$A$4</c:f>
              <c:strCache>
                <c:ptCount val="1"/>
                <c:pt idx="0">
                  <c:v>powiat nidzicki </c:v>
                </c:pt>
              </c:strCache>
            </c:strRef>
          </c:tx>
          <c:spPr>
            <a:ln w="28575" cap="rnd">
              <a:solidFill>
                <a:schemeClr val="accent3"/>
              </a:solidFill>
              <a:round/>
            </a:ln>
            <a:effectLst/>
          </c:spPr>
          <c:marker>
            <c:symbol val="none"/>
          </c:marker>
          <c:cat>
            <c:numRef>
              <c:f>'prognozy '!$B$1:$AF$1</c:f>
              <c:numCache>
                <c:formatCode>General</c:formatCode>
                <c:ptCount val="31"/>
                <c:pt idx="0">
                  <c:v>2020</c:v>
                </c:pt>
                <c:pt idx="1">
                  <c:v>2021</c:v>
                </c:pt>
                <c:pt idx="2">
                  <c:v>2022</c:v>
                </c:pt>
                <c:pt idx="3">
                  <c:v>2023</c:v>
                </c:pt>
                <c:pt idx="4">
                  <c:v>2024</c:v>
                </c:pt>
                <c:pt idx="5">
                  <c:v>2025</c:v>
                </c:pt>
                <c:pt idx="6">
                  <c:v>2026</c:v>
                </c:pt>
                <c:pt idx="7">
                  <c:v>2027</c:v>
                </c:pt>
                <c:pt idx="8">
                  <c:v>2028</c:v>
                </c:pt>
                <c:pt idx="9">
                  <c:v>2029</c:v>
                </c:pt>
                <c:pt idx="10">
                  <c:v>2030</c:v>
                </c:pt>
                <c:pt idx="11">
                  <c:v>2031</c:v>
                </c:pt>
                <c:pt idx="12">
                  <c:v>2032</c:v>
                </c:pt>
                <c:pt idx="13">
                  <c:v>2033</c:v>
                </c:pt>
                <c:pt idx="14">
                  <c:v>2034</c:v>
                </c:pt>
                <c:pt idx="15">
                  <c:v>2035</c:v>
                </c:pt>
                <c:pt idx="16">
                  <c:v>2036</c:v>
                </c:pt>
                <c:pt idx="17">
                  <c:v>2037</c:v>
                </c:pt>
                <c:pt idx="18">
                  <c:v>2038</c:v>
                </c:pt>
                <c:pt idx="19">
                  <c:v>2039</c:v>
                </c:pt>
                <c:pt idx="20">
                  <c:v>2040</c:v>
                </c:pt>
                <c:pt idx="21">
                  <c:v>2041</c:v>
                </c:pt>
                <c:pt idx="22">
                  <c:v>2042</c:v>
                </c:pt>
                <c:pt idx="23">
                  <c:v>2043</c:v>
                </c:pt>
                <c:pt idx="24">
                  <c:v>2044</c:v>
                </c:pt>
                <c:pt idx="25">
                  <c:v>2045</c:v>
                </c:pt>
                <c:pt idx="26">
                  <c:v>2046</c:v>
                </c:pt>
                <c:pt idx="27">
                  <c:v>2047</c:v>
                </c:pt>
                <c:pt idx="28">
                  <c:v>2048</c:v>
                </c:pt>
                <c:pt idx="29">
                  <c:v>2049</c:v>
                </c:pt>
                <c:pt idx="30">
                  <c:v>2050</c:v>
                </c:pt>
              </c:numCache>
            </c:numRef>
          </c:cat>
          <c:val>
            <c:numRef>
              <c:f>'prognozy '!$B$4:$AF$4</c:f>
              <c:numCache>
                <c:formatCode>0</c:formatCode>
                <c:ptCount val="31"/>
                <c:pt idx="0">
                  <c:v>32650</c:v>
                </c:pt>
                <c:pt idx="1">
                  <c:v>32460</c:v>
                </c:pt>
                <c:pt idx="2">
                  <c:v>32266</c:v>
                </c:pt>
                <c:pt idx="3">
                  <c:v>32068</c:v>
                </c:pt>
                <c:pt idx="4">
                  <c:v>31865</c:v>
                </c:pt>
                <c:pt idx="5">
                  <c:v>31659</c:v>
                </c:pt>
                <c:pt idx="6">
                  <c:v>31447</c:v>
                </c:pt>
                <c:pt idx="7">
                  <c:v>31233</c:v>
                </c:pt>
                <c:pt idx="8">
                  <c:v>31012</c:v>
                </c:pt>
                <c:pt idx="9">
                  <c:v>30784</c:v>
                </c:pt>
                <c:pt idx="10">
                  <c:v>30552</c:v>
                </c:pt>
                <c:pt idx="11">
                  <c:v>30313</c:v>
                </c:pt>
                <c:pt idx="12">
                  <c:v>30065</c:v>
                </c:pt>
                <c:pt idx="13">
                  <c:v>29812</c:v>
                </c:pt>
                <c:pt idx="14">
                  <c:v>29552</c:v>
                </c:pt>
                <c:pt idx="15">
                  <c:v>29286</c:v>
                </c:pt>
                <c:pt idx="16">
                  <c:v>29013</c:v>
                </c:pt>
                <c:pt idx="17">
                  <c:v>28732</c:v>
                </c:pt>
                <c:pt idx="18">
                  <c:v>28447</c:v>
                </c:pt>
                <c:pt idx="19">
                  <c:v>28156</c:v>
                </c:pt>
                <c:pt idx="20">
                  <c:v>27862</c:v>
                </c:pt>
                <c:pt idx="21">
                  <c:v>27562</c:v>
                </c:pt>
                <c:pt idx="22">
                  <c:v>27259</c:v>
                </c:pt>
                <c:pt idx="23">
                  <c:v>26952</c:v>
                </c:pt>
                <c:pt idx="24">
                  <c:v>26642</c:v>
                </c:pt>
                <c:pt idx="25">
                  <c:v>26331</c:v>
                </c:pt>
                <c:pt idx="26">
                  <c:v>26017</c:v>
                </c:pt>
                <c:pt idx="27">
                  <c:v>25702</c:v>
                </c:pt>
                <c:pt idx="28">
                  <c:v>25383</c:v>
                </c:pt>
                <c:pt idx="29">
                  <c:v>25066</c:v>
                </c:pt>
                <c:pt idx="30">
                  <c:v>24747</c:v>
                </c:pt>
              </c:numCache>
            </c:numRef>
          </c:val>
          <c:smooth val="0"/>
          <c:extLst>
            <c:ext xmlns:c16="http://schemas.microsoft.com/office/drawing/2014/chart" uri="{C3380CC4-5D6E-409C-BE32-E72D297353CC}">
              <c16:uniqueId val="{00000002-5319-4CCD-833B-E300665C0F63}"/>
            </c:ext>
          </c:extLst>
        </c:ser>
        <c:ser>
          <c:idx val="3"/>
          <c:order val="3"/>
          <c:tx>
            <c:strRef>
              <c:f>'prognozy '!$A$5</c:f>
              <c:strCache>
                <c:ptCount val="1"/>
                <c:pt idx="0">
                  <c:v>powiat piski </c:v>
                </c:pt>
              </c:strCache>
            </c:strRef>
          </c:tx>
          <c:spPr>
            <a:ln w="28575" cap="rnd">
              <a:solidFill>
                <a:schemeClr val="accent4"/>
              </a:solidFill>
              <a:round/>
            </a:ln>
            <a:effectLst/>
          </c:spPr>
          <c:marker>
            <c:symbol val="none"/>
          </c:marker>
          <c:cat>
            <c:numRef>
              <c:f>'prognozy '!$B$1:$AF$1</c:f>
              <c:numCache>
                <c:formatCode>General</c:formatCode>
                <c:ptCount val="31"/>
                <c:pt idx="0">
                  <c:v>2020</c:v>
                </c:pt>
                <c:pt idx="1">
                  <c:v>2021</c:v>
                </c:pt>
                <c:pt idx="2">
                  <c:v>2022</c:v>
                </c:pt>
                <c:pt idx="3">
                  <c:v>2023</c:v>
                </c:pt>
                <c:pt idx="4">
                  <c:v>2024</c:v>
                </c:pt>
                <c:pt idx="5">
                  <c:v>2025</c:v>
                </c:pt>
                <c:pt idx="6">
                  <c:v>2026</c:v>
                </c:pt>
                <c:pt idx="7">
                  <c:v>2027</c:v>
                </c:pt>
                <c:pt idx="8">
                  <c:v>2028</c:v>
                </c:pt>
                <c:pt idx="9">
                  <c:v>2029</c:v>
                </c:pt>
                <c:pt idx="10">
                  <c:v>2030</c:v>
                </c:pt>
                <c:pt idx="11">
                  <c:v>2031</c:v>
                </c:pt>
                <c:pt idx="12">
                  <c:v>2032</c:v>
                </c:pt>
                <c:pt idx="13">
                  <c:v>2033</c:v>
                </c:pt>
                <c:pt idx="14">
                  <c:v>2034</c:v>
                </c:pt>
                <c:pt idx="15">
                  <c:v>2035</c:v>
                </c:pt>
                <c:pt idx="16">
                  <c:v>2036</c:v>
                </c:pt>
                <c:pt idx="17">
                  <c:v>2037</c:v>
                </c:pt>
                <c:pt idx="18">
                  <c:v>2038</c:v>
                </c:pt>
                <c:pt idx="19">
                  <c:v>2039</c:v>
                </c:pt>
                <c:pt idx="20">
                  <c:v>2040</c:v>
                </c:pt>
                <c:pt idx="21">
                  <c:v>2041</c:v>
                </c:pt>
                <c:pt idx="22">
                  <c:v>2042</c:v>
                </c:pt>
                <c:pt idx="23">
                  <c:v>2043</c:v>
                </c:pt>
                <c:pt idx="24">
                  <c:v>2044</c:v>
                </c:pt>
                <c:pt idx="25">
                  <c:v>2045</c:v>
                </c:pt>
                <c:pt idx="26">
                  <c:v>2046</c:v>
                </c:pt>
                <c:pt idx="27">
                  <c:v>2047</c:v>
                </c:pt>
                <c:pt idx="28">
                  <c:v>2048</c:v>
                </c:pt>
                <c:pt idx="29">
                  <c:v>2049</c:v>
                </c:pt>
                <c:pt idx="30">
                  <c:v>2050</c:v>
                </c:pt>
              </c:numCache>
            </c:numRef>
          </c:cat>
          <c:val>
            <c:numRef>
              <c:f>'prognozy '!$B$5:$AF$5</c:f>
              <c:numCache>
                <c:formatCode>0</c:formatCode>
                <c:ptCount val="31"/>
                <c:pt idx="0">
                  <c:v>56102</c:v>
                </c:pt>
                <c:pt idx="1">
                  <c:v>55850</c:v>
                </c:pt>
                <c:pt idx="2">
                  <c:v>55593</c:v>
                </c:pt>
                <c:pt idx="3">
                  <c:v>55334</c:v>
                </c:pt>
                <c:pt idx="4">
                  <c:v>55067</c:v>
                </c:pt>
                <c:pt idx="5">
                  <c:v>54797</c:v>
                </c:pt>
                <c:pt idx="6">
                  <c:v>54519</c:v>
                </c:pt>
                <c:pt idx="7">
                  <c:v>54233</c:v>
                </c:pt>
                <c:pt idx="8">
                  <c:v>53943</c:v>
                </c:pt>
                <c:pt idx="9">
                  <c:v>53645</c:v>
                </c:pt>
                <c:pt idx="10">
                  <c:v>53340</c:v>
                </c:pt>
                <c:pt idx="11">
                  <c:v>53028</c:v>
                </c:pt>
                <c:pt idx="12">
                  <c:v>52707</c:v>
                </c:pt>
                <c:pt idx="13">
                  <c:v>52378</c:v>
                </c:pt>
                <c:pt idx="14">
                  <c:v>52040</c:v>
                </c:pt>
                <c:pt idx="15">
                  <c:v>51697</c:v>
                </c:pt>
                <c:pt idx="16">
                  <c:v>51343</c:v>
                </c:pt>
                <c:pt idx="17">
                  <c:v>50981</c:v>
                </c:pt>
                <c:pt idx="18">
                  <c:v>50612</c:v>
                </c:pt>
                <c:pt idx="19">
                  <c:v>50235</c:v>
                </c:pt>
                <c:pt idx="20">
                  <c:v>49851</c:v>
                </c:pt>
                <c:pt idx="21">
                  <c:v>49461</c:v>
                </c:pt>
                <c:pt idx="22">
                  <c:v>49065</c:v>
                </c:pt>
                <c:pt idx="23">
                  <c:v>48664</c:v>
                </c:pt>
                <c:pt idx="24">
                  <c:v>48257</c:v>
                </c:pt>
                <c:pt idx="25">
                  <c:v>47847</c:v>
                </c:pt>
                <c:pt idx="26">
                  <c:v>47432</c:v>
                </c:pt>
                <c:pt idx="27">
                  <c:v>47015</c:v>
                </c:pt>
                <c:pt idx="28">
                  <c:v>46595</c:v>
                </c:pt>
                <c:pt idx="29">
                  <c:v>46174</c:v>
                </c:pt>
                <c:pt idx="30">
                  <c:v>45751</c:v>
                </c:pt>
              </c:numCache>
            </c:numRef>
          </c:val>
          <c:smooth val="0"/>
          <c:extLst>
            <c:ext xmlns:c16="http://schemas.microsoft.com/office/drawing/2014/chart" uri="{C3380CC4-5D6E-409C-BE32-E72D297353CC}">
              <c16:uniqueId val="{00000003-5319-4CCD-833B-E300665C0F63}"/>
            </c:ext>
          </c:extLst>
        </c:ser>
        <c:dLbls>
          <c:showLegendKey val="0"/>
          <c:showVal val="0"/>
          <c:showCatName val="0"/>
          <c:showSerName val="0"/>
          <c:showPercent val="0"/>
          <c:showBubbleSize val="0"/>
        </c:dLbls>
        <c:smooth val="0"/>
        <c:axId val="558102880"/>
        <c:axId val="558097472"/>
      </c:lineChart>
      <c:catAx>
        <c:axId val="5581028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pl-PL"/>
          </a:p>
        </c:txPr>
        <c:crossAx val="558097472"/>
        <c:crosses val="autoZero"/>
        <c:auto val="1"/>
        <c:lblAlgn val="ctr"/>
        <c:lblOffset val="100"/>
        <c:noMultiLvlLbl val="0"/>
      </c:catAx>
      <c:valAx>
        <c:axId val="558097472"/>
        <c:scaling>
          <c:orientation val="minMax"/>
          <c:max val="70000"/>
          <c:min val="2000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pl-PL"/>
          </a:p>
        </c:txPr>
        <c:crossAx val="5581028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solidFill>
      <a:round/>
    </a:ln>
    <a:effectLst/>
  </c:spPr>
  <c:txPr>
    <a:bodyPr/>
    <a:lstStyle/>
    <a:p>
      <a:pPr>
        <a:defRPr/>
      </a:pPr>
      <a:endParaRPr lang="pl-PL"/>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7914384185989977E-2"/>
          <c:y val="6.4327485380116955E-2"/>
          <c:w val="0.8978298275008898"/>
          <c:h val="0.55366302896348474"/>
        </c:manualLayout>
      </c:layout>
      <c:lineChart>
        <c:grouping val="standard"/>
        <c:varyColors val="0"/>
        <c:ser>
          <c:idx val="0"/>
          <c:order val="0"/>
          <c:tx>
            <c:strRef>
              <c:f>urodzenia!$A$3</c:f>
              <c:strCache>
                <c:ptCount val="1"/>
                <c:pt idx="0">
                  <c:v>Polska</c:v>
                </c:pt>
              </c:strCache>
            </c:strRef>
          </c:tx>
          <c:spPr>
            <a:ln w="28575" cap="rnd">
              <a:solidFill>
                <a:schemeClr val="tx2">
                  <a:lumMod val="75000"/>
                </a:schemeClr>
              </a:solidFill>
              <a:round/>
            </a:ln>
            <a:effectLst/>
          </c:spPr>
          <c:marker>
            <c:symbol val="none"/>
          </c:marker>
          <c:cat>
            <c:strRef>
              <c:f>urodzenia!$B$2:$K$2</c:f>
              <c:strCache>
                <c:ptCount val="10"/>
                <c:pt idx="0">
                  <c:v>2010</c:v>
                </c:pt>
                <c:pt idx="1">
                  <c:v>2011</c:v>
                </c:pt>
                <c:pt idx="2">
                  <c:v>2012</c:v>
                </c:pt>
                <c:pt idx="3">
                  <c:v>2013</c:v>
                </c:pt>
                <c:pt idx="4">
                  <c:v>2014</c:v>
                </c:pt>
                <c:pt idx="5">
                  <c:v>2015</c:v>
                </c:pt>
                <c:pt idx="6">
                  <c:v>2016</c:v>
                </c:pt>
                <c:pt idx="7">
                  <c:v>2017</c:v>
                </c:pt>
                <c:pt idx="8">
                  <c:v>2018</c:v>
                </c:pt>
                <c:pt idx="9">
                  <c:v>2019</c:v>
                </c:pt>
              </c:strCache>
            </c:strRef>
          </c:cat>
          <c:val>
            <c:numRef>
              <c:f>urodzenia!$B$3:$K$3</c:f>
              <c:numCache>
                <c:formatCode>#,##0.00</c:formatCode>
                <c:ptCount val="10"/>
                <c:pt idx="0">
                  <c:v>10.73</c:v>
                </c:pt>
                <c:pt idx="1">
                  <c:v>10.08</c:v>
                </c:pt>
                <c:pt idx="2">
                  <c:v>10.02</c:v>
                </c:pt>
                <c:pt idx="3">
                  <c:v>9.6</c:v>
                </c:pt>
                <c:pt idx="4">
                  <c:v>9.75</c:v>
                </c:pt>
                <c:pt idx="5">
                  <c:v>9.6</c:v>
                </c:pt>
                <c:pt idx="6">
                  <c:v>9.9499999999999993</c:v>
                </c:pt>
                <c:pt idx="7">
                  <c:v>10.46</c:v>
                </c:pt>
                <c:pt idx="8">
                  <c:v>10.11</c:v>
                </c:pt>
                <c:pt idx="9">
                  <c:v>9.77</c:v>
                </c:pt>
              </c:numCache>
            </c:numRef>
          </c:val>
          <c:smooth val="0"/>
          <c:extLst>
            <c:ext xmlns:c16="http://schemas.microsoft.com/office/drawing/2014/chart" uri="{C3380CC4-5D6E-409C-BE32-E72D297353CC}">
              <c16:uniqueId val="{00000000-47BF-41A9-8830-F62512711227}"/>
            </c:ext>
          </c:extLst>
        </c:ser>
        <c:ser>
          <c:idx val="1"/>
          <c:order val="1"/>
          <c:tx>
            <c:strRef>
              <c:f>urodzenia!$A$4</c:f>
              <c:strCache>
                <c:ptCount val="1"/>
                <c:pt idx="0">
                  <c:v>Województwo warmińsko-mazurskie</c:v>
                </c:pt>
              </c:strCache>
            </c:strRef>
          </c:tx>
          <c:spPr>
            <a:ln w="28575" cap="rnd">
              <a:solidFill>
                <a:schemeClr val="accent3"/>
              </a:solidFill>
              <a:round/>
            </a:ln>
            <a:effectLst/>
          </c:spPr>
          <c:marker>
            <c:symbol val="none"/>
          </c:marker>
          <c:cat>
            <c:strRef>
              <c:f>urodzenia!$B$2:$K$2</c:f>
              <c:strCache>
                <c:ptCount val="10"/>
                <c:pt idx="0">
                  <c:v>2010</c:v>
                </c:pt>
                <c:pt idx="1">
                  <c:v>2011</c:v>
                </c:pt>
                <c:pt idx="2">
                  <c:v>2012</c:v>
                </c:pt>
                <c:pt idx="3">
                  <c:v>2013</c:v>
                </c:pt>
                <c:pt idx="4">
                  <c:v>2014</c:v>
                </c:pt>
                <c:pt idx="5">
                  <c:v>2015</c:v>
                </c:pt>
                <c:pt idx="6">
                  <c:v>2016</c:v>
                </c:pt>
                <c:pt idx="7">
                  <c:v>2017</c:v>
                </c:pt>
                <c:pt idx="8">
                  <c:v>2018</c:v>
                </c:pt>
                <c:pt idx="9">
                  <c:v>2019</c:v>
                </c:pt>
              </c:strCache>
            </c:strRef>
          </c:cat>
          <c:val>
            <c:numRef>
              <c:f>urodzenia!$B$4:$K$4</c:f>
              <c:numCache>
                <c:formatCode>#,##0.00</c:formatCode>
                <c:ptCount val="10"/>
                <c:pt idx="0">
                  <c:v>10.85</c:v>
                </c:pt>
                <c:pt idx="1">
                  <c:v>10.15</c:v>
                </c:pt>
                <c:pt idx="2">
                  <c:v>9.8699999999999992</c:v>
                </c:pt>
                <c:pt idx="3">
                  <c:v>9.41</c:v>
                </c:pt>
                <c:pt idx="4">
                  <c:v>9.66</c:v>
                </c:pt>
                <c:pt idx="5">
                  <c:v>9.1</c:v>
                </c:pt>
                <c:pt idx="6">
                  <c:v>9.35</c:v>
                </c:pt>
                <c:pt idx="7">
                  <c:v>10.130000000000001</c:v>
                </c:pt>
                <c:pt idx="8">
                  <c:v>9.56</c:v>
                </c:pt>
                <c:pt idx="9">
                  <c:v>9.0500000000000007</c:v>
                </c:pt>
              </c:numCache>
            </c:numRef>
          </c:val>
          <c:smooth val="0"/>
          <c:extLst>
            <c:ext xmlns:c16="http://schemas.microsoft.com/office/drawing/2014/chart" uri="{C3380CC4-5D6E-409C-BE32-E72D297353CC}">
              <c16:uniqueId val="{00000001-47BF-41A9-8830-F62512711227}"/>
            </c:ext>
          </c:extLst>
        </c:ser>
        <c:ser>
          <c:idx val="2"/>
          <c:order val="2"/>
          <c:tx>
            <c:strRef>
              <c:f>urodzenia!$A$5</c:f>
              <c:strCache>
                <c:ptCount val="1"/>
                <c:pt idx="0">
                  <c:v>Powiat działdowski</c:v>
                </c:pt>
              </c:strCache>
            </c:strRef>
          </c:tx>
          <c:spPr>
            <a:ln w="28575" cap="rnd">
              <a:solidFill>
                <a:schemeClr val="accent2"/>
              </a:solidFill>
              <a:round/>
            </a:ln>
            <a:effectLst/>
          </c:spPr>
          <c:marker>
            <c:symbol val="none"/>
          </c:marker>
          <c:cat>
            <c:strRef>
              <c:f>urodzenia!$B$2:$K$2</c:f>
              <c:strCache>
                <c:ptCount val="10"/>
                <c:pt idx="0">
                  <c:v>2010</c:v>
                </c:pt>
                <c:pt idx="1">
                  <c:v>2011</c:v>
                </c:pt>
                <c:pt idx="2">
                  <c:v>2012</c:v>
                </c:pt>
                <c:pt idx="3">
                  <c:v>2013</c:v>
                </c:pt>
                <c:pt idx="4">
                  <c:v>2014</c:v>
                </c:pt>
                <c:pt idx="5">
                  <c:v>2015</c:v>
                </c:pt>
                <c:pt idx="6">
                  <c:v>2016</c:v>
                </c:pt>
                <c:pt idx="7">
                  <c:v>2017</c:v>
                </c:pt>
                <c:pt idx="8">
                  <c:v>2018</c:v>
                </c:pt>
                <c:pt idx="9">
                  <c:v>2019</c:v>
                </c:pt>
              </c:strCache>
            </c:strRef>
          </c:cat>
          <c:val>
            <c:numRef>
              <c:f>urodzenia!$B$5:$K$5</c:f>
              <c:numCache>
                <c:formatCode>#,##0.00</c:formatCode>
                <c:ptCount val="10"/>
                <c:pt idx="0">
                  <c:v>11.61</c:v>
                </c:pt>
                <c:pt idx="1">
                  <c:v>10.86</c:v>
                </c:pt>
                <c:pt idx="2">
                  <c:v>11.27</c:v>
                </c:pt>
                <c:pt idx="3">
                  <c:v>10.87</c:v>
                </c:pt>
                <c:pt idx="4">
                  <c:v>9.99</c:v>
                </c:pt>
                <c:pt idx="5">
                  <c:v>9.82</c:v>
                </c:pt>
                <c:pt idx="6">
                  <c:v>9.67</c:v>
                </c:pt>
                <c:pt idx="7">
                  <c:v>10.63</c:v>
                </c:pt>
                <c:pt idx="8">
                  <c:v>9.7100000000000009</c:v>
                </c:pt>
                <c:pt idx="9">
                  <c:v>9.1300000000000008</c:v>
                </c:pt>
              </c:numCache>
            </c:numRef>
          </c:val>
          <c:smooth val="0"/>
          <c:extLst>
            <c:ext xmlns:c16="http://schemas.microsoft.com/office/drawing/2014/chart" uri="{C3380CC4-5D6E-409C-BE32-E72D297353CC}">
              <c16:uniqueId val="{00000002-47BF-41A9-8830-F62512711227}"/>
            </c:ext>
          </c:extLst>
        </c:ser>
        <c:ser>
          <c:idx val="3"/>
          <c:order val="3"/>
          <c:tx>
            <c:strRef>
              <c:f>urodzenia!$A$6</c:f>
              <c:strCache>
                <c:ptCount val="1"/>
                <c:pt idx="0">
                  <c:v>Powiat nidzicki</c:v>
                </c:pt>
              </c:strCache>
            </c:strRef>
          </c:tx>
          <c:spPr>
            <a:ln w="28575" cap="rnd">
              <a:solidFill>
                <a:schemeClr val="accent4"/>
              </a:solidFill>
              <a:round/>
            </a:ln>
            <a:effectLst/>
          </c:spPr>
          <c:marker>
            <c:symbol val="none"/>
          </c:marker>
          <c:cat>
            <c:strRef>
              <c:f>urodzenia!$B$2:$K$2</c:f>
              <c:strCache>
                <c:ptCount val="10"/>
                <c:pt idx="0">
                  <c:v>2010</c:v>
                </c:pt>
                <c:pt idx="1">
                  <c:v>2011</c:v>
                </c:pt>
                <c:pt idx="2">
                  <c:v>2012</c:v>
                </c:pt>
                <c:pt idx="3">
                  <c:v>2013</c:v>
                </c:pt>
                <c:pt idx="4">
                  <c:v>2014</c:v>
                </c:pt>
                <c:pt idx="5">
                  <c:v>2015</c:v>
                </c:pt>
                <c:pt idx="6">
                  <c:v>2016</c:v>
                </c:pt>
                <c:pt idx="7">
                  <c:v>2017</c:v>
                </c:pt>
                <c:pt idx="8">
                  <c:v>2018</c:v>
                </c:pt>
                <c:pt idx="9">
                  <c:v>2019</c:v>
                </c:pt>
              </c:strCache>
            </c:strRef>
          </c:cat>
          <c:val>
            <c:numRef>
              <c:f>urodzenia!$B$6:$K$6</c:f>
              <c:numCache>
                <c:formatCode>#,##0.00</c:formatCode>
                <c:ptCount val="10"/>
                <c:pt idx="0">
                  <c:v>10.11</c:v>
                </c:pt>
                <c:pt idx="1">
                  <c:v>10.220000000000001</c:v>
                </c:pt>
                <c:pt idx="2">
                  <c:v>10.79</c:v>
                </c:pt>
                <c:pt idx="3">
                  <c:v>9.4</c:v>
                </c:pt>
                <c:pt idx="4">
                  <c:v>10.56</c:v>
                </c:pt>
                <c:pt idx="5">
                  <c:v>8.83</c:v>
                </c:pt>
                <c:pt idx="6">
                  <c:v>9.77</c:v>
                </c:pt>
                <c:pt idx="7">
                  <c:v>10.82</c:v>
                </c:pt>
                <c:pt idx="8">
                  <c:v>9.9600000000000009</c:v>
                </c:pt>
                <c:pt idx="9">
                  <c:v>8.74</c:v>
                </c:pt>
              </c:numCache>
            </c:numRef>
          </c:val>
          <c:smooth val="0"/>
          <c:extLst>
            <c:ext xmlns:c16="http://schemas.microsoft.com/office/drawing/2014/chart" uri="{C3380CC4-5D6E-409C-BE32-E72D297353CC}">
              <c16:uniqueId val="{00000003-47BF-41A9-8830-F62512711227}"/>
            </c:ext>
          </c:extLst>
        </c:ser>
        <c:ser>
          <c:idx val="4"/>
          <c:order val="4"/>
          <c:tx>
            <c:strRef>
              <c:f>urodzenia!$A$7</c:f>
              <c:strCache>
                <c:ptCount val="1"/>
                <c:pt idx="0">
                  <c:v>Powiat piski</c:v>
                </c:pt>
              </c:strCache>
            </c:strRef>
          </c:tx>
          <c:spPr>
            <a:ln w="28575" cap="rnd">
              <a:solidFill>
                <a:schemeClr val="accent5"/>
              </a:solidFill>
              <a:round/>
            </a:ln>
            <a:effectLst/>
          </c:spPr>
          <c:marker>
            <c:symbol val="none"/>
          </c:marker>
          <c:cat>
            <c:strRef>
              <c:f>urodzenia!$B$2:$K$2</c:f>
              <c:strCache>
                <c:ptCount val="10"/>
                <c:pt idx="0">
                  <c:v>2010</c:v>
                </c:pt>
                <c:pt idx="1">
                  <c:v>2011</c:v>
                </c:pt>
                <c:pt idx="2">
                  <c:v>2012</c:v>
                </c:pt>
                <c:pt idx="3">
                  <c:v>2013</c:v>
                </c:pt>
                <c:pt idx="4">
                  <c:v>2014</c:v>
                </c:pt>
                <c:pt idx="5">
                  <c:v>2015</c:v>
                </c:pt>
                <c:pt idx="6">
                  <c:v>2016</c:v>
                </c:pt>
                <c:pt idx="7">
                  <c:v>2017</c:v>
                </c:pt>
                <c:pt idx="8">
                  <c:v>2018</c:v>
                </c:pt>
                <c:pt idx="9">
                  <c:v>2019</c:v>
                </c:pt>
              </c:strCache>
            </c:strRef>
          </c:cat>
          <c:val>
            <c:numRef>
              <c:f>urodzenia!$B$7:$K$7</c:f>
              <c:numCache>
                <c:formatCode>#,##0.00</c:formatCode>
                <c:ptCount val="10"/>
                <c:pt idx="0">
                  <c:v>10.39</c:v>
                </c:pt>
                <c:pt idx="1">
                  <c:v>9.92</c:v>
                </c:pt>
                <c:pt idx="2">
                  <c:v>9.16</c:v>
                </c:pt>
                <c:pt idx="3">
                  <c:v>8.86</c:v>
                </c:pt>
                <c:pt idx="4">
                  <c:v>9.5</c:v>
                </c:pt>
                <c:pt idx="5">
                  <c:v>9.32</c:v>
                </c:pt>
                <c:pt idx="6">
                  <c:v>8.74</c:v>
                </c:pt>
                <c:pt idx="7">
                  <c:v>9.35</c:v>
                </c:pt>
                <c:pt idx="8">
                  <c:v>9.5399999999999991</c:v>
                </c:pt>
                <c:pt idx="9">
                  <c:v>9.09</c:v>
                </c:pt>
              </c:numCache>
            </c:numRef>
          </c:val>
          <c:smooth val="0"/>
          <c:extLst>
            <c:ext xmlns:c16="http://schemas.microsoft.com/office/drawing/2014/chart" uri="{C3380CC4-5D6E-409C-BE32-E72D297353CC}">
              <c16:uniqueId val="{00000004-47BF-41A9-8830-F62512711227}"/>
            </c:ext>
          </c:extLst>
        </c:ser>
        <c:ser>
          <c:idx val="5"/>
          <c:order val="5"/>
          <c:tx>
            <c:strRef>
              <c:f>urodzenia!$A$8</c:f>
              <c:strCache>
                <c:ptCount val="1"/>
                <c:pt idx="0">
                  <c:v>Powiat szczycieński</c:v>
                </c:pt>
              </c:strCache>
            </c:strRef>
          </c:tx>
          <c:spPr>
            <a:ln w="28575" cap="rnd">
              <a:solidFill>
                <a:schemeClr val="accent6"/>
              </a:solidFill>
              <a:round/>
            </a:ln>
            <a:effectLst/>
          </c:spPr>
          <c:marker>
            <c:symbol val="none"/>
          </c:marker>
          <c:cat>
            <c:strRef>
              <c:f>urodzenia!$B$2:$K$2</c:f>
              <c:strCache>
                <c:ptCount val="10"/>
                <c:pt idx="0">
                  <c:v>2010</c:v>
                </c:pt>
                <c:pt idx="1">
                  <c:v>2011</c:v>
                </c:pt>
                <c:pt idx="2">
                  <c:v>2012</c:v>
                </c:pt>
                <c:pt idx="3">
                  <c:v>2013</c:v>
                </c:pt>
                <c:pt idx="4">
                  <c:v>2014</c:v>
                </c:pt>
                <c:pt idx="5">
                  <c:v>2015</c:v>
                </c:pt>
                <c:pt idx="6">
                  <c:v>2016</c:v>
                </c:pt>
                <c:pt idx="7">
                  <c:v>2017</c:v>
                </c:pt>
                <c:pt idx="8">
                  <c:v>2018</c:v>
                </c:pt>
                <c:pt idx="9">
                  <c:v>2019</c:v>
                </c:pt>
              </c:strCache>
            </c:strRef>
          </c:cat>
          <c:val>
            <c:numRef>
              <c:f>urodzenia!$B$8:$K$8</c:f>
              <c:numCache>
                <c:formatCode>#,##0.00</c:formatCode>
                <c:ptCount val="10"/>
                <c:pt idx="0">
                  <c:v>11.48</c:v>
                </c:pt>
                <c:pt idx="1">
                  <c:v>10.82</c:v>
                </c:pt>
                <c:pt idx="2">
                  <c:v>9.74</c:v>
                </c:pt>
                <c:pt idx="3">
                  <c:v>9.31</c:v>
                </c:pt>
                <c:pt idx="4">
                  <c:v>9.66</c:v>
                </c:pt>
                <c:pt idx="5">
                  <c:v>8.4</c:v>
                </c:pt>
                <c:pt idx="6">
                  <c:v>9.67</c:v>
                </c:pt>
                <c:pt idx="7">
                  <c:v>9.8699999999999992</c:v>
                </c:pt>
                <c:pt idx="8">
                  <c:v>9.89</c:v>
                </c:pt>
                <c:pt idx="9">
                  <c:v>9.44</c:v>
                </c:pt>
              </c:numCache>
            </c:numRef>
          </c:val>
          <c:smooth val="0"/>
          <c:extLst>
            <c:ext xmlns:c16="http://schemas.microsoft.com/office/drawing/2014/chart" uri="{C3380CC4-5D6E-409C-BE32-E72D297353CC}">
              <c16:uniqueId val="{00000005-47BF-41A9-8830-F62512711227}"/>
            </c:ext>
          </c:extLst>
        </c:ser>
        <c:dLbls>
          <c:showLegendKey val="0"/>
          <c:showVal val="0"/>
          <c:showCatName val="0"/>
          <c:showSerName val="0"/>
          <c:showPercent val="0"/>
          <c:showBubbleSize val="0"/>
        </c:dLbls>
        <c:smooth val="0"/>
        <c:axId val="875168264"/>
        <c:axId val="875161992"/>
      </c:lineChart>
      <c:catAx>
        <c:axId val="8751682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875161992"/>
        <c:crosses val="autoZero"/>
        <c:auto val="1"/>
        <c:lblAlgn val="ctr"/>
        <c:lblOffset val="100"/>
        <c:noMultiLvlLbl val="0"/>
      </c:catAx>
      <c:valAx>
        <c:axId val="875161992"/>
        <c:scaling>
          <c:orientation val="minMax"/>
          <c:min val="8"/>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875168264"/>
        <c:crosses val="autoZero"/>
        <c:crossBetween val="between"/>
      </c:valAx>
      <c:spPr>
        <a:noFill/>
        <a:ln w="6350">
          <a:noFill/>
        </a:ln>
        <a:effectLst/>
      </c:spPr>
    </c:plotArea>
    <c:legend>
      <c:legendPos val="b"/>
      <c:layout>
        <c:manualLayout>
          <c:xMode val="edge"/>
          <c:yMode val="edge"/>
          <c:x val="9.1751642952017987E-2"/>
          <c:y val="0.76534880508357506"/>
          <c:w val="0.77239528079938191"/>
          <c:h val="0.18786756918543077"/>
        </c:manualLayout>
      </c:layout>
      <c:overlay val="0"/>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solidFill>
      <a:round/>
    </a:ln>
    <a:effectLst/>
  </c:spPr>
  <c:txPr>
    <a:bodyPr/>
    <a:lstStyle/>
    <a:p>
      <a:pPr>
        <a:defRPr/>
      </a:pPr>
      <a:endParaRPr lang="pl-PL"/>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7914384185989977E-2"/>
          <c:y val="6.4327485380116955E-2"/>
          <c:w val="0.8978298275008898"/>
          <c:h val="0.53611916931436199"/>
        </c:manualLayout>
      </c:layout>
      <c:lineChart>
        <c:grouping val="standard"/>
        <c:varyColors val="0"/>
        <c:ser>
          <c:idx val="0"/>
          <c:order val="0"/>
          <c:tx>
            <c:strRef>
              <c:f>zgony!$A$3</c:f>
              <c:strCache>
                <c:ptCount val="1"/>
                <c:pt idx="0">
                  <c:v>Polska</c:v>
                </c:pt>
              </c:strCache>
            </c:strRef>
          </c:tx>
          <c:spPr>
            <a:ln w="28575" cap="rnd">
              <a:solidFill>
                <a:schemeClr val="tx2">
                  <a:lumMod val="75000"/>
                </a:schemeClr>
              </a:solidFill>
              <a:round/>
            </a:ln>
            <a:effectLst/>
          </c:spPr>
          <c:marker>
            <c:symbol val="none"/>
          </c:marker>
          <c:cat>
            <c:strRef>
              <c:f>zgony!$B$2:$K$2</c:f>
              <c:strCache>
                <c:ptCount val="10"/>
                <c:pt idx="0">
                  <c:v>2010</c:v>
                </c:pt>
                <c:pt idx="1">
                  <c:v>2011</c:v>
                </c:pt>
                <c:pt idx="2">
                  <c:v>2012</c:v>
                </c:pt>
                <c:pt idx="3">
                  <c:v>2013</c:v>
                </c:pt>
                <c:pt idx="4">
                  <c:v>2014</c:v>
                </c:pt>
                <c:pt idx="5">
                  <c:v>2015</c:v>
                </c:pt>
                <c:pt idx="6">
                  <c:v>2016</c:v>
                </c:pt>
                <c:pt idx="7">
                  <c:v>2017</c:v>
                </c:pt>
                <c:pt idx="8">
                  <c:v>2018</c:v>
                </c:pt>
                <c:pt idx="9">
                  <c:v>2019</c:v>
                </c:pt>
              </c:strCache>
            </c:strRef>
          </c:cat>
          <c:val>
            <c:numRef>
              <c:f>zgony!$B$3:$K$3</c:f>
              <c:numCache>
                <c:formatCode>#,##0.00</c:formatCode>
                <c:ptCount val="10"/>
                <c:pt idx="0">
                  <c:v>9.83</c:v>
                </c:pt>
                <c:pt idx="1">
                  <c:v>9.75</c:v>
                </c:pt>
                <c:pt idx="2">
                  <c:v>9.99</c:v>
                </c:pt>
                <c:pt idx="3">
                  <c:v>10.06</c:v>
                </c:pt>
                <c:pt idx="4">
                  <c:v>9.7799999999999994</c:v>
                </c:pt>
                <c:pt idx="5">
                  <c:v>10.27</c:v>
                </c:pt>
                <c:pt idx="6">
                  <c:v>10.1</c:v>
                </c:pt>
                <c:pt idx="7">
                  <c:v>10.48</c:v>
                </c:pt>
                <c:pt idx="8">
                  <c:v>10.78</c:v>
                </c:pt>
                <c:pt idx="9">
                  <c:v>10.67</c:v>
                </c:pt>
              </c:numCache>
            </c:numRef>
          </c:val>
          <c:smooth val="0"/>
          <c:extLst>
            <c:ext xmlns:c16="http://schemas.microsoft.com/office/drawing/2014/chart" uri="{C3380CC4-5D6E-409C-BE32-E72D297353CC}">
              <c16:uniqueId val="{00000000-1823-4AA1-9D57-849BE6B7A556}"/>
            </c:ext>
          </c:extLst>
        </c:ser>
        <c:ser>
          <c:idx val="1"/>
          <c:order val="1"/>
          <c:tx>
            <c:strRef>
              <c:f>zgony!$A$4</c:f>
              <c:strCache>
                <c:ptCount val="1"/>
                <c:pt idx="0">
                  <c:v>Województwo warmińsko-mazurskie</c:v>
                </c:pt>
              </c:strCache>
            </c:strRef>
          </c:tx>
          <c:spPr>
            <a:ln w="28575" cap="rnd">
              <a:solidFill>
                <a:schemeClr val="accent3"/>
              </a:solidFill>
              <a:round/>
            </a:ln>
            <a:effectLst/>
          </c:spPr>
          <c:marker>
            <c:symbol val="none"/>
          </c:marker>
          <c:cat>
            <c:strRef>
              <c:f>zgony!$B$2:$K$2</c:f>
              <c:strCache>
                <c:ptCount val="10"/>
                <c:pt idx="0">
                  <c:v>2010</c:v>
                </c:pt>
                <c:pt idx="1">
                  <c:v>2011</c:v>
                </c:pt>
                <c:pt idx="2">
                  <c:v>2012</c:v>
                </c:pt>
                <c:pt idx="3">
                  <c:v>2013</c:v>
                </c:pt>
                <c:pt idx="4">
                  <c:v>2014</c:v>
                </c:pt>
                <c:pt idx="5">
                  <c:v>2015</c:v>
                </c:pt>
                <c:pt idx="6">
                  <c:v>2016</c:v>
                </c:pt>
                <c:pt idx="7">
                  <c:v>2017</c:v>
                </c:pt>
                <c:pt idx="8">
                  <c:v>2018</c:v>
                </c:pt>
                <c:pt idx="9">
                  <c:v>2019</c:v>
                </c:pt>
              </c:strCache>
            </c:strRef>
          </c:cat>
          <c:val>
            <c:numRef>
              <c:f>zgony!$B$4:$K$4</c:f>
              <c:numCache>
                <c:formatCode>#,##0.00</c:formatCode>
                <c:ptCount val="10"/>
                <c:pt idx="0">
                  <c:v>8.9</c:v>
                </c:pt>
                <c:pt idx="1">
                  <c:v>8.91</c:v>
                </c:pt>
                <c:pt idx="2">
                  <c:v>9.24</c:v>
                </c:pt>
                <c:pt idx="3">
                  <c:v>9.61</c:v>
                </c:pt>
                <c:pt idx="4">
                  <c:v>9.06</c:v>
                </c:pt>
                <c:pt idx="5">
                  <c:v>9.61</c:v>
                </c:pt>
                <c:pt idx="6">
                  <c:v>9.7899999999999991</c:v>
                </c:pt>
                <c:pt idx="7">
                  <c:v>10.050000000000001</c:v>
                </c:pt>
                <c:pt idx="8">
                  <c:v>10.46</c:v>
                </c:pt>
                <c:pt idx="9">
                  <c:v>10.44</c:v>
                </c:pt>
              </c:numCache>
            </c:numRef>
          </c:val>
          <c:smooth val="0"/>
          <c:extLst>
            <c:ext xmlns:c16="http://schemas.microsoft.com/office/drawing/2014/chart" uri="{C3380CC4-5D6E-409C-BE32-E72D297353CC}">
              <c16:uniqueId val="{00000001-1823-4AA1-9D57-849BE6B7A556}"/>
            </c:ext>
          </c:extLst>
        </c:ser>
        <c:ser>
          <c:idx val="2"/>
          <c:order val="2"/>
          <c:tx>
            <c:strRef>
              <c:f>zgony!$A$5</c:f>
              <c:strCache>
                <c:ptCount val="1"/>
                <c:pt idx="0">
                  <c:v>Powiat działdowski</c:v>
                </c:pt>
              </c:strCache>
            </c:strRef>
          </c:tx>
          <c:spPr>
            <a:ln w="28575" cap="rnd">
              <a:solidFill>
                <a:schemeClr val="accent2"/>
              </a:solidFill>
              <a:round/>
            </a:ln>
            <a:effectLst/>
          </c:spPr>
          <c:marker>
            <c:symbol val="none"/>
          </c:marker>
          <c:cat>
            <c:strRef>
              <c:f>zgony!$B$2:$K$2</c:f>
              <c:strCache>
                <c:ptCount val="10"/>
                <c:pt idx="0">
                  <c:v>2010</c:v>
                </c:pt>
                <c:pt idx="1">
                  <c:v>2011</c:v>
                </c:pt>
                <c:pt idx="2">
                  <c:v>2012</c:v>
                </c:pt>
                <c:pt idx="3">
                  <c:v>2013</c:v>
                </c:pt>
                <c:pt idx="4">
                  <c:v>2014</c:v>
                </c:pt>
                <c:pt idx="5">
                  <c:v>2015</c:v>
                </c:pt>
                <c:pt idx="6">
                  <c:v>2016</c:v>
                </c:pt>
                <c:pt idx="7">
                  <c:v>2017</c:v>
                </c:pt>
                <c:pt idx="8">
                  <c:v>2018</c:v>
                </c:pt>
                <c:pt idx="9">
                  <c:v>2019</c:v>
                </c:pt>
              </c:strCache>
            </c:strRef>
          </c:cat>
          <c:val>
            <c:numRef>
              <c:f>zgony!$B$5:$K$5</c:f>
              <c:numCache>
                <c:formatCode>#,##0.00</c:formatCode>
                <c:ptCount val="10"/>
                <c:pt idx="0">
                  <c:v>8.83</c:v>
                </c:pt>
                <c:pt idx="1">
                  <c:v>9.34</c:v>
                </c:pt>
                <c:pt idx="2">
                  <c:v>9.5</c:v>
                </c:pt>
                <c:pt idx="3">
                  <c:v>9.77</c:v>
                </c:pt>
                <c:pt idx="4">
                  <c:v>9.19</c:v>
                </c:pt>
                <c:pt idx="5">
                  <c:v>9.6300000000000008</c:v>
                </c:pt>
                <c:pt idx="6">
                  <c:v>9.94</c:v>
                </c:pt>
                <c:pt idx="7">
                  <c:v>10.3</c:v>
                </c:pt>
                <c:pt idx="8">
                  <c:v>11.56</c:v>
                </c:pt>
                <c:pt idx="9">
                  <c:v>10.4</c:v>
                </c:pt>
              </c:numCache>
            </c:numRef>
          </c:val>
          <c:smooth val="0"/>
          <c:extLst>
            <c:ext xmlns:c16="http://schemas.microsoft.com/office/drawing/2014/chart" uri="{C3380CC4-5D6E-409C-BE32-E72D297353CC}">
              <c16:uniqueId val="{00000002-1823-4AA1-9D57-849BE6B7A556}"/>
            </c:ext>
          </c:extLst>
        </c:ser>
        <c:ser>
          <c:idx val="3"/>
          <c:order val="3"/>
          <c:tx>
            <c:strRef>
              <c:f>zgony!$A$6</c:f>
              <c:strCache>
                <c:ptCount val="1"/>
                <c:pt idx="0">
                  <c:v>Powiat nidzicki</c:v>
                </c:pt>
              </c:strCache>
            </c:strRef>
          </c:tx>
          <c:spPr>
            <a:ln w="28575" cap="rnd">
              <a:solidFill>
                <a:schemeClr val="accent4"/>
              </a:solidFill>
              <a:round/>
            </a:ln>
            <a:effectLst/>
          </c:spPr>
          <c:marker>
            <c:symbol val="none"/>
          </c:marker>
          <c:cat>
            <c:strRef>
              <c:f>zgony!$B$2:$K$2</c:f>
              <c:strCache>
                <c:ptCount val="10"/>
                <c:pt idx="0">
                  <c:v>2010</c:v>
                </c:pt>
                <c:pt idx="1">
                  <c:v>2011</c:v>
                </c:pt>
                <c:pt idx="2">
                  <c:v>2012</c:v>
                </c:pt>
                <c:pt idx="3">
                  <c:v>2013</c:v>
                </c:pt>
                <c:pt idx="4">
                  <c:v>2014</c:v>
                </c:pt>
                <c:pt idx="5">
                  <c:v>2015</c:v>
                </c:pt>
                <c:pt idx="6">
                  <c:v>2016</c:v>
                </c:pt>
                <c:pt idx="7">
                  <c:v>2017</c:v>
                </c:pt>
                <c:pt idx="8">
                  <c:v>2018</c:v>
                </c:pt>
                <c:pt idx="9">
                  <c:v>2019</c:v>
                </c:pt>
              </c:strCache>
            </c:strRef>
          </c:cat>
          <c:val>
            <c:numRef>
              <c:f>zgony!$B$6:$K$6</c:f>
              <c:numCache>
                <c:formatCode>#,##0.00</c:formatCode>
                <c:ptCount val="10"/>
                <c:pt idx="0">
                  <c:v>9.5299999999999994</c:v>
                </c:pt>
                <c:pt idx="1">
                  <c:v>8.65</c:v>
                </c:pt>
                <c:pt idx="2">
                  <c:v>10.3</c:v>
                </c:pt>
                <c:pt idx="3">
                  <c:v>10.54</c:v>
                </c:pt>
                <c:pt idx="4">
                  <c:v>8.67</c:v>
                </c:pt>
                <c:pt idx="5">
                  <c:v>9.86</c:v>
                </c:pt>
                <c:pt idx="6">
                  <c:v>10.31</c:v>
                </c:pt>
                <c:pt idx="7">
                  <c:v>10.49</c:v>
                </c:pt>
                <c:pt idx="8">
                  <c:v>10.99</c:v>
                </c:pt>
                <c:pt idx="9">
                  <c:v>9.11</c:v>
                </c:pt>
              </c:numCache>
            </c:numRef>
          </c:val>
          <c:smooth val="0"/>
          <c:extLst>
            <c:ext xmlns:c16="http://schemas.microsoft.com/office/drawing/2014/chart" uri="{C3380CC4-5D6E-409C-BE32-E72D297353CC}">
              <c16:uniqueId val="{00000003-1823-4AA1-9D57-849BE6B7A556}"/>
            </c:ext>
          </c:extLst>
        </c:ser>
        <c:ser>
          <c:idx val="4"/>
          <c:order val="4"/>
          <c:tx>
            <c:strRef>
              <c:f>zgony!$A$7</c:f>
              <c:strCache>
                <c:ptCount val="1"/>
                <c:pt idx="0">
                  <c:v>Powiat piski</c:v>
                </c:pt>
              </c:strCache>
            </c:strRef>
          </c:tx>
          <c:spPr>
            <a:ln w="28575" cap="rnd">
              <a:solidFill>
                <a:schemeClr val="accent5"/>
              </a:solidFill>
              <a:round/>
            </a:ln>
            <a:effectLst/>
          </c:spPr>
          <c:marker>
            <c:symbol val="none"/>
          </c:marker>
          <c:cat>
            <c:strRef>
              <c:f>zgony!$B$2:$K$2</c:f>
              <c:strCache>
                <c:ptCount val="10"/>
                <c:pt idx="0">
                  <c:v>2010</c:v>
                </c:pt>
                <c:pt idx="1">
                  <c:v>2011</c:v>
                </c:pt>
                <c:pt idx="2">
                  <c:v>2012</c:v>
                </c:pt>
                <c:pt idx="3">
                  <c:v>2013</c:v>
                </c:pt>
                <c:pt idx="4">
                  <c:v>2014</c:v>
                </c:pt>
                <c:pt idx="5">
                  <c:v>2015</c:v>
                </c:pt>
                <c:pt idx="6">
                  <c:v>2016</c:v>
                </c:pt>
                <c:pt idx="7">
                  <c:v>2017</c:v>
                </c:pt>
                <c:pt idx="8">
                  <c:v>2018</c:v>
                </c:pt>
                <c:pt idx="9">
                  <c:v>2019</c:v>
                </c:pt>
              </c:strCache>
            </c:strRef>
          </c:cat>
          <c:val>
            <c:numRef>
              <c:f>zgony!$B$7:$K$7</c:f>
              <c:numCache>
                <c:formatCode>#,##0.00</c:formatCode>
                <c:ptCount val="10"/>
                <c:pt idx="0">
                  <c:v>8.64</c:v>
                </c:pt>
                <c:pt idx="1">
                  <c:v>9.19</c:v>
                </c:pt>
                <c:pt idx="2">
                  <c:v>9.39</c:v>
                </c:pt>
                <c:pt idx="3">
                  <c:v>9.4700000000000006</c:v>
                </c:pt>
                <c:pt idx="4">
                  <c:v>8.27</c:v>
                </c:pt>
                <c:pt idx="5">
                  <c:v>9.02</c:v>
                </c:pt>
                <c:pt idx="6">
                  <c:v>8.9700000000000006</c:v>
                </c:pt>
                <c:pt idx="7">
                  <c:v>9.31</c:v>
                </c:pt>
                <c:pt idx="8">
                  <c:v>10.19</c:v>
                </c:pt>
                <c:pt idx="9">
                  <c:v>10.31</c:v>
                </c:pt>
              </c:numCache>
            </c:numRef>
          </c:val>
          <c:smooth val="0"/>
          <c:extLst>
            <c:ext xmlns:c16="http://schemas.microsoft.com/office/drawing/2014/chart" uri="{C3380CC4-5D6E-409C-BE32-E72D297353CC}">
              <c16:uniqueId val="{00000004-1823-4AA1-9D57-849BE6B7A556}"/>
            </c:ext>
          </c:extLst>
        </c:ser>
        <c:ser>
          <c:idx val="5"/>
          <c:order val="5"/>
          <c:tx>
            <c:strRef>
              <c:f>zgony!$A$8</c:f>
              <c:strCache>
                <c:ptCount val="1"/>
                <c:pt idx="0">
                  <c:v>Powiat szczycieński</c:v>
                </c:pt>
              </c:strCache>
            </c:strRef>
          </c:tx>
          <c:spPr>
            <a:ln w="28575" cap="rnd">
              <a:solidFill>
                <a:schemeClr val="accent6"/>
              </a:solidFill>
              <a:round/>
            </a:ln>
            <a:effectLst/>
          </c:spPr>
          <c:marker>
            <c:symbol val="none"/>
          </c:marker>
          <c:cat>
            <c:strRef>
              <c:f>zgony!$B$2:$K$2</c:f>
              <c:strCache>
                <c:ptCount val="10"/>
                <c:pt idx="0">
                  <c:v>2010</c:v>
                </c:pt>
                <c:pt idx="1">
                  <c:v>2011</c:v>
                </c:pt>
                <c:pt idx="2">
                  <c:v>2012</c:v>
                </c:pt>
                <c:pt idx="3">
                  <c:v>2013</c:v>
                </c:pt>
                <c:pt idx="4">
                  <c:v>2014</c:v>
                </c:pt>
                <c:pt idx="5">
                  <c:v>2015</c:v>
                </c:pt>
                <c:pt idx="6">
                  <c:v>2016</c:v>
                </c:pt>
                <c:pt idx="7">
                  <c:v>2017</c:v>
                </c:pt>
                <c:pt idx="8">
                  <c:v>2018</c:v>
                </c:pt>
                <c:pt idx="9">
                  <c:v>2019</c:v>
                </c:pt>
              </c:strCache>
            </c:strRef>
          </c:cat>
          <c:val>
            <c:numRef>
              <c:f>zgony!$B$8:$K$8</c:f>
              <c:numCache>
                <c:formatCode>#,##0.00</c:formatCode>
                <c:ptCount val="10"/>
                <c:pt idx="0">
                  <c:v>8.7899999999999991</c:v>
                </c:pt>
                <c:pt idx="1">
                  <c:v>8.33</c:v>
                </c:pt>
                <c:pt idx="2">
                  <c:v>9.35</c:v>
                </c:pt>
                <c:pt idx="3">
                  <c:v>9.64</c:v>
                </c:pt>
                <c:pt idx="4">
                  <c:v>9.1199999999999992</c:v>
                </c:pt>
                <c:pt idx="5">
                  <c:v>9.6300000000000008</c:v>
                </c:pt>
                <c:pt idx="6">
                  <c:v>9.1999999999999993</c:v>
                </c:pt>
                <c:pt idx="7">
                  <c:v>9.9499999999999993</c:v>
                </c:pt>
                <c:pt idx="8">
                  <c:v>10.98</c:v>
                </c:pt>
                <c:pt idx="9">
                  <c:v>11.22</c:v>
                </c:pt>
              </c:numCache>
            </c:numRef>
          </c:val>
          <c:smooth val="0"/>
          <c:extLst>
            <c:ext xmlns:c16="http://schemas.microsoft.com/office/drawing/2014/chart" uri="{C3380CC4-5D6E-409C-BE32-E72D297353CC}">
              <c16:uniqueId val="{00000005-1823-4AA1-9D57-849BE6B7A556}"/>
            </c:ext>
          </c:extLst>
        </c:ser>
        <c:dLbls>
          <c:showLegendKey val="0"/>
          <c:showVal val="0"/>
          <c:showCatName val="0"/>
          <c:showSerName val="0"/>
          <c:showPercent val="0"/>
          <c:showBubbleSize val="0"/>
        </c:dLbls>
        <c:smooth val="0"/>
        <c:axId val="875162776"/>
        <c:axId val="875163560"/>
      </c:lineChart>
      <c:catAx>
        <c:axId val="8751627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875163560"/>
        <c:crosses val="autoZero"/>
        <c:auto val="1"/>
        <c:lblAlgn val="ctr"/>
        <c:lblOffset val="100"/>
        <c:noMultiLvlLbl val="0"/>
      </c:catAx>
      <c:valAx>
        <c:axId val="875163560"/>
        <c:scaling>
          <c:orientation val="minMax"/>
          <c:min val="8"/>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875162776"/>
        <c:crosses val="autoZero"/>
        <c:crossBetween val="between"/>
      </c:valAx>
      <c:spPr>
        <a:noFill/>
        <a:ln>
          <a:noFill/>
        </a:ln>
        <a:effectLst/>
      </c:spPr>
    </c:plotArea>
    <c:legend>
      <c:legendPos val="b"/>
      <c:layout>
        <c:manualLayout>
          <c:xMode val="edge"/>
          <c:yMode val="edge"/>
          <c:x val="7.2936304681870651E-2"/>
          <c:y val="0.77532808398950126"/>
          <c:w val="0.85412739063625864"/>
          <c:h val="0.16034443063038173"/>
        </c:manualLayout>
      </c:layout>
      <c:overlay val="0"/>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solidFill>
      <a:round/>
    </a:ln>
    <a:effectLst/>
  </c:spPr>
  <c:txPr>
    <a:bodyPr/>
    <a:lstStyle/>
    <a:p>
      <a:pPr>
        <a:defRPr/>
      </a:pPr>
      <a:endParaRPr lang="pl-PL"/>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Arkusz1!$A$31</c:f>
              <c:strCache>
                <c:ptCount val="1"/>
                <c:pt idx="0">
                  <c:v>Województwo warmińsko-mazurskie</c:v>
                </c:pt>
              </c:strCache>
            </c:strRef>
          </c:tx>
          <c:spPr>
            <a:ln w="28575" cap="rnd">
              <a:solidFill>
                <a:schemeClr val="tx1">
                  <a:lumMod val="75000"/>
                  <a:lumOff val="25000"/>
                </a:schemeClr>
              </a:solidFill>
              <a:round/>
            </a:ln>
            <a:effectLst/>
          </c:spPr>
          <c:marker>
            <c:symbol val="none"/>
          </c:marker>
          <c:cat>
            <c:numRef>
              <c:f>Arkusz1!$B$30:$I$30</c:f>
              <c:numCache>
                <c:formatCode>General</c:formatCode>
                <c:ptCount val="8"/>
                <c:pt idx="0">
                  <c:v>2012</c:v>
                </c:pt>
                <c:pt idx="1">
                  <c:v>2013</c:v>
                </c:pt>
                <c:pt idx="2">
                  <c:v>2014</c:v>
                </c:pt>
                <c:pt idx="3">
                  <c:v>2015</c:v>
                </c:pt>
                <c:pt idx="4">
                  <c:v>2016</c:v>
                </c:pt>
                <c:pt idx="5">
                  <c:v>2017</c:v>
                </c:pt>
                <c:pt idx="6">
                  <c:v>2018</c:v>
                </c:pt>
                <c:pt idx="7">
                  <c:v>2019</c:v>
                </c:pt>
              </c:numCache>
            </c:numRef>
          </c:cat>
          <c:val>
            <c:numRef>
              <c:f>Arkusz1!$B$31:$I$31</c:f>
              <c:numCache>
                <c:formatCode>0</c:formatCode>
                <c:ptCount val="8"/>
                <c:pt idx="0">
                  <c:v>40196.44350267492</c:v>
                </c:pt>
                <c:pt idx="1">
                  <c:v>40843.760690849151</c:v>
                </c:pt>
                <c:pt idx="2">
                  <c:v>41176.301120454969</c:v>
                </c:pt>
                <c:pt idx="3">
                  <c:v>42342.459235591363</c:v>
                </c:pt>
                <c:pt idx="4">
                  <c:v>43011.93218724741</c:v>
                </c:pt>
                <c:pt idx="5">
                  <c:v>43647.985104031191</c:v>
                </c:pt>
                <c:pt idx="6">
                  <c:v>45137.688831847539</c:v>
                </c:pt>
                <c:pt idx="7">
                  <c:v>45672.460897551697</c:v>
                </c:pt>
              </c:numCache>
            </c:numRef>
          </c:val>
          <c:smooth val="0"/>
          <c:extLst>
            <c:ext xmlns:c16="http://schemas.microsoft.com/office/drawing/2014/chart" uri="{C3380CC4-5D6E-409C-BE32-E72D297353CC}">
              <c16:uniqueId val="{00000000-CF0B-4B68-809D-3ADE34C7877A}"/>
            </c:ext>
          </c:extLst>
        </c:ser>
        <c:ser>
          <c:idx val="1"/>
          <c:order val="1"/>
          <c:tx>
            <c:strRef>
              <c:f>Arkusz1!$A$32</c:f>
              <c:strCache>
                <c:ptCount val="1"/>
                <c:pt idx="0">
                  <c:v>Powiat działdowski</c:v>
                </c:pt>
              </c:strCache>
            </c:strRef>
          </c:tx>
          <c:spPr>
            <a:ln w="28575" cap="rnd">
              <a:solidFill>
                <a:schemeClr val="accent2"/>
              </a:solidFill>
              <a:round/>
            </a:ln>
            <a:effectLst/>
          </c:spPr>
          <c:marker>
            <c:symbol val="none"/>
          </c:marker>
          <c:cat>
            <c:numRef>
              <c:f>Arkusz1!$B$30:$I$30</c:f>
              <c:numCache>
                <c:formatCode>General</c:formatCode>
                <c:ptCount val="8"/>
                <c:pt idx="0">
                  <c:v>2012</c:v>
                </c:pt>
                <c:pt idx="1">
                  <c:v>2013</c:v>
                </c:pt>
                <c:pt idx="2">
                  <c:v>2014</c:v>
                </c:pt>
                <c:pt idx="3">
                  <c:v>2015</c:v>
                </c:pt>
                <c:pt idx="4">
                  <c:v>2016</c:v>
                </c:pt>
                <c:pt idx="5">
                  <c:v>2017</c:v>
                </c:pt>
                <c:pt idx="6">
                  <c:v>2018</c:v>
                </c:pt>
                <c:pt idx="7">
                  <c:v>2019</c:v>
                </c:pt>
              </c:numCache>
            </c:numRef>
          </c:cat>
          <c:val>
            <c:numRef>
              <c:f>Arkusz1!$B$32:$I$32</c:f>
              <c:numCache>
                <c:formatCode>0</c:formatCode>
                <c:ptCount val="8"/>
                <c:pt idx="0">
                  <c:v>41112.543470440105</c:v>
                </c:pt>
                <c:pt idx="1">
                  <c:v>43355.644130254943</c:v>
                </c:pt>
                <c:pt idx="2">
                  <c:v>43686.449627372298</c:v>
                </c:pt>
                <c:pt idx="3">
                  <c:v>45248.135767549502</c:v>
                </c:pt>
                <c:pt idx="4">
                  <c:v>45621.335837966399</c:v>
                </c:pt>
                <c:pt idx="5">
                  <c:v>44349.57124612297</c:v>
                </c:pt>
                <c:pt idx="6">
                  <c:v>46068.121389933069</c:v>
                </c:pt>
                <c:pt idx="7">
                  <c:v>44553.953852530743</c:v>
                </c:pt>
              </c:numCache>
            </c:numRef>
          </c:val>
          <c:smooth val="0"/>
          <c:extLst>
            <c:ext xmlns:c16="http://schemas.microsoft.com/office/drawing/2014/chart" uri="{C3380CC4-5D6E-409C-BE32-E72D297353CC}">
              <c16:uniqueId val="{00000001-CF0B-4B68-809D-3ADE34C7877A}"/>
            </c:ext>
          </c:extLst>
        </c:ser>
        <c:ser>
          <c:idx val="2"/>
          <c:order val="2"/>
          <c:tx>
            <c:strRef>
              <c:f>Arkusz1!$A$33</c:f>
              <c:strCache>
                <c:ptCount val="1"/>
                <c:pt idx="0">
                  <c:v>Powiat nidzicki</c:v>
                </c:pt>
              </c:strCache>
            </c:strRef>
          </c:tx>
          <c:spPr>
            <a:ln w="28575" cap="rnd">
              <a:solidFill>
                <a:schemeClr val="accent3"/>
              </a:solidFill>
              <a:round/>
            </a:ln>
            <a:effectLst/>
          </c:spPr>
          <c:marker>
            <c:symbol val="none"/>
          </c:marker>
          <c:cat>
            <c:numRef>
              <c:f>Arkusz1!$B$30:$I$30</c:f>
              <c:numCache>
                <c:formatCode>General</c:formatCode>
                <c:ptCount val="8"/>
                <c:pt idx="0">
                  <c:v>2012</c:v>
                </c:pt>
                <c:pt idx="1">
                  <c:v>2013</c:v>
                </c:pt>
                <c:pt idx="2">
                  <c:v>2014</c:v>
                </c:pt>
                <c:pt idx="3">
                  <c:v>2015</c:v>
                </c:pt>
                <c:pt idx="4">
                  <c:v>2016</c:v>
                </c:pt>
                <c:pt idx="5">
                  <c:v>2017</c:v>
                </c:pt>
                <c:pt idx="6">
                  <c:v>2018</c:v>
                </c:pt>
                <c:pt idx="7">
                  <c:v>2019</c:v>
                </c:pt>
              </c:numCache>
            </c:numRef>
          </c:cat>
          <c:val>
            <c:numRef>
              <c:f>Arkusz1!$B$33:$I$33</c:f>
              <c:numCache>
                <c:formatCode>0</c:formatCode>
                <c:ptCount val="8"/>
                <c:pt idx="0">
                  <c:v>44792.722585181495</c:v>
                </c:pt>
                <c:pt idx="1">
                  <c:v>46506.20889006873</c:v>
                </c:pt>
                <c:pt idx="2">
                  <c:v>43693.25733187631</c:v>
                </c:pt>
                <c:pt idx="3">
                  <c:v>44158.595281953771</c:v>
                </c:pt>
                <c:pt idx="4">
                  <c:v>43839.435271596078</c:v>
                </c:pt>
                <c:pt idx="5">
                  <c:v>43293.420379674477</c:v>
                </c:pt>
                <c:pt idx="6">
                  <c:v>46851.639046812626</c:v>
                </c:pt>
                <c:pt idx="7">
                  <c:v>48045.774112061357</c:v>
                </c:pt>
              </c:numCache>
            </c:numRef>
          </c:val>
          <c:smooth val="0"/>
          <c:extLst>
            <c:ext xmlns:c16="http://schemas.microsoft.com/office/drawing/2014/chart" uri="{C3380CC4-5D6E-409C-BE32-E72D297353CC}">
              <c16:uniqueId val="{00000002-CF0B-4B68-809D-3ADE34C7877A}"/>
            </c:ext>
          </c:extLst>
        </c:ser>
        <c:ser>
          <c:idx val="3"/>
          <c:order val="3"/>
          <c:tx>
            <c:strRef>
              <c:f>Arkusz1!$A$34</c:f>
              <c:strCache>
                <c:ptCount val="1"/>
                <c:pt idx="0">
                  <c:v>Powiat piski</c:v>
                </c:pt>
              </c:strCache>
            </c:strRef>
          </c:tx>
          <c:spPr>
            <a:ln w="28575" cap="rnd">
              <a:solidFill>
                <a:schemeClr val="accent4"/>
              </a:solidFill>
              <a:round/>
            </a:ln>
            <a:effectLst/>
          </c:spPr>
          <c:marker>
            <c:symbol val="none"/>
          </c:marker>
          <c:cat>
            <c:numRef>
              <c:f>Arkusz1!$B$30:$I$30</c:f>
              <c:numCache>
                <c:formatCode>General</c:formatCode>
                <c:ptCount val="8"/>
                <c:pt idx="0">
                  <c:v>2012</c:v>
                </c:pt>
                <c:pt idx="1">
                  <c:v>2013</c:v>
                </c:pt>
                <c:pt idx="2">
                  <c:v>2014</c:v>
                </c:pt>
                <c:pt idx="3">
                  <c:v>2015</c:v>
                </c:pt>
                <c:pt idx="4">
                  <c:v>2016</c:v>
                </c:pt>
                <c:pt idx="5">
                  <c:v>2017</c:v>
                </c:pt>
                <c:pt idx="6">
                  <c:v>2018</c:v>
                </c:pt>
                <c:pt idx="7">
                  <c:v>2019</c:v>
                </c:pt>
              </c:numCache>
            </c:numRef>
          </c:cat>
          <c:val>
            <c:numRef>
              <c:f>Arkusz1!$B$34:$I$34</c:f>
              <c:numCache>
                <c:formatCode>0</c:formatCode>
                <c:ptCount val="8"/>
                <c:pt idx="0">
                  <c:v>37186.289531220413</c:v>
                </c:pt>
                <c:pt idx="1">
                  <c:v>38311.108805064076</c:v>
                </c:pt>
                <c:pt idx="2">
                  <c:v>37920.06369978017</c:v>
                </c:pt>
                <c:pt idx="3">
                  <c:v>39648.949105436863</c:v>
                </c:pt>
                <c:pt idx="4">
                  <c:v>40355.52840562004</c:v>
                </c:pt>
                <c:pt idx="5">
                  <c:v>40193.033917060406</c:v>
                </c:pt>
                <c:pt idx="6">
                  <c:v>42533.851864946082</c:v>
                </c:pt>
                <c:pt idx="7">
                  <c:v>43219.381847332326</c:v>
                </c:pt>
              </c:numCache>
            </c:numRef>
          </c:val>
          <c:smooth val="0"/>
          <c:extLst>
            <c:ext xmlns:c16="http://schemas.microsoft.com/office/drawing/2014/chart" uri="{C3380CC4-5D6E-409C-BE32-E72D297353CC}">
              <c16:uniqueId val="{00000003-CF0B-4B68-809D-3ADE34C7877A}"/>
            </c:ext>
          </c:extLst>
        </c:ser>
        <c:ser>
          <c:idx val="4"/>
          <c:order val="4"/>
          <c:tx>
            <c:strRef>
              <c:f>Arkusz1!$A$35</c:f>
              <c:strCache>
                <c:ptCount val="1"/>
                <c:pt idx="0">
                  <c:v>Powiat szczycieński</c:v>
                </c:pt>
              </c:strCache>
            </c:strRef>
          </c:tx>
          <c:spPr>
            <a:ln w="28575" cap="rnd">
              <a:solidFill>
                <a:schemeClr val="accent5"/>
              </a:solidFill>
              <a:round/>
            </a:ln>
            <a:effectLst/>
          </c:spPr>
          <c:marker>
            <c:symbol val="none"/>
          </c:marker>
          <c:cat>
            <c:numRef>
              <c:f>Arkusz1!$B$30:$I$30</c:f>
              <c:numCache>
                <c:formatCode>General</c:formatCode>
                <c:ptCount val="8"/>
                <c:pt idx="0">
                  <c:v>2012</c:v>
                </c:pt>
                <c:pt idx="1">
                  <c:v>2013</c:v>
                </c:pt>
                <c:pt idx="2">
                  <c:v>2014</c:v>
                </c:pt>
                <c:pt idx="3">
                  <c:v>2015</c:v>
                </c:pt>
                <c:pt idx="4">
                  <c:v>2016</c:v>
                </c:pt>
                <c:pt idx="5">
                  <c:v>2017</c:v>
                </c:pt>
                <c:pt idx="6">
                  <c:v>2018</c:v>
                </c:pt>
                <c:pt idx="7">
                  <c:v>2019</c:v>
                </c:pt>
              </c:numCache>
            </c:numRef>
          </c:cat>
          <c:val>
            <c:numRef>
              <c:f>Arkusz1!$B$35:$I$35</c:f>
              <c:numCache>
                <c:formatCode>0</c:formatCode>
                <c:ptCount val="8"/>
                <c:pt idx="0">
                  <c:v>43318.795663941441</c:v>
                </c:pt>
                <c:pt idx="1">
                  <c:v>45701.353006603124</c:v>
                </c:pt>
                <c:pt idx="2">
                  <c:v>46132.231171798958</c:v>
                </c:pt>
                <c:pt idx="3">
                  <c:v>47964.14907184356</c:v>
                </c:pt>
                <c:pt idx="4">
                  <c:v>48939.204722845061</c:v>
                </c:pt>
                <c:pt idx="5">
                  <c:v>48148.332929454191</c:v>
                </c:pt>
                <c:pt idx="6">
                  <c:v>51101.23774772841</c:v>
                </c:pt>
                <c:pt idx="7">
                  <c:v>50846.402214022142</c:v>
                </c:pt>
              </c:numCache>
            </c:numRef>
          </c:val>
          <c:smooth val="0"/>
          <c:extLst>
            <c:ext xmlns:c16="http://schemas.microsoft.com/office/drawing/2014/chart" uri="{C3380CC4-5D6E-409C-BE32-E72D297353CC}">
              <c16:uniqueId val="{00000004-CF0B-4B68-809D-3ADE34C7877A}"/>
            </c:ext>
          </c:extLst>
        </c:ser>
        <c:dLbls>
          <c:showLegendKey val="0"/>
          <c:showVal val="0"/>
          <c:showCatName val="0"/>
          <c:showSerName val="0"/>
          <c:showPercent val="0"/>
          <c:showBubbleSize val="0"/>
        </c:dLbls>
        <c:smooth val="0"/>
        <c:axId val="875183944"/>
        <c:axId val="875174144"/>
      </c:lineChart>
      <c:catAx>
        <c:axId val="8751839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875174144"/>
        <c:crosses val="autoZero"/>
        <c:auto val="1"/>
        <c:lblAlgn val="ctr"/>
        <c:lblOffset val="100"/>
        <c:noMultiLvlLbl val="0"/>
      </c:catAx>
      <c:valAx>
        <c:axId val="875174144"/>
        <c:scaling>
          <c:orientation val="minMax"/>
          <c:min val="3000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875183944"/>
        <c:crosses val="autoZero"/>
        <c:crossBetween val="between"/>
      </c:valAx>
      <c:spPr>
        <a:noFill/>
        <a:ln>
          <a:noFill/>
        </a:ln>
        <a:effectLst/>
      </c:spPr>
    </c:plotArea>
    <c:legend>
      <c:legendPos val="b"/>
      <c:layout>
        <c:manualLayout>
          <c:xMode val="edge"/>
          <c:yMode val="edge"/>
          <c:x val="7.2936304681870665E-2"/>
          <c:y val="0.87779694204891057"/>
          <c:w val="0.89602375226801168"/>
          <c:h val="9.2962962962962969E-2"/>
        </c:manualLayout>
      </c:layout>
      <c:overlay val="0"/>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2"/>
      </a:solidFill>
      <a:round/>
    </a:ln>
    <a:effectLst/>
  </c:spPr>
  <c:txPr>
    <a:bodyPr/>
    <a:lstStyle/>
    <a:p>
      <a:pPr>
        <a:defRPr/>
      </a:pPr>
      <a:endParaRPr lang="pl-PL"/>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wykres_lekarze!$A$2</c:f>
              <c:strCache>
                <c:ptCount val="1"/>
                <c:pt idx="0">
                  <c:v>Województwo warmińsko-mazurskie</c:v>
                </c:pt>
              </c:strCache>
            </c:strRef>
          </c:tx>
          <c:spPr>
            <a:ln w="28575" cap="rnd">
              <a:solidFill>
                <a:schemeClr val="tx1">
                  <a:lumMod val="75000"/>
                  <a:lumOff val="25000"/>
                </a:schemeClr>
              </a:solidFill>
              <a:round/>
            </a:ln>
            <a:effectLst/>
          </c:spPr>
          <c:marker>
            <c:symbol val="none"/>
          </c:marker>
          <c:cat>
            <c:numRef>
              <c:f>wykres_lekarze!$B$1:$I$1</c:f>
              <c:numCache>
                <c:formatCode>General</c:formatCode>
                <c:ptCount val="8"/>
                <c:pt idx="0">
                  <c:v>2010</c:v>
                </c:pt>
                <c:pt idx="1">
                  <c:v>2011</c:v>
                </c:pt>
                <c:pt idx="2">
                  <c:v>2013</c:v>
                </c:pt>
                <c:pt idx="3">
                  <c:v>2014</c:v>
                </c:pt>
                <c:pt idx="4">
                  <c:v>2015</c:v>
                </c:pt>
                <c:pt idx="5">
                  <c:v>2016</c:v>
                </c:pt>
                <c:pt idx="6">
                  <c:v>2017</c:v>
                </c:pt>
                <c:pt idx="7">
                  <c:v>2018</c:v>
                </c:pt>
              </c:numCache>
            </c:numRef>
          </c:cat>
          <c:val>
            <c:numRef>
              <c:f>wykres_lekarze!$B$2:$I$2</c:f>
              <c:numCache>
                <c:formatCode>0</c:formatCode>
                <c:ptCount val="8"/>
                <c:pt idx="0">
                  <c:v>31.2</c:v>
                </c:pt>
                <c:pt idx="1">
                  <c:v>32.700000000000003</c:v>
                </c:pt>
                <c:pt idx="2">
                  <c:v>36.5</c:v>
                </c:pt>
                <c:pt idx="3">
                  <c:v>37.700000000000003</c:v>
                </c:pt>
                <c:pt idx="4">
                  <c:v>40.200000000000003</c:v>
                </c:pt>
                <c:pt idx="5">
                  <c:v>38.700000000000003</c:v>
                </c:pt>
                <c:pt idx="6">
                  <c:v>42.7</c:v>
                </c:pt>
                <c:pt idx="7">
                  <c:v>40.6</c:v>
                </c:pt>
              </c:numCache>
            </c:numRef>
          </c:val>
          <c:smooth val="0"/>
          <c:extLst>
            <c:ext xmlns:c16="http://schemas.microsoft.com/office/drawing/2014/chart" uri="{C3380CC4-5D6E-409C-BE32-E72D297353CC}">
              <c16:uniqueId val="{00000000-DC06-4606-8C0B-FFC85A61AD2D}"/>
            </c:ext>
          </c:extLst>
        </c:ser>
        <c:ser>
          <c:idx val="1"/>
          <c:order val="1"/>
          <c:tx>
            <c:strRef>
              <c:f>wykres_lekarze!$A$3</c:f>
              <c:strCache>
                <c:ptCount val="1"/>
                <c:pt idx="0">
                  <c:v>Powiat działdowski</c:v>
                </c:pt>
              </c:strCache>
            </c:strRef>
          </c:tx>
          <c:spPr>
            <a:ln w="28575" cap="rnd">
              <a:solidFill>
                <a:schemeClr val="accent2"/>
              </a:solidFill>
              <a:round/>
            </a:ln>
            <a:effectLst/>
          </c:spPr>
          <c:marker>
            <c:symbol val="none"/>
          </c:marker>
          <c:cat>
            <c:numRef>
              <c:f>wykres_lekarze!$B$1:$I$1</c:f>
              <c:numCache>
                <c:formatCode>General</c:formatCode>
                <c:ptCount val="8"/>
                <c:pt idx="0">
                  <c:v>2010</c:v>
                </c:pt>
                <c:pt idx="1">
                  <c:v>2011</c:v>
                </c:pt>
                <c:pt idx="2">
                  <c:v>2013</c:v>
                </c:pt>
                <c:pt idx="3">
                  <c:v>2014</c:v>
                </c:pt>
                <c:pt idx="4">
                  <c:v>2015</c:v>
                </c:pt>
                <c:pt idx="5">
                  <c:v>2016</c:v>
                </c:pt>
                <c:pt idx="6">
                  <c:v>2017</c:v>
                </c:pt>
                <c:pt idx="7">
                  <c:v>2018</c:v>
                </c:pt>
              </c:numCache>
            </c:numRef>
          </c:cat>
          <c:val>
            <c:numRef>
              <c:f>wykres_lekarze!$B$3:$I$3</c:f>
              <c:numCache>
                <c:formatCode>0</c:formatCode>
                <c:ptCount val="8"/>
                <c:pt idx="0">
                  <c:v>26.9</c:v>
                </c:pt>
                <c:pt idx="1">
                  <c:v>24</c:v>
                </c:pt>
                <c:pt idx="2">
                  <c:v>22.9</c:v>
                </c:pt>
                <c:pt idx="3">
                  <c:v>23.8</c:v>
                </c:pt>
                <c:pt idx="4">
                  <c:v>23.4</c:v>
                </c:pt>
                <c:pt idx="5">
                  <c:v>26.8</c:v>
                </c:pt>
                <c:pt idx="6">
                  <c:v>25.8</c:v>
                </c:pt>
                <c:pt idx="7">
                  <c:v>24.8</c:v>
                </c:pt>
              </c:numCache>
            </c:numRef>
          </c:val>
          <c:smooth val="0"/>
          <c:extLst>
            <c:ext xmlns:c16="http://schemas.microsoft.com/office/drawing/2014/chart" uri="{C3380CC4-5D6E-409C-BE32-E72D297353CC}">
              <c16:uniqueId val="{00000001-DC06-4606-8C0B-FFC85A61AD2D}"/>
            </c:ext>
          </c:extLst>
        </c:ser>
        <c:ser>
          <c:idx val="2"/>
          <c:order val="2"/>
          <c:tx>
            <c:strRef>
              <c:f>wykres_lekarze!$A$4</c:f>
              <c:strCache>
                <c:ptCount val="1"/>
                <c:pt idx="0">
                  <c:v>Powiat nidzicki</c:v>
                </c:pt>
              </c:strCache>
            </c:strRef>
          </c:tx>
          <c:spPr>
            <a:ln w="28575" cap="rnd">
              <a:solidFill>
                <a:schemeClr val="accent3"/>
              </a:solidFill>
              <a:round/>
            </a:ln>
            <a:effectLst/>
          </c:spPr>
          <c:marker>
            <c:symbol val="none"/>
          </c:marker>
          <c:cat>
            <c:numRef>
              <c:f>wykres_lekarze!$B$1:$I$1</c:f>
              <c:numCache>
                <c:formatCode>General</c:formatCode>
                <c:ptCount val="8"/>
                <c:pt idx="0">
                  <c:v>2010</c:v>
                </c:pt>
                <c:pt idx="1">
                  <c:v>2011</c:v>
                </c:pt>
                <c:pt idx="2">
                  <c:v>2013</c:v>
                </c:pt>
                <c:pt idx="3">
                  <c:v>2014</c:v>
                </c:pt>
                <c:pt idx="4">
                  <c:v>2015</c:v>
                </c:pt>
                <c:pt idx="5">
                  <c:v>2016</c:v>
                </c:pt>
                <c:pt idx="6">
                  <c:v>2017</c:v>
                </c:pt>
                <c:pt idx="7">
                  <c:v>2018</c:v>
                </c:pt>
              </c:numCache>
            </c:numRef>
          </c:cat>
          <c:val>
            <c:numRef>
              <c:f>wykres_lekarze!$B$4:$I$4</c:f>
              <c:numCache>
                <c:formatCode>0</c:formatCode>
                <c:ptCount val="8"/>
                <c:pt idx="0">
                  <c:v>21.5</c:v>
                </c:pt>
                <c:pt idx="1">
                  <c:v>24.2</c:v>
                </c:pt>
                <c:pt idx="2">
                  <c:v>24.2</c:v>
                </c:pt>
                <c:pt idx="3">
                  <c:v>27.2</c:v>
                </c:pt>
                <c:pt idx="4">
                  <c:v>25</c:v>
                </c:pt>
                <c:pt idx="5">
                  <c:v>30.2</c:v>
                </c:pt>
                <c:pt idx="6">
                  <c:v>28.9</c:v>
                </c:pt>
                <c:pt idx="7">
                  <c:v>26</c:v>
                </c:pt>
              </c:numCache>
            </c:numRef>
          </c:val>
          <c:smooth val="0"/>
          <c:extLst>
            <c:ext xmlns:c16="http://schemas.microsoft.com/office/drawing/2014/chart" uri="{C3380CC4-5D6E-409C-BE32-E72D297353CC}">
              <c16:uniqueId val="{00000002-DC06-4606-8C0B-FFC85A61AD2D}"/>
            </c:ext>
          </c:extLst>
        </c:ser>
        <c:ser>
          <c:idx val="3"/>
          <c:order val="3"/>
          <c:tx>
            <c:strRef>
              <c:f>wykres_lekarze!$A$5</c:f>
              <c:strCache>
                <c:ptCount val="1"/>
                <c:pt idx="0">
                  <c:v>Powiat piski</c:v>
                </c:pt>
              </c:strCache>
            </c:strRef>
          </c:tx>
          <c:spPr>
            <a:ln w="28575" cap="rnd">
              <a:solidFill>
                <a:schemeClr val="accent4"/>
              </a:solidFill>
              <a:round/>
            </a:ln>
            <a:effectLst/>
          </c:spPr>
          <c:marker>
            <c:symbol val="none"/>
          </c:marker>
          <c:cat>
            <c:numRef>
              <c:f>wykres_lekarze!$B$1:$I$1</c:f>
              <c:numCache>
                <c:formatCode>General</c:formatCode>
                <c:ptCount val="8"/>
                <c:pt idx="0">
                  <c:v>2010</c:v>
                </c:pt>
                <c:pt idx="1">
                  <c:v>2011</c:v>
                </c:pt>
                <c:pt idx="2">
                  <c:v>2013</c:v>
                </c:pt>
                <c:pt idx="3">
                  <c:v>2014</c:v>
                </c:pt>
                <c:pt idx="4">
                  <c:v>2015</c:v>
                </c:pt>
                <c:pt idx="5">
                  <c:v>2016</c:v>
                </c:pt>
                <c:pt idx="6">
                  <c:v>2017</c:v>
                </c:pt>
                <c:pt idx="7">
                  <c:v>2018</c:v>
                </c:pt>
              </c:numCache>
            </c:numRef>
          </c:cat>
          <c:val>
            <c:numRef>
              <c:f>wykres_lekarze!$B$5:$I$5</c:f>
              <c:numCache>
                <c:formatCode>0</c:formatCode>
                <c:ptCount val="8"/>
                <c:pt idx="0">
                  <c:v>18.600000000000001</c:v>
                </c:pt>
                <c:pt idx="1">
                  <c:v>19.899999999999999</c:v>
                </c:pt>
                <c:pt idx="2">
                  <c:v>19.899999999999999</c:v>
                </c:pt>
                <c:pt idx="3">
                  <c:v>22</c:v>
                </c:pt>
                <c:pt idx="4">
                  <c:v>21.4</c:v>
                </c:pt>
                <c:pt idx="5">
                  <c:v>23.2</c:v>
                </c:pt>
                <c:pt idx="6">
                  <c:v>22.3</c:v>
                </c:pt>
                <c:pt idx="7">
                  <c:v>19.8</c:v>
                </c:pt>
              </c:numCache>
            </c:numRef>
          </c:val>
          <c:smooth val="0"/>
          <c:extLst>
            <c:ext xmlns:c16="http://schemas.microsoft.com/office/drawing/2014/chart" uri="{C3380CC4-5D6E-409C-BE32-E72D297353CC}">
              <c16:uniqueId val="{00000003-DC06-4606-8C0B-FFC85A61AD2D}"/>
            </c:ext>
          </c:extLst>
        </c:ser>
        <c:ser>
          <c:idx val="4"/>
          <c:order val="4"/>
          <c:tx>
            <c:strRef>
              <c:f>wykres_lekarze!$A$6</c:f>
              <c:strCache>
                <c:ptCount val="1"/>
                <c:pt idx="0">
                  <c:v>Powiat szczycieński</c:v>
                </c:pt>
              </c:strCache>
            </c:strRef>
          </c:tx>
          <c:spPr>
            <a:ln w="28575" cap="rnd">
              <a:solidFill>
                <a:schemeClr val="accent5"/>
              </a:solidFill>
              <a:round/>
            </a:ln>
            <a:effectLst/>
          </c:spPr>
          <c:marker>
            <c:symbol val="none"/>
          </c:marker>
          <c:cat>
            <c:numRef>
              <c:f>wykres_lekarze!$B$1:$I$1</c:f>
              <c:numCache>
                <c:formatCode>General</c:formatCode>
                <c:ptCount val="8"/>
                <c:pt idx="0">
                  <c:v>2010</c:v>
                </c:pt>
                <c:pt idx="1">
                  <c:v>2011</c:v>
                </c:pt>
                <c:pt idx="2">
                  <c:v>2013</c:v>
                </c:pt>
                <c:pt idx="3">
                  <c:v>2014</c:v>
                </c:pt>
                <c:pt idx="4">
                  <c:v>2015</c:v>
                </c:pt>
                <c:pt idx="5">
                  <c:v>2016</c:v>
                </c:pt>
                <c:pt idx="6">
                  <c:v>2017</c:v>
                </c:pt>
                <c:pt idx="7">
                  <c:v>2018</c:v>
                </c:pt>
              </c:numCache>
            </c:numRef>
          </c:cat>
          <c:val>
            <c:numRef>
              <c:f>wykres_lekarze!$B$6:$I$6</c:f>
              <c:numCache>
                <c:formatCode>0</c:formatCode>
                <c:ptCount val="8"/>
                <c:pt idx="0">
                  <c:v>20.3</c:v>
                </c:pt>
                <c:pt idx="1">
                  <c:v>21.1</c:v>
                </c:pt>
                <c:pt idx="2">
                  <c:v>20.100000000000001</c:v>
                </c:pt>
                <c:pt idx="3">
                  <c:v>29.2</c:v>
                </c:pt>
                <c:pt idx="4">
                  <c:v>24.1</c:v>
                </c:pt>
                <c:pt idx="5">
                  <c:v>26.3</c:v>
                </c:pt>
                <c:pt idx="6">
                  <c:v>23.7</c:v>
                </c:pt>
                <c:pt idx="7">
                  <c:v>20.6</c:v>
                </c:pt>
              </c:numCache>
            </c:numRef>
          </c:val>
          <c:smooth val="0"/>
          <c:extLst>
            <c:ext xmlns:c16="http://schemas.microsoft.com/office/drawing/2014/chart" uri="{C3380CC4-5D6E-409C-BE32-E72D297353CC}">
              <c16:uniqueId val="{00000004-DC06-4606-8C0B-FFC85A61AD2D}"/>
            </c:ext>
          </c:extLst>
        </c:ser>
        <c:dLbls>
          <c:showLegendKey val="0"/>
          <c:showVal val="0"/>
          <c:showCatName val="0"/>
          <c:showSerName val="0"/>
          <c:showPercent val="0"/>
          <c:showBubbleSize val="0"/>
        </c:dLbls>
        <c:smooth val="0"/>
        <c:axId val="875173752"/>
        <c:axId val="875178848"/>
      </c:lineChart>
      <c:catAx>
        <c:axId val="8751737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875178848"/>
        <c:crosses val="autoZero"/>
        <c:auto val="1"/>
        <c:lblAlgn val="ctr"/>
        <c:lblOffset val="100"/>
        <c:noMultiLvlLbl val="0"/>
      </c:catAx>
      <c:valAx>
        <c:axId val="87517884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875173752"/>
        <c:crosses val="autoZero"/>
        <c:crossBetween val="between"/>
      </c:valAx>
      <c:spPr>
        <a:noFill/>
        <a:ln>
          <a:noFill/>
        </a:ln>
        <a:effectLst/>
      </c:spPr>
    </c:plotArea>
    <c:legend>
      <c:legendPos val="b"/>
      <c:layout>
        <c:manualLayout>
          <c:xMode val="edge"/>
          <c:yMode val="edge"/>
          <c:x val="7.2936304681870665E-2"/>
          <c:y val="0.85175975810041293"/>
          <c:w val="0.85412739063625864"/>
          <c:h val="0.11900047581771576"/>
        </c:manualLayout>
      </c:layout>
      <c:overlay val="0"/>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solidFill>
      <a:round/>
    </a:ln>
    <a:effectLst/>
  </c:spPr>
  <c:txPr>
    <a:bodyPr/>
    <a:lstStyle/>
    <a:p>
      <a:pPr>
        <a:defRPr/>
      </a:pPr>
      <a:endParaRPr lang="pl-PL"/>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wykres_pielęgniarki!$A$2</c:f>
              <c:strCache>
                <c:ptCount val="1"/>
                <c:pt idx="0">
                  <c:v>Województwo warmińsko-mazurskie</c:v>
                </c:pt>
              </c:strCache>
            </c:strRef>
          </c:tx>
          <c:spPr>
            <a:ln w="28575" cap="rnd">
              <a:solidFill>
                <a:schemeClr val="tx1">
                  <a:lumMod val="75000"/>
                  <a:lumOff val="25000"/>
                </a:schemeClr>
              </a:solidFill>
              <a:round/>
            </a:ln>
            <a:effectLst/>
          </c:spPr>
          <c:marker>
            <c:symbol val="none"/>
          </c:marker>
          <c:cat>
            <c:numRef>
              <c:f>wykres_pielęgniarki!$B$1:$I$1</c:f>
              <c:numCache>
                <c:formatCode>General</c:formatCode>
                <c:ptCount val="8"/>
                <c:pt idx="0">
                  <c:v>2010</c:v>
                </c:pt>
                <c:pt idx="1">
                  <c:v>2011</c:v>
                </c:pt>
                <c:pt idx="2">
                  <c:v>2013</c:v>
                </c:pt>
                <c:pt idx="3">
                  <c:v>2014</c:v>
                </c:pt>
                <c:pt idx="4">
                  <c:v>2015</c:v>
                </c:pt>
                <c:pt idx="5">
                  <c:v>2016</c:v>
                </c:pt>
                <c:pt idx="6">
                  <c:v>2017</c:v>
                </c:pt>
                <c:pt idx="7">
                  <c:v>2018</c:v>
                </c:pt>
              </c:numCache>
            </c:numRef>
          </c:cat>
          <c:val>
            <c:numRef>
              <c:f>wykres_pielęgniarki!$B$2:$H$2</c:f>
              <c:numCache>
                <c:formatCode>0</c:formatCode>
                <c:ptCount val="7"/>
                <c:pt idx="0">
                  <c:v>55.8</c:v>
                </c:pt>
                <c:pt idx="1">
                  <c:v>60.2</c:v>
                </c:pt>
                <c:pt idx="2">
                  <c:v>63.3</c:v>
                </c:pt>
                <c:pt idx="3">
                  <c:v>62.8</c:v>
                </c:pt>
                <c:pt idx="4">
                  <c:v>60.4</c:v>
                </c:pt>
                <c:pt idx="5">
                  <c:v>64.400000000000006</c:v>
                </c:pt>
                <c:pt idx="6">
                  <c:v>63.5</c:v>
                </c:pt>
              </c:numCache>
            </c:numRef>
          </c:val>
          <c:smooth val="0"/>
          <c:extLst>
            <c:ext xmlns:c16="http://schemas.microsoft.com/office/drawing/2014/chart" uri="{C3380CC4-5D6E-409C-BE32-E72D297353CC}">
              <c16:uniqueId val="{00000000-19C5-4C38-8B8A-33E4A5CD32A7}"/>
            </c:ext>
          </c:extLst>
        </c:ser>
        <c:ser>
          <c:idx val="1"/>
          <c:order val="1"/>
          <c:tx>
            <c:strRef>
              <c:f>wykres_pielęgniarki!$A$3</c:f>
              <c:strCache>
                <c:ptCount val="1"/>
                <c:pt idx="0">
                  <c:v>Powiat działdowski</c:v>
                </c:pt>
              </c:strCache>
            </c:strRef>
          </c:tx>
          <c:spPr>
            <a:ln w="28575" cap="rnd">
              <a:solidFill>
                <a:schemeClr val="accent2"/>
              </a:solidFill>
              <a:round/>
            </a:ln>
            <a:effectLst/>
          </c:spPr>
          <c:marker>
            <c:symbol val="none"/>
          </c:marker>
          <c:cat>
            <c:numRef>
              <c:f>wykres_pielęgniarki!$B$1:$I$1</c:f>
              <c:numCache>
                <c:formatCode>General</c:formatCode>
                <c:ptCount val="8"/>
                <c:pt idx="0">
                  <c:v>2010</c:v>
                </c:pt>
                <c:pt idx="1">
                  <c:v>2011</c:v>
                </c:pt>
                <c:pt idx="2">
                  <c:v>2013</c:v>
                </c:pt>
                <c:pt idx="3">
                  <c:v>2014</c:v>
                </c:pt>
                <c:pt idx="4">
                  <c:v>2015</c:v>
                </c:pt>
                <c:pt idx="5">
                  <c:v>2016</c:v>
                </c:pt>
                <c:pt idx="6">
                  <c:v>2017</c:v>
                </c:pt>
                <c:pt idx="7">
                  <c:v>2018</c:v>
                </c:pt>
              </c:numCache>
            </c:numRef>
          </c:cat>
          <c:val>
            <c:numRef>
              <c:f>wykres_pielęgniarki!$B$3:$H$3</c:f>
              <c:numCache>
                <c:formatCode>0</c:formatCode>
                <c:ptCount val="7"/>
                <c:pt idx="0">
                  <c:v>59.7</c:v>
                </c:pt>
                <c:pt idx="1">
                  <c:v>59.9</c:v>
                </c:pt>
                <c:pt idx="2">
                  <c:v>58.2</c:v>
                </c:pt>
                <c:pt idx="3">
                  <c:v>57</c:v>
                </c:pt>
                <c:pt idx="4">
                  <c:v>57.2</c:v>
                </c:pt>
                <c:pt idx="5">
                  <c:v>58</c:v>
                </c:pt>
                <c:pt idx="6">
                  <c:v>59</c:v>
                </c:pt>
              </c:numCache>
            </c:numRef>
          </c:val>
          <c:smooth val="0"/>
          <c:extLst>
            <c:ext xmlns:c16="http://schemas.microsoft.com/office/drawing/2014/chart" uri="{C3380CC4-5D6E-409C-BE32-E72D297353CC}">
              <c16:uniqueId val="{00000001-19C5-4C38-8B8A-33E4A5CD32A7}"/>
            </c:ext>
          </c:extLst>
        </c:ser>
        <c:ser>
          <c:idx val="2"/>
          <c:order val="2"/>
          <c:tx>
            <c:strRef>
              <c:f>wykres_pielęgniarki!$A$4</c:f>
              <c:strCache>
                <c:ptCount val="1"/>
                <c:pt idx="0">
                  <c:v>Powiat nidzicki</c:v>
                </c:pt>
              </c:strCache>
            </c:strRef>
          </c:tx>
          <c:spPr>
            <a:ln w="28575" cap="rnd">
              <a:solidFill>
                <a:schemeClr val="accent3"/>
              </a:solidFill>
              <a:round/>
            </a:ln>
            <a:effectLst/>
          </c:spPr>
          <c:marker>
            <c:symbol val="none"/>
          </c:marker>
          <c:cat>
            <c:numRef>
              <c:f>wykres_pielęgniarki!$B$1:$I$1</c:f>
              <c:numCache>
                <c:formatCode>General</c:formatCode>
                <c:ptCount val="8"/>
                <c:pt idx="0">
                  <c:v>2010</c:v>
                </c:pt>
                <c:pt idx="1">
                  <c:v>2011</c:v>
                </c:pt>
                <c:pt idx="2">
                  <c:v>2013</c:v>
                </c:pt>
                <c:pt idx="3">
                  <c:v>2014</c:v>
                </c:pt>
                <c:pt idx="4">
                  <c:v>2015</c:v>
                </c:pt>
                <c:pt idx="5">
                  <c:v>2016</c:v>
                </c:pt>
                <c:pt idx="6">
                  <c:v>2017</c:v>
                </c:pt>
                <c:pt idx="7">
                  <c:v>2018</c:v>
                </c:pt>
              </c:numCache>
            </c:numRef>
          </c:cat>
          <c:val>
            <c:numRef>
              <c:f>wykres_pielęgniarki!$B$4:$H$4</c:f>
              <c:numCache>
                <c:formatCode>0</c:formatCode>
                <c:ptCount val="7"/>
                <c:pt idx="0">
                  <c:v>40.700000000000003</c:v>
                </c:pt>
                <c:pt idx="1">
                  <c:v>38.5</c:v>
                </c:pt>
                <c:pt idx="2">
                  <c:v>47.2</c:v>
                </c:pt>
                <c:pt idx="3">
                  <c:v>39</c:v>
                </c:pt>
                <c:pt idx="4">
                  <c:v>35.1</c:v>
                </c:pt>
                <c:pt idx="5">
                  <c:v>40.700000000000003</c:v>
                </c:pt>
                <c:pt idx="6">
                  <c:v>38.200000000000003</c:v>
                </c:pt>
              </c:numCache>
            </c:numRef>
          </c:val>
          <c:smooth val="0"/>
          <c:extLst>
            <c:ext xmlns:c16="http://schemas.microsoft.com/office/drawing/2014/chart" uri="{C3380CC4-5D6E-409C-BE32-E72D297353CC}">
              <c16:uniqueId val="{00000002-19C5-4C38-8B8A-33E4A5CD32A7}"/>
            </c:ext>
          </c:extLst>
        </c:ser>
        <c:ser>
          <c:idx val="3"/>
          <c:order val="3"/>
          <c:tx>
            <c:strRef>
              <c:f>wykres_pielęgniarki!$A$5</c:f>
              <c:strCache>
                <c:ptCount val="1"/>
                <c:pt idx="0">
                  <c:v>Powiat piski</c:v>
                </c:pt>
              </c:strCache>
            </c:strRef>
          </c:tx>
          <c:spPr>
            <a:ln w="28575" cap="rnd">
              <a:solidFill>
                <a:schemeClr val="accent4"/>
              </a:solidFill>
              <a:round/>
            </a:ln>
            <a:effectLst/>
          </c:spPr>
          <c:marker>
            <c:symbol val="none"/>
          </c:marker>
          <c:cat>
            <c:numRef>
              <c:f>wykres_pielęgniarki!$B$1:$I$1</c:f>
              <c:numCache>
                <c:formatCode>General</c:formatCode>
                <c:ptCount val="8"/>
                <c:pt idx="0">
                  <c:v>2010</c:v>
                </c:pt>
                <c:pt idx="1">
                  <c:v>2011</c:v>
                </c:pt>
                <c:pt idx="2">
                  <c:v>2013</c:v>
                </c:pt>
                <c:pt idx="3">
                  <c:v>2014</c:v>
                </c:pt>
                <c:pt idx="4">
                  <c:v>2015</c:v>
                </c:pt>
                <c:pt idx="5">
                  <c:v>2016</c:v>
                </c:pt>
                <c:pt idx="6">
                  <c:v>2017</c:v>
                </c:pt>
                <c:pt idx="7">
                  <c:v>2018</c:v>
                </c:pt>
              </c:numCache>
            </c:numRef>
          </c:cat>
          <c:val>
            <c:numRef>
              <c:f>wykres_pielęgniarki!$B$5:$H$5</c:f>
              <c:numCache>
                <c:formatCode>0</c:formatCode>
                <c:ptCount val="7"/>
                <c:pt idx="0">
                  <c:v>44.9</c:v>
                </c:pt>
                <c:pt idx="1">
                  <c:v>42.7</c:v>
                </c:pt>
                <c:pt idx="2">
                  <c:v>45.5</c:v>
                </c:pt>
                <c:pt idx="3">
                  <c:v>45.5</c:v>
                </c:pt>
                <c:pt idx="4">
                  <c:v>45.2</c:v>
                </c:pt>
                <c:pt idx="5">
                  <c:v>45</c:v>
                </c:pt>
                <c:pt idx="6">
                  <c:v>44.4</c:v>
                </c:pt>
              </c:numCache>
            </c:numRef>
          </c:val>
          <c:smooth val="0"/>
          <c:extLst>
            <c:ext xmlns:c16="http://schemas.microsoft.com/office/drawing/2014/chart" uri="{C3380CC4-5D6E-409C-BE32-E72D297353CC}">
              <c16:uniqueId val="{00000003-19C5-4C38-8B8A-33E4A5CD32A7}"/>
            </c:ext>
          </c:extLst>
        </c:ser>
        <c:ser>
          <c:idx val="4"/>
          <c:order val="4"/>
          <c:tx>
            <c:strRef>
              <c:f>wykres_pielęgniarki!$A$6</c:f>
              <c:strCache>
                <c:ptCount val="1"/>
                <c:pt idx="0">
                  <c:v>Powiat szczycieński</c:v>
                </c:pt>
              </c:strCache>
            </c:strRef>
          </c:tx>
          <c:spPr>
            <a:ln w="28575" cap="rnd">
              <a:solidFill>
                <a:schemeClr val="accent5"/>
              </a:solidFill>
              <a:round/>
            </a:ln>
            <a:effectLst/>
          </c:spPr>
          <c:marker>
            <c:symbol val="none"/>
          </c:marker>
          <c:cat>
            <c:numRef>
              <c:f>wykres_pielęgniarki!$B$1:$I$1</c:f>
              <c:numCache>
                <c:formatCode>General</c:formatCode>
                <c:ptCount val="8"/>
                <c:pt idx="0">
                  <c:v>2010</c:v>
                </c:pt>
                <c:pt idx="1">
                  <c:v>2011</c:v>
                </c:pt>
                <c:pt idx="2">
                  <c:v>2013</c:v>
                </c:pt>
                <c:pt idx="3">
                  <c:v>2014</c:v>
                </c:pt>
                <c:pt idx="4">
                  <c:v>2015</c:v>
                </c:pt>
                <c:pt idx="5">
                  <c:v>2016</c:v>
                </c:pt>
                <c:pt idx="6">
                  <c:v>2017</c:v>
                </c:pt>
                <c:pt idx="7">
                  <c:v>2018</c:v>
                </c:pt>
              </c:numCache>
            </c:numRef>
          </c:cat>
          <c:val>
            <c:numRef>
              <c:f>wykres_pielęgniarki!$B$6:$H$6</c:f>
              <c:numCache>
                <c:formatCode>0</c:formatCode>
                <c:ptCount val="7"/>
                <c:pt idx="0">
                  <c:v>36.299999999999997</c:v>
                </c:pt>
                <c:pt idx="1">
                  <c:v>37.200000000000003</c:v>
                </c:pt>
                <c:pt idx="2">
                  <c:v>35.200000000000003</c:v>
                </c:pt>
                <c:pt idx="3">
                  <c:v>42.5</c:v>
                </c:pt>
                <c:pt idx="4">
                  <c:v>34.6</c:v>
                </c:pt>
                <c:pt idx="5">
                  <c:v>54.6</c:v>
                </c:pt>
                <c:pt idx="6">
                  <c:v>37.799999999999997</c:v>
                </c:pt>
              </c:numCache>
            </c:numRef>
          </c:val>
          <c:smooth val="0"/>
          <c:extLst>
            <c:ext xmlns:c16="http://schemas.microsoft.com/office/drawing/2014/chart" uri="{C3380CC4-5D6E-409C-BE32-E72D297353CC}">
              <c16:uniqueId val="{00000004-19C5-4C38-8B8A-33E4A5CD32A7}"/>
            </c:ext>
          </c:extLst>
        </c:ser>
        <c:dLbls>
          <c:showLegendKey val="0"/>
          <c:showVal val="0"/>
          <c:showCatName val="0"/>
          <c:showSerName val="0"/>
          <c:showPercent val="0"/>
          <c:showBubbleSize val="0"/>
        </c:dLbls>
        <c:smooth val="0"/>
        <c:axId val="875180024"/>
        <c:axId val="875180416"/>
      </c:lineChart>
      <c:catAx>
        <c:axId val="8751800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875180416"/>
        <c:crosses val="autoZero"/>
        <c:auto val="1"/>
        <c:lblAlgn val="ctr"/>
        <c:lblOffset val="100"/>
        <c:noMultiLvlLbl val="0"/>
      </c:catAx>
      <c:valAx>
        <c:axId val="87518041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875180024"/>
        <c:crosses val="autoZero"/>
        <c:crossBetween val="between"/>
      </c:valAx>
      <c:spPr>
        <a:noFill/>
        <a:ln>
          <a:noFill/>
        </a:ln>
        <a:effectLst/>
      </c:spPr>
    </c:plotArea>
    <c:legend>
      <c:legendPos val="b"/>
      <c:layout>
        <c:manualLayout>
          <c:xMode val="edge"/>
          <c:yMode val="edge"/>
          <c:x val="7.2936304681870665E-2"/>
          <c:y val="0.84201316940645576"/>
          <c:w val="0.85412739063625864"/>
          <c:h val="0.12874706451167289"/>
        </c:manualLayout>
      </c:layout>
      <c:overlay val="0"/>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solidFill>
      <a:round/>
    </a:ln>
    <a:effectLst/>
  </c:spPr>
  <c:txPr>
    <a:bodyPr/>
    <a:lstStyle/>
    <a:p>
      <a:pPr>
        <a:defRPr/>
      </a:pPr>
      <a:endParaRPr lang="pl-PL"/>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'[Nowy Arkusz programu Microsoft Excel.xlsx]Sheet1'!$B$2</c:f>
              <c:strCache>
                <c:ptCount val="1"/>
                <c:pt idx="0">
                  <c:v>Liczba przestępstw przeciwko bezpieczeństwu powszechnemu i bezpieczeństwu w komunikacji - drogowe </c:v>
                </c:pt>
              </c:strCache>
            </c:strRef>
          </c:tx>
          <c:spPr>
            <a:ln w="28575" cap="rnd">
              <a:solidFill>
                <a:schemeClr val="accent1"/>
              </a:solidFill>
              <a:round/>
            </a:ln>
            <a:effectLst/>
          </c:spPr>
          <c:marker>
            <c:symbol val="none"/>
          </c:marker>
          <c:cat>
            <c:numRef>
              <c:f>'[Nowy Arkusz programu Microsoft Excel.xlsx]Sheet1'!$C$1:$G$1</c:f>
              <c:numCache>
                <c:formatCode>General</c:formatCode>
                <c:ptCount val="5"/>
                <c:pt idx="0">
                  <c:v>2015</c:v>
                </c:pt>
                <c:pt idx="1">
                  <c:v>2016</c:v>
                </c:pt>
                <c:pt idx="2">
                  <c:v>2017</c:v>
                </c:pt>
                <c:pt idx="3">
                  <c:v>2018</c:v>
                </c:pt>
                <c:pt idx="4">
                  <c:v>2019</c:v>
                </c:pt>
              </c:numCache>
            </c:numRef>
          </c:cat>
          <c:val>
            <c:numRef>
              <c:f>'[Nowy Arkusz programu Microsoft Excel.xlsx]Sheet1'!$C$2:$G$2</c:f>
              <c:numCache>
                <c:formatCode>General</c:formatCode>
                <c:ptCount val="5"/>
                <c:pt idx="0">
                  <c:v>5692</c:v>
                </c:pt>
                <c:pt idx="1">
                  <c:v>4260</c:v>
                </c:pt>
                <c:pt idx="2">
                  <c:v>3398</c:v>
                </c:pt>
                <c:pt idx="3">
                  <c:v>3898</c:v>
                </c:pt>
                <c:pt idx="4">
                  <c:v>3256</c:v>
                </c:pt>
              </c:numCache>
            </c:numRef>
          </c:val>
          <c:smooth val="0"/>
          <c:extLst>
            <c:ext xmlns:c16="http://schemas.microsoft.com/office/drawing/2014/chart" uri="{C3380CC4-5D6E-409C-BE32-E72D297353CC}">
              <c16:uniqueId val="{00000000-7FD3-404B-8DC5-49F10E6BD44E}"/>
            </c:ext>
          </c:extLst>
        </c:ser>
        <c:ser>
          <c:idx val="1"/>
          <c:order val="1"/>
          <c:tx>
            <c:strRef>
              <c:f>'[Nowy Arkusz programu Microsoft Excel.xlsx]Sheet1'!$B$3</c:f>
              <c:strCache>
                <c:ptCount val="1"/>
                <c:pt idx="0">
                  <c:v>Liczba przestępstw stwierdzonych przez policję w zakończonych postepowaniach przygotowawczych przeciwko mieniu </c:v>
                </c:pt>
              </c:strCache>
            </c:strRef>
          </c:tx>
          <c:spPr>
            <a:ln w="28575" cap="rnd">
              <a:solidFill>
                <a:schemeClr val="accent2"/>
              </a:solidFill>
              <a:round/>
            </a:ln>
            <a:effectLst/>
          </c:spPr>
          <c:marker>
            <c:symbol val="none"/>
          </c:marker>
          <c:cat>
            <c:numRef>
              <c:f>'[Nowy Arkusz programu Microsoft Excel.xlsx]Sheet1'!$C$1:$G$1</c:f>
              <c:numCache>
                <c:formatCode>General</c:formatCode>
                <c:ptCount val="5"/>
                <c:pt idx="0">
                  <c:v>2015</c:v>
                </c:pt>
                <c:pt idx="1">
                  <c:v>2016</c:v>
                </c:pt>
                <c:pt idx="2">
                  <c:v>2017</c:v>
                </c:pt>
                <c:pt idx="3">
                  <c:v>2018</c:v>
                </c:pt>
                <c:pt idx="4">
                  <c:v>2019</c:v>
                </c:pt>
              </c:numCache>
            </c:numRef>
          </c:cat>
          <c:val>
            <c:numRef>
              <c:f>'[Nowy Arkusz programu Microsoft Excel.xlsx]Sheet1'!$C$3:$G$3</c:f>
              <c:numCache>
                <c:formatCode>General</c:formatCode>
                <c:ptCount val="5"/>
                <c:pt idx="0">
                  <c:v>16164</c:v>
                </c:pt>
                <c:pt idx="1">
                  <c:v>13256</c:v>
                </c:pt>
                <c:pt idx="2">
                  <c:v>13596</c:v>
                </c:pt>
                <c:pt idx="3">
                  <c:v>12104</c:v>
                </c:pt>
                <c:pt idx="4">
                  <c:v>10498</c:v>
                </c:pt>
              </c:numCache>
            </c:numRef>
          </c:val>
          <c:smooth val="0"/>
          <c:extLst>
            <c:ext xmlns:c16="http://schemas.microsoft.com/office/drawing/2014/chart" uri="{C3380CC4-5D6E-409C-BE32-E72D297353CC}">
              <c16:uniqueId val="{00000001-7FD3-404B-8DC5-49F10E6BD44E}"/>
            </c:ext>
          </c:extLst>
        </c:ser>
        <c:ser>
          <c:idx val="2"/>
          <c:order val="2"/>
          <c:tx>
            <c:strRef>
              <c:f>'[Nowy Arkusz programu Microsoft Excel.xlsx]Sheet1'!$B$4</c:f>
              <c:strCache>
                <c:ptCount val="1"/>
                <c:pt idx="0">
                  <c:v>Liczba przestępstw stwierdzonych przez policję w zakończonych postepowaniach przygotowawczych przeciwko życiu i zdrowiu </c:v>
                </c:pt>
              </c:strCache>
            </c:strRef>
          </c:tx>
          <c:spPr>
            <a:ln w="28575" cap="rnd">
              <a:solidFill>
                <a:schemeClr val="accent3"/>
              </a:solidFill>
              <a:round/>
            </a:ln>
            <a:effectLst/>
          </c:spPr>
          <c:marker>
            <c:symbol val="none"/>
          </c:marker>
          <c:cat>
            <c:numRef>
              <c:f>'[Nowy Arkusz programu Microsoft Excel.xlsx]Sheet1'!$C$1:$G$1</c:f>
              <c:numCache>
                <c:formatCode>General</c:formatCode>
                <c:ptCount val="5"/>
                <c:pt idx="0">
                  <c:v>2015</c:v>
                </c:pt>
                <c:pt idx="1">
                  <c:v>2016</c:v>
                </c:pt>
                <c:pt idx="2">
                  <c:v>2017</c:v>
                </c:pt>
                <c:pt idx="3">
                  <c:v>2018</c:v>
                </c:pt>
                <c:pt idx="4">
                  <c:v>2019</c:v>
                </c:pt>
              </c:numCache>
            </c:numRef>
          </c:cat>
          <c:val>
            <c:numRef>
              <c:f>'[Nowy Arkusz programu Microsoft Excel.xlsx]Sheet1'!$C$4:$G$4</c:f>
              <c:numCache>
                <c:formatCode>General</c:formatCode>
                <c:ptCount val="5"/>
                <c:pt idx="0">
                  <c:v>0</c:v>
                </c:pt>
                <c:pt idx="1">
                  <c:v>774</c:v>
                </c:pt>
                <c:pt idx="2">
                  <c:v>692</c:v>
                </c:pt>
                <c:pt idx="3">
                  <c:v>832</c:v>
                </c:pt>
                <c:pt idx="4">
                  <c:v>714</c:v>
                </c:pt>
              </c:numCache>
            </c:numRef>
          </c:val>
          <c:smooth val="0"/>
          <c:extLst>
            <c:ext xmlns:c16="http://schemas.microsoft.com/office/drawing/2014/chart" uri="{C3380CC4-5D6E-409C-BE32-E72D297353CC}">
              <c16:uniqueId val="{00000002-7FD3-404B-8DC5-49F10E6BD44E}"/>
            </c:ext>
          </c:extLst>
        </c:ser>
        <c:dLbls>
          <c:showLegendKey val="0"/>
          <c:showVal val="0"/>
          <c:showCatName val="0"/>
          <c:showSerName val="0"/>
          <c:showPercent val="0"/>
          <c:showBubbleSize val="0"/>
        </c:dLbls>
        <c:smooth val="0"/>
        <c:axId val="1120643455"/>
        <c:axId val="1120640959"/>
      </c:lineChart>
      <c:catAx>
        <c:axId val="11206434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1120640959"/>
        <c:crosses val="autoZero"/>
        <c:auto val="1"/>
        <c:lblAlgn val="ctr"/>
        <c:lblOffset val="100"/>
        <c:noMultiLvlLbl val="0"/>
      </c:catAx>
      <c:valAx>
        <c:axId val="112064095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1120643455"/>
        <c:crosses val="autoZero"/>
        <c:crossBetween val="between"/>
      </c:valAx>
      <c:spPr>
        <a:noFill/>
        <a:ln>
          <a:noFill/>
        </a:ln>
        <a:effectLst/>
      </c:spPr>
    </c:plotArea>
    <c:legend>
      <c:legendPos val="b"/>
      <c:layout>
        <c:manualLayout>
          <c:xMode val="edge"/>
          <c:yMode val="edge"/>
          <c:x val="5.6172957427520501E-2"/>
          <c:y val="0.82024806265971351"/>
          <c:w val="0.883242790673893"/>
          <c:h val="0.1401741009286768"/>
        </c:manualLayout>
      </c:layout>
      <c:overlay val="0"/>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2"/>
      </a:solidFill>
      <a:round/>
    </a:ln>
    <a:effectLst/>
  </c:spPr>
  <c:txPr>
    <a:bodyPr/>
    <a:lstStyle/>
    <a:p>
      <a:pPr>
        <a:defRPr>
          <a:solidFill>
            <a:sysClr val="windowText" lastClr="000000"/>
          </a:solidFill>
        </a:defRPr>
      </a:pPr>
      <a:endParaRPr lang="pl-PL"/>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821661251734396"/>
          <c:y val="4.6501796660325515E-2"/>
          <c:w val="0.87244570317035242"/>
          <c:h val="0.64667823081520748"/>
        </c:manualLayout>
      </c:layout>
      <c:lineChart>
        <c:grouping val="standard"/>
        <c:varyColors val="0"/>
        <c:ser>
          <c:idx val="0"/>
          <c:order val="0"/>
          <c:tx>
            <c:strRef>
              <c:f>'[takie tam.xlsx]Sheet1'!$D$28</c:f>
              <c:strCache>
                <c:ptCount val="1"/>
                <c:pt idx="0">
                  <c:v>gminy z partnerstwa </c:v>
                </c:pt>
              </c:strCache>
            </c:strRef>
          </c:tx>
          <c:spPr>
            <a:ln w="28575" cap="rnd">
              <a:solidFill>
                <a:schemeClr val="accent1"/>
              </a:solidFill>
              <a:round/>
            </a:ln>
            <a:effectLst/>
          </c:spPr>
          <c:marker>
            <c:symbol val="none"/>
          </c:marker>
          <c:cat>
            <c:strRef>
              <c:f>'[takie tam.xlsx]Sheet1'!$A$29:$C$50</c:f>
              <c:strCache>
                <c:ptCount val="22"/>
                <c:pt idx="0">
                  <c:v>Biała Piska </c:v>
                </c:pt>
                <c:pt idx="1">
                  <c:v>Orzysz</c:v>
                </c:pt>
                <c:pt idx="2">
                  <c:v>Pisz</c:v>
                </c:pt>
                <c:pt idx="3">
                  <c:v>Ruciane-Nida</c:v>
                </c:pt>
                <c:pt idx="4">
                  <c:v>Sczytno gmina</c:v>
                </c:pt>
                <c:pt idx="5">
                  <c:v>Dźwierzuty</c:v>
                </c:pt>
                <c:pt idx="6">
                  <c:v>Jedwabno</c:v>
                </c:pt>
                <c:pt idx="7">
                  <c:v>Pasym</c:v>
                </c:pt>
                <c:pt idx="8">
                  <c:v>Rozogi</c:v>
                </c:pt>
                <c:pt idx="9">
                  <c:v>Szczytno miasto</c:v>
                </c:pt>
                <c:pt idx="10">
                  <c:v>Świętajno</c:v>
                </c:pt>
                <c:pt idx="11">
                  <c:v>Wielbark</c:v>
                </c:pt>
                <c:pt idx="12">
                  <c:v>Janowiec Kościelny</c:v>
                </c:pt>
                <c:pt idx="13">
                  <c:v>Janowo</c:v>
                </c:pt>
                <c:pt idx="14">
                  <c:v>Kozłowo</c:v>
                </c:pt>
                <c:pt idx="15">
                  <c:v>Nidzica</c:v>
                </c:pt>
                <c:pt idx="16">
                  <c:v>Działdowo miasto</c:v>
                </c:pt>
                <c:pt idx="17">
                  <c:v>Działdowo gmina </c:v>
                </c:pt>
                <c:pt idx="18">
                  <c:v>Iłowo-Osada</c:v>
                </c:pt>
                <c:pt idx="19">
                  <c:v>Lidzbark</c:v>
                </c:pt>
                <c:pt idx="20">
                  <c:v>Płośnica</c:v>
                </c:pt>
                <c:pt idx="21">
                  <c:v>Rybno</c:v>
                </c:pt>
              </c:strCache>
            </c:strRef>
          </c:cat>
          <c:val>
            <c:numRef>
              <c:f>'[takie tam.xlsx]Sheet1'!$D$29:$D$50</c:f>
              <c:numCache>
                <c:formatCode>0.00%</c:formatCode>
                <c:ptCount val="22"/>
                <c:pt idx="0">
                  <c:v>3.9205234291807722E-2</c:v>
                </c:pt>
                <c:pt idx="1">
                  <c:v>4.9085927284384177E-2</c:v>
                </c:pt>
                <c:pt idx="2">
                  <c:v>6.5224677011314292E-2</c:v>
                </c:pt>
                <c:pt idx="3">
                  <c:v>1.602249220259962E-2</c:v>
                </c:pt>
                <c:pt idx="4">
                  <c:v>2.8587034483950093E-2</c:v>
                </c:pt>
                <c:pt idx="5">
                  <c:v>7.7021997133621956E-2</c:v>
                </c:pt>
                <c:pt idx="6">
                  <c:v>0.16521590110249679</c:v>
                </c:pt>
                <c:pt idx="7">
                  <c:v>0.40273796678055296</c:v>
                </c:pt>
                <c:pt idx="8">
                  <c:v>2.9882241614704031E-2</c:v>
                </c:pt>
                <c:pt idx="9">
                  <c:v>3.2759587185345058E-2</c:v>
                </c:pt>
                <c:pt idx="10">
                  <c:v>7.5523438213570396E-2</c:v>
                </c:pt>
                <c:pt idx="11">
                  <c:v>6.1561819808164657E-2</c:v>
                </c:pt>
                <c:pt idx="12">
                  <c:v>0</c:v>
                </c:pt>
                <c:pt idx="13">
                  <c:v>9.1633152889438428E-3</c:v>
                </c:pt>
                <c:pt idx="14">
                  <c:v>5.8481255266943366E-3</c:v>
                </c:pt>
                <c:pt idx="15">
                  <c:v>1.365861522689597E-2</c:v>
                </c:pt>
                <c:pt idx="16">
                  <c:v>7.8219987437821076E-2</c:v>
                </c:pt>
                <c:pt idx="17">
                  <c:v>2.8279818329410124E-3</c:v>
                </c:pt>
                <c:pt idx="18">
                  <c:v>1.4763713911437316E-2</c:v>
                </c:pt>
                <c:pt idx="19">
                  <c:v>5.1951588783361015E-2</c:v>
                </c:pt>
                <c:pt idx="20">
                  <c:v>0.12249029864067562</c:v>
                </c:pt>
                <c:pt idx="21">
                  <c:v>0.20353500980168679</c:v>
                </c:pt>
              </c:numCache>
            </c:numRef>
          </c:val>
          <c:smooth val="0"/>
          <c:extLst>
            <c:ext xmlns:c16="http://schemas.microsoft.com/office/drawing/2014/chart" uri="{C3380CC4-5D6E-409C-BE32-E72D297353CC}">
              <c16:uniqueId val="{00000000-B81D-4453-A899-08D1D98D3027}"/>
            </c:ext>
          </c:extLst>
        </c:ser>
        <c:ser>
          <c:idx val="1"/>
          <c:order val="1"/>
          <c:tx>
            <c:strRef>
              <c:f>'[takie tam.xlsx]Sheet1'!$E$28</c:f>
              <c:strCache>
                <c:ptCount val="1"/>
                <c:pt idx="0">
                  <c:v>partnerstwo średnia </c:v>
                </c:pt>
              </c:strCache>
            </c:strRef>
          </c:tx>
          <c:spPr>
            <a:ln w="28575" cap="rnd">
              <a:solidFill>
                <a:schemeClr val="accent2"/>
              </a:solidFill>
              <a:round/>
            </a:ln>
            <a:effectLst/>
          </c:spPr>
          <c:marker>
            <c:symbol val="none"/>
          </c:marker>
          <c:cat>
            <c:strRef>
              <c:f>'[takie tam.xlsx]Sheet1'!$A$29:$C$50</c:f>
              <c:strCache>
                <c:ptCount val="22"/>
                <c:pt idx="0">
                  <c:v>Biała Piska </c:v>
                </c:pt>
                <c:pt idx="1">
                  <c:v>Orzysz</c:v>
                </c:pt>
                <c:pt idx="2">
                  <c:v>Pisz</c:v>
                </c:pt>
                <c:pt idx="3">
                  <c:v>Ruciane-Nida</c:v>
                </c:pt>
                <c:pt idx="4">
                  <c:v>Sczytno gmina</c:v>
                </c:pt>
                <c:pt idx="5">
                  <c:v>Dźwierzuty</c:v>
                </c:pt>
                <c:pt idx="6">
                  <c:v>Jedwabno</c:v>
                </c:pt>
                <c:pt idx="7">
                  <c:v>Pasym</c:v>
                </c:pt>
                <c:pt idx="8">
                  <c:v>Rozogi</c:v>
                </c:pt>
                <c:pt idx="9">
                  <c:v>Szczytno miasto</c:v>
                </c:pt>
                <c:pt idx="10">
                  <c:v>Świętajno</c:v>
                </c:pt>
                <c:pt idx="11">
                  <c:v>Wielbark</c:v>
                </c:pt>
                <c:pt idx="12">
                  <c:v>Janowiec Kościelny</c:v>
                </c:pt>
                <c:pt idx="13">
                  <c:v>Janowo</c:v>
                </c:pt>
                <c:pt idx="14">
                  <c:v>Kozłowo</c:v>
                </c:pt>
                <c:pt idx="15">
                  <c:v>Nidzica</c:v>
                </c:pt>
                <c:pt idx="16">
                  <c:v>Działdowo miasto</c:v>
                </c:pt>
                <c:pt idx="17">
                  <c:v>Działdowo gmina </c:v>
                </c:pt>
                <c:pt idx="18">
                  <c:v>Iłowo-Osada</c:v>
                </c:pt>
                <c:pt idx="19">
                  <c:v>Lidzbark</c:v>
                </c:pt>
                <c:pt idx="20">
                  <c:v>Płośnica</c:v>
                </c:pt>
                <c:pt idx="21">
                  <c:v>Rybno</c:v>
                </c:pt>
              </c:strCache>
            </c:strRef>
          </c:cat>
          <c:val>
            <c:numRef>
              <c:f>'[takie tam.xlsx]Sheet1'!$E$29:$E$50</c:f>
              <c:numCache>
                <c:formatCode>0.00%</c:formatCode>
                <c:ptCount val="22"/>
                <c:pt idx="0">
                  <c:v>7.0199999999999999E-2</c:v>
                </c:pt>
                <c:pt idx="1">
                  <c:v>7.0199999999999999E-2</c:v>
                </c:pt>
                <c:pt idx="2">
                  <c:v>7.0199999999999999E-2</c:v>
                </c:pt>
                <c:pt idx="3">
                  <c:v>7.0199999999999999E-2</c:v>
                </c:pt>
                <c:pt idx="4">
                  <c:v>7.0199999999999999E-2</c:v>
                </c:pt>
                <c:pt idx="5">
                  <c:v>7.0199999999999999E-2</c:v>
                </c:pt>
                <c:pt idx="6">
                  <c:v>7.0199999999999999E-2</c:v>
                </c:pt>
                <c:pt idx="7">
                  <c:v>7.0199999999999999E-2</c:v>
                </c:pt>
                <c:pt idx="8">
                  <c:v>7.0199999999999999E-2</c:v>
                </c:pt>
                <c:pt idx="9">
                  <c:v>7.0199999999999999E-2</c:v>
                </c:pt>
                <c:pt idx="10">
                  <c:v>7.0199999999999999E-2</c:v>
                </c:pt>
                <c:pt idx="11">
                  <c:v>7.0199999999999999E-2</c:v>
                </c:pt>
                <c:pt idx="12">
                  <c:v>7.0199999999999999E-2</c:v>
                </c:pt>
                <c:pt idx="13">
                  <c:v>7.0199999999999999E-2</c:v>
                </c:pt>
                <c:pt idx="14">
                  <c:v>7.0199999999999999E-2</c:v>
                </c:pt>
                <c:pt idx="15">
                  <c:v>7.0199999999999999E-2</c:v>
                </c:pt>
                <c:pt idx="16">
                  <c:v>7.0199999999999999E-2</c:v>
                </c:pt>
                <c:pt idx="17">
                  <c:v>7.0199999999999999E-2</c:v>
                </c:pt>
                <c:pt idx="18">
                  <c:v>7.0199999999999999E-2</c:v>
                </c:pt>
                <c:pt idx="19">
                  <c:v>7.0199999999999999E-2</c:v>
                </c:pt>
                <c:pt idx="20">
                  <c:v>7.0199999999999999E-2</c:v>
                </c:pt>
                <c:pt idx="21">
                  <c:v>7.0199999999999999E-2</c:v>
                </c:pt>
              </c:numCache>
            </c:numRef>
          </c:val>
          <c:smooth val="0"/>
          <c:extLst>
            <c:ext xmlns:c16="http://schemas.microsoft.com/office/drawing/2014/chart" uri="{C3380CC4-5D6E-409C-BE32-E72D297353CC}">
              <c16:uniqueId val="{00000001-B81D-4453-A899-08D1D98D3027}"/>
            </c:ext>
          </c:extLst>
        </c:ser>
        <c:ser>
          <c:idx val="2"/>
          <c:order val="2"/>
          <c:tx>
            <c:strRef>
              <c:f>'[takie tam.xlsx]Sheet1'!$F$28</c:f>
              <c:strCache>
                <c:ptCount val="1"/>
                <c:pt idx="0">
                  <c:v>województwo warmińsko-mazurskie</c:v>
                </c:pt>
              </c:strCache>
            </c:strRef>
          </c:tx>
          <c:spPr>
            <a:ln w="28575" cap="rnd">
              <a:solidFill>
                <a:schemeClr val="accent3"/>
              </a:solidFill>
              <a:round/>
            </a:ln>
            <a:effectLst/>
          </c:spPr>
          <c:marker>
            <c:symbol val="none"/>
          </c:marker>
          <c:cat>
            <c:strRef>
              <c:f>'[takie tam.xlsx]Sheet1'!$A$29:$C$50</c:f>
              <c:strCache>
                <c:ptCount val="22"/>
                <c:pt idx="0">
                  <c:v>Biała Piska </c:v>
                </c:pt>
                <c:pt idx="1">
                  <c:v>Orzysz</c:v>
                </c:pt>
                <c:pt idx="2">
                  <c:v>Pisz</c:v>
                </c:pt>
                <c:pt idx="3">
                  <c:v>Ruciane-Nida</c:v>
                </c:pt>
                <c:pt idx="4">
                  <c:v>Sczytno gmina</c:v>
                </c:pt>
                <c:pt idx="5">
                  <c:v>Dźwierzuty</c:v>
                </c:pt>
                <c:pt idx="6">
                  <c:v>Jedwabno</c:v>
                </c:pt>
                <c:pt idx="7">
                  <c:v>Pasym</c:v>
                </c:pt>
                <c:pt idx="8">
                  <c:v>Rozogi</c:v>
                </c:pt>
                <c:pt idx="9">
                  <c:v>Szczytno miasto</c:v>
                </c:pt>
                <c:pt idx="10">
                  <c:v>Świętajno</c:v>
                </c:pt>
                <c:pt idx="11">
                  <c:v>Wielbark</c:v>
                </c:pt>
                <c:pt idx="12">
                  <c:v>Janowiec Kościelny</c:v>
                </c:pt>
                <c:pt idx="13">
                  <c:v>Janowo</c:v>
                </c:pt>
                <c:pt idx="14">
                  <c:v>Kozłowo</c:v>
                </c:pt>
                <c:pt idx="15">
                  <c:v>Nidzica</c:v>
                </c:pt>
                <c:pt idx="16">
                  <c:v>Działdowo miasto</c:v>
                </c:pt>
                <c:pt idx="17">
                  <c:v>Działdowo gmina </c:v>
                </c:pt>
                <c:pt idx="18">
                  <c:v>Iłowo-Osada</c:v>
                </c:pt>
                <c:pt idx="19">
                  <c:v>Lidzbark</c:v>
                </c:pt>
                <c:pt idx="20">
                  <c:v>Płośnica</c:v>
                </c:pt>
                <c:pt idx="21">
                  <c:v>Rybno</c:v>
                </c:pt>
              </c:strCache>
            </c:strRef>
          </c:cat>
          <c:val>
            <c:numRef>
              <c:f>'[takie tam.xlsx]Sheet1'!$F$29:$F$50</c:f>
              <c:numCache>
                <c:formatCode>0.00%</c:formatCode>
                <c:ptCount val="22"/>
                <c:pt idx="0">
                  <c:v>7.7399999999999997E-2</c:v>
                </c:pt>
                <c:pt idx="1">
                  <c:v>7.7399999999999997E-2</c:v>
                </c:pt>
                <c:pt idx="2">
                  <c:v>7.7399999999999997E-2</c:v>
                </c:pt>
                <c:pt idx="3">
                  <c:v>7.7399999999999997E-2</c:v>
                </c:pt>
                <c:pt idx="4">
                  <c:v>7.7399999999999997E-2</c:v>
                </c:pt>
                <c:pt idx="5">
                  <c:v>7.7399999999999997E-2</c:v>
                </c:pt>
                <c:pt idx="6">
                  <c:v>7.7399999999999997E-2</c:v>
                </c:pt>
                <c:pt idx="7">
                  <c:v>7.7399999999999997E-2</c:v>
                </c:pt>
                <c:pt idx="8">
                  <c:v>7.7399999999999997E-2</c:v>
                </c:pt>
                <c:pt idx="9">
                  <c:v>7.7399999999999997E-2</c:v>
                </c:pt>
                <c:pt idx="10">
                  <c:v>7.7399999999999997E-2</c:v>
                </c:pt>
                <c:pt idx="11">
                  <c:v>7.7399999999999997E-2</c:v>
                </c:pt>
                <c:pt idx="12">
                  <c:v>7.7399999999999997E-2</c:v>
                </c:pt>
                <c:pt idx="13">
                  <c:v>7.7399999999999997E-2</c:v>
                </c:pt>
                <c:pt idx="14">
                  <c:v>7.7399999999999997E-2</c:v>
                </c:pt>
                <c:pt idx="15">
                  <c:v>7.7399999999999997E-2</c:v>
                </c:pt>
                <c:pt idx="16">
                  <c:v>7.7399999999999997E-2</c:v>
                </c:pt>
                <c:pt idx="17">
                  <c:v>7.7399999999999997E-2</c:v>
                </c:pt>
                <c:pt idx="18">
                  <c:v>7.7399999999999997E-2</c:v>
                </c:pt>
                <c:pt idx="19">
                  <c:v>7.7399999999999997E-2</c:v>
                </c:pt>
                <c:pt idx="20">
                  <c:v>7.7399999999999997E-2</c:v>
                </c:pt>
                <c:pt idx="21">
                  <c:v>7.7399999999999997E-2</c:v>
                </c:pt>
              </c:numCache>
            </c:numRef>
          </c:val>
          <c:smooth val="0"/>
          <c:extLst>
            <c:ext xmlns:c16="http://schemas.microsoft.com/office/drawing/2014/chart" uri="{C3380CC4-5D6E-409C-BE32-E72D297353CC}">
              <c16:uniqueId val="{00000002-B81D-4453-A899-08D1D98D3027}"/>
            </c:ext>
          </c:extLst>
        </c:ser>
        <c:dLbls>
          <c:showLegendKey val="0"/>
          <c:showVal val="0"/>
          <c:showCatName val="0"/>
          <c:showSerName val="0"/>
          <c:showPercent val="0"/>
          <c:showBubbleSize val="0"/>
        </c:dLbls>
        <c:smooth val="0"/>
        <c:axId val="16844624"/>
        <c:axId val="16842960"/>
      </c:lineChart>
      <c:catAx>
        <c:axId val="168446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16842960"/>
        <c:crosses val="autoZero"/>
        <c:auto val="1"/>
        <c:lblAlgn val="ctr"/>
        <c:lblOffset val="100"/>
        <c:noMultiLvlLbl val="0"/>
      </c:catAx>
      <c:valAx>
        <c:axId val="1684296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16844624"/>
        <c:crosses val="autoZero"/>
        <c:crossBetween val="between"/>
      </c:valAx>
      <c:spPr>
        <a:noFill/>
        <a:ln>
          <a:noFill/>
        </a:ln>
        <a:effectLst/>
      </c:spPr>
    </c:plotArea>
    <c:legend>
      <c:legendPos val="b"/>
      <c:layout>
        <c:manualLayout>
          <c:xMode val="edge"/>
          <c:yMode val="edge"/>
          <c:x val="9.8791218961901225E-2"/>
          <c:y val="3.44545874073433E-2"/>
          <c:w val="0.9"/>
          <c:h val="7.7267024314268407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solidFill>
      <a:round/>
    </a:ln>
    <a:effectLst/>
  </c:spPr>
  <c:txPr>
    <a:bodyPr/>
    <a:lstStyle/>
    <a:p>
      <a:pPr>
        <a:defRPr sz="900"/>
      </a:pPr>
      <a:endParaRPr lang="pl-PL"/>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5.7562761427155898E-2"/>
          <c:y val="5.1353874883286646E-2"/>
          <c:w val="0.9160203317524791"/>
          <c:h val="0.59425926745111912"/>
        </c:manualLayout>
      </c:layout>
      <c:bar3DChart>
        <c:barDir val="col"/>
        <c:grouping val="stacked"/>
        <c:varyColors val="0"/>
        <c:ser>
          <c:idx val="0"/>
          <c:order val="0"/>
          <c:tx>
            <c:strRef>
              <c:f>'[Nowy Arkusz programu Microsoft Excel.xlsx]Sheet1'!$A$2</c:f>
              <c:strCache>
                <c:ptCount val="1"/>
                <c:pt idx="0">
                  <c:v>Janowiec Kościelny</c:v>
                </c:pt>
              </c:strCache>
            </c:strRef>
          </c:tx>
          <c:spPr>
            <a:solidFill>
              <a:schemeClr val="accent1"/>
            </a:solidFill>
            <a:ln>
              <a:noFill/>
            </a:ln>
            <a:effectLst/>
            <a:sp3d/>
          </c:spPr>
          <c:invertIfNegative val="0"/>
          <c:cat>
            <c:numRef>
              <c:f>'[Nowy Arkusz programu Microsoft Excel.xlsx]Sheet1'!$B$1:$J$1</c:f>
              <c:numCache>
                <c:formatCode>General</c:formatCode>
                <c:ptCount val="9"/>
                <c:pt idx="0">
                  <c:v>2011</c:v>
                </c:pt>
                <c:pt idx="1">
                  <c:v>2012</c:v>
                </c:pt>
                <c:pt idx="2">
                  <c:v>2013</c:v>
                </c:pt>
                <c:pt idx="3">
                  <c:v>2014</c:v>
                </c:pt>
                <c:pt idx="4">
                  <c:v>2015</c:v>
                </c:pt>
                <c:pt idx="5">
                  <c:v>2016</c:v>
                </c:pt>
                <c:pt idx="6">
                  <c:v>2017</c:v>
                </c:pt>
                <c:pt idx="7">
                  <c:v>2018</c:v>
                </c:pt>
                <c:pt idx="8">
                  <c:v>2019</c:v>
                </c:pt>
              </c:numCache>
            </c:numRef>
          </c:cat>
          <c:val>
            <c:numRef>
              <c:f>'[Nowy Arkusz programu Microsoft Excel.xlsx]Sheet1'!$B$2:$J$2</c:f>
              <c:numCache>
                <c:formatCode>General</c:formatCode>
                <c:ptCount val="9"/>
                <c:pt idx="0">
                  <c:v>8.5500000000000007</c:v>
                </c:pt>
                <c:pt idx="1">
                  <c:v>6.1</c:v>
                </c:pt>
                <c:pt idx="2">
                  <c:v>6.18</c:v>
                </c:pt>
                <c:pt idx="3">
                  <c:v>7.19</c:v>
                </c:pt>
                <c:pt idx="4">
                  <c:v>8.5399999999999991</c:v>
                </c:pt>
                <c:pt idx="5">
                  <c:v>7.85</c:v>
                </c:pt>
                <c:pt idx="6">
                  <c:v>8.84</c:v>
                </c:pt>
                <c:pt idx="7">
                  <c:v>11.82</c:v>
                </c:pt>
                <c:pt idx="8">
                  <c:v>13.98</c:v>
                </c:pt>
              </c:numCache>
            </c:numRef>
          </c:val>
          <c:extLst>
            <c:ext xmlns:c16="http://schemas.microsoft.com/office/drawing/2014/chart" uri="{C3380CC4-5D6E-409C-BE32-E72D297353CC}">
              <c16:uniqueId val="{00000000-F1D2-4F8B-B538-F9BE5D669F86}"/>
            </c:ext>
          </c:extLst>
        </c:ser>
        <c:ser>
          <c:idx val="1"/>
          <c:order val="1"/>
          <c:tx>
            <c:strRef>
              <c:f>'[Nowy Arkusz programu Microsoft Excel.xlsx]Sheet1'!$A$3</c:f>
              <c:strCache>
                <c:ptCount val="1"/>
                <c:pt idx="0">
                  <c:v>Ruciane-Nida</c:v>
                </c:pt>
              </c:strCache>
            </c:strRef>
          </c:tx>
          <c:spPr>
            <a:solidFill>
              <a:schemeClr val="accent2"/>
            </a:solidFill>
            <a:ln>
              <a:noFill/>
            </a:ln>
            <a:effectLst/>
            <a:sp3d/>
          </c:spPr>
          <c:invertIfNegative val="0"/>
          <c:cat>
            <c:numRef>
              <c:f>'[Nowy Arkusz programu Microsoft Excel.xlsx]Sheet1'!$B$1:$J$1</c:f>
              <c:numCache>
                <c:formatCode>General</c:formatCode>
                <c:ptCount val="9"/>
                <c:pt idx="0">
                  <c:v>2011</c:v>
                </c:pt>
                <c:pt idx="1">
                  <c:v>2012</c:v>
                </c:pt>
                <c:pt idx="2">
                  <c:v>2013</c:v>
                </c:pt>
                <c:pt idx="3">
                  <c:v>2014</c:v>
                </c:pt>
                <c:pt idx="4">
                  <c:v>2015</c:v>
                </c:pt>
                <c:pt idx="5">
                  <c:v>2016</c:v>
                </c:pt>
                <c:pt idx="6">
                  <c:v>2017</c:v>
                </c:pt>
                <c:pt idx="7">
                  <c:v>2018</c:v>
                </c:pt>
                <c:pt idx="8">
                  <c:v>2019</c:v>
                </c:pt>
              </c:numCache>
            </c:numRef>
          </c:cat>
          <c:val>
            <c:numRef>
              <c:f>'[Nowy Arkusz programu Microsoft Excel.xlsx]Sheet1'!$B$3:$J$3</c:f>
              <c:numCache>
                <c:formatCode>General</c:formatCode>
                <c:ptCount val="9"/>
                <c:pt idx="0">
                  <c:v>1.08</c:v>
                </c:pt>
                <c:pt idx="1">
                  <c:v>1.1000000000000001</c:v>
                </c:pt>
                <c:pt idx="2">
                  <c:v>1.34</c:v>
                </c:pt>
                <c:pt idx="3">
                  <c:v>1.39</c:v>
                </c:pt>
                <c:pt idx="4">
                  <c:v>1.2</c:v>
                </c:pt>
                <c:pt idx="5">
                  <c:v>1.27</c:v>
                </c:pt>
                <c:pt idx="6">
                  <c:v>1.1499999999999999</c:v>
                </c:pt>
                <c:pt idx="7">
                  <c:v>1.25</c:v>
                </c:pt>
                <c:pt idx="8">
                  <c:v>1.1499999999999999</c:v>
                </c:pt>
              </c:numCache>
            </c:numRef>
          </c:val>
          <c:extLst>
            <c:ext xmlns:c16="http://schemas.microsoft.com/office/drawing/2014/chart" uri="{C3380CC4-5D6E-409C-BE32-E72D297353CC}">
              <c16:uniqueId val="{00000001-F1D2-4F8B-B538-F9BE5D669F86}"/>
            </c:ext>
          </c:extLst>
        </c:ser>
        <c:ser>
          <c:idx val="2"/>
          <c:order val="2"/>
          <c:tx>
            <c:strRef>
              <c:f>'[Nowy Arkusz programu Microsoft Excel.xlsx]Sheet1'!$A$4</c:f>
              <c:strCache>
                <c:ptCount val="1"/>
                <c:pt idx="0">
                  <c:v>Szczytno</c:v>
                </c:pt>
              </c:strCache>
            </c:strRef>
          </c:tx>
          <c:spPr>
            <a:solidFill>
              <a:schemeClr val="accent3"/>
            </a:solidFill>
            <a:ln>
              <a:noFill/>
            </a:ln>
            <a:effectLst/>
            <a:sp3d/>
          </c:spPr>
          <c:invertIfNegative val="0"/>
          <c:cat>
            <c:numRef>
              <c:f>'[Nowy Arkusz programu Microsoft Excel.xlsx]Sheet1'!$B$1:$J$1</c:f>
              <c:numCache>
                <c:formatCode>General</c:formatCode>
                <c:ptCount val="9"/>
                <c:pt idx="0">
                  <c:v>2011</c:v>
                </c:pt>
                <c:pt idx="1">
                  <c:v>2012</c:v>
                </c:pt>
                <c:pt idx="2">
                  <c:v>2013</c:v>
                </c:pt>
                <c:pt idx="3">
                  <c:v>2014</c:v>
                </c:pt>
                <c:pt idx="4">
                  <c:v>2015</c:v>
                </c:pt>
                <c:pt idx="5">
                  <c:v>2016</c:v>
                </c:pt>
                <c:pt idx="6">
                  <c:v>2017</c:v>
                </c:pt>
                <c:pt idx="7">
                  <c:v>2018</c:v>
                </c:pt>
                <c:pt idx="8">
                  <c:v>2019</c:v>
                </c:pt>
              </c:numCache>
            </c:numRef>
          </c:cat>
          <c:val>
            <c:numRef>
              <c:f>'[Nowy Arkusz programu Microsoft Excel.xlsx]Sheet1'!$B$4:$J$4</c:f>
              <c:numCache>
                <c:formatCode>General</c:formatCode>
                <c:ptCount val="9"/>
                <c:pt idx="0">
                  <c:v>0.78</c:v>
                </c:pt>
                <c:pt idx="1">
                  <c:v>0.72</c:v>
                </c:pt>
                <c:pt idx="2">
                  <c:v>0.73</c:v>
                </c:pt>
                <c:pt idx="3">
                  <c:v>0.7</c:v>
                </c:pt>
                <c:pt idx="4">
                  <c:v>0.74</c:v>
                </c:pt>
                <c:pt idx="5">
                  <c:v>0.59</c:v>
                </c:pt>
                <c:pt idx="6">
                  <c:v>0.63</c:v>
                </c:pt>
                <c:pt idx="7">
                  <c:v>0.61</c:v>
                </c:pt>
                <c:pt idx="8">
                  <c:v>0.56999999999999995</c:v>
                </c:pt>
              </c:numCache>
            </c:numRef>
          </c:val>
          <c:extLst>
            <c:ext xmlns:c16="http://schemas.microsoft.com/office/drawing/2014/chart" uri="{C3380CC4-5D6E-409C-BE32-E72D297353CC}">
              <c16:uniqueId val="{00000002-F1D2-4F8B-B538-F9BE5D669F86}"/>
            </c:ext>
          </c:extLst>
        </c:ser>
        <c:ser>
          <c:idx val="3"/>
          <c:order val="3"/>
          <c:tx>
            <c:strRef>
              <c:f>'[Nowy Arkusz programu Microsoft Excel.xlsx]Sheet1'!$A$5</c:f>
              <c:strCache>
                <c:ptCount val="1"/>
                <c:pt idx="0">
                  <c:v>Działdowo</c:v>
                </c:pt>
              </c:strCache>
            </c:strRef>
          </c:tx>
          <c:spPr>
            <a:solidFill>
              <a:schemeClr val="accent4"/>
            </a:solidFill>
            <a:ln>
              <a:noFill/>
            </a:ln>
            <a:effectLst/>
            <a:sp3d/>
          </c:spPr>
          <c:invertIfNegative val="0"/>
          <c:cat>
            <c:numRef>
              <c:f>'[Nowy Arkusz programu Microsoft Excel.xlsx]Sheet1'!$B$1:$J$1</c:f>
              <c:numCache>
                <c:formatCode>General</c:formatCode>
                <c:ptCount val="9"/>
                <c:pt idx="0">
                  <c:v>2011</c:v>
                </c:pt>
                <c:pt idx="1">
                  <c:v>2012</c:v>
                </c:pt>
                <c:pt idx="2">
                  <c:v>2013</c:v>
                </c:pt>
                <c:pt idx="3">
                  <c:v>2014</c:v>
                </c:pt>
                <c:pt idx="4">
                  <c:v>2015</c:v>
                </c:pt>
                <c:pt idx="5">
                  <c:v>2016</c:v>
                </c:pt>
                <c:pt idx="6">
                  <c:v>2017</c:v>
                </c:pt>
                <c:pt idx="7">
                  <c:v>2018</c:v>
                </c:pt>
                <c:pt idx="8">
                  <c:v>2019</c:v>
                </c:pt>
              </c:numCache>
            </c:numRef>
          </c:cat>
          <c:val>
            <c:numRef>
              <c:f>'[Nowy Arkusz programu Microsoft Excel.xlsx]Sheet1'!$B$5:$J$5</c:f>
              <c:numCache>
                <c:formatCode>General</c:formatCode>
                <c:ptCount val="9"/>
                <c:pt idx="0">
                  <c:v>0.42</c:v>
                </c:pt>
                <c:pt idx="1">
                  <c:v>0.69</c:v>
                </c:pt>
                <c:pt idx="2">
                  <c:v>0.71</c:v>
                </c:pt>
                <c:pt idx="3">
                  <c:v>0.73</c:v>
                </c:pt>
                <c:pt idx="4">
                  <c:v>0.56999999999999995</c:v>
                </c:pt>
                <c:pt idx="5">
                  <c:v>0.44</c:v>
                </c:pt>
                <c:pt idx="6">
                  <c:v>1.02</c:v>
                </c:pt>
                <c:pt idx="7">
                  <c:v>1.33</c:v>
                </c:pt>
                <c:pt idx="8">
                  <c:v>1.39</c:v>
                </c:pt>
              </c:numCache>
            </c:numRef>
          </c:val>
          <c:extLst>
            <c:ext xmlns:c16="http://schemas.microsoft.com/office/drawing/2014/chart" uri="{C3380CC4-5D6E-409C-BE32-E72D297353CC}">
              <c16:uniqueId val="{00000003-F1D2-4F8B-B538-F9BE5D669F86}"/>
            </c:ext>
          </c:extLst>
        </c:ser>
        <c:ser>
          <c:idx val="4"/>
          <c:order val="4"/>
          <c:tx>
            <c:strRef>
              <c:f>'[Nowy Arkusz programu Microsoft Excel.xlsx]Sheet1'!$A$6</c:f>
              <c:strCache>
                <c:ptCount val="1"/>
                <c:pt idx="0">
                  <c:v>Iłowo-Osada</c:v>
                </c:pt>
              </c:strCache>
            </c:strRef>
          </c:tx>
          <c:spPr>
            <a:solidFill>
              <a:schemeClr val="accent5"/>
            </a:solidFill>
            <a:ln>
              <a:noFill/>
            </a:ln>
            <a:effectLst/>
            <a:sp3d/>
          </c:spPr>
          <c:invertIfNegative val="0"/>
          <c:cat>
            <c:numRef>
              <c:f>'[Nowy Arkusz programu Microsoft Excel.xlsx]Sheet1'!$B$1:$J$1</c:f>
              <c:numCache>
                <c:formatCode>General</c:formatCode>
                <c:ptCount val="9"/>
                <c:pt idx="0">
                  <c:v>2011</c:v>
                </c:pt>
                <c:pt idx="1">
                  <c:v>2012</c:v>
                </c:pt>
                <c:pt idx="2">
                  <c:v>2013</c:v>
                </c:pt>
                <c:pt idx="3">
                  <c:v>2014</c:v>
                </c:pt>
                <c:pt idx="4">
                  <c:v>2015</c:v>
                </c:pt>
                <c:pt idx="5">
                  <c:v>2016</c:v>
                </c:pt>
                <c:pt idx="6">
                  <c:v>2017</c:v>
                </c:pt>
                <c:pt idx="7">
                  <c:v>2018</c:v>
                </c:pt>
                <c:pt idx="8">
                  <c:v>2019</c:v>
                </c:pt>
              </c:numCache>
            </c:numRef>
          </c:cat>
          <c:val>
            <c:numRef>
              <c:f>'[Nowy Arkusz programu Microsoft Excel.xlsx]Sheet1'!$B$6:$J$6</c:f>
              <c:numCache>
                <c:formatCode>General</c:formatCode>
                <c:ptCount val="9"/>
                <c:pt idx="0">
                  <c:v>0.4</c:v>
                </c:pt>
                <c:pt idx="1">
                  <c:v>0.34</c:v>
                </c:pt>
                <c:pt idx="2">
                  <c:v>0</c:v>
                </c:pt>
                <c:pt idx="3">
                  <c:v>1.06</c:v>
                </c:pt>
                <c:pt idx="4">
                  <c:v>0.4</c:v>
                </c:pt>
                <c:pt idx="5">
                  <c:v>0.31</c:v>
                </c:pt>
                <c:pt idx="6">
                  <c:v>0.91</c:v>
                </c:pt>
                <c:pt idx="7">
                  <c:v>1.1299999999999999</c:v>
                </c:pt>
                <c:pt idx="8">
                  <c:v>1.1599999999999999</c:v>
                </c:pt>
              </c:numCache>
            </c:numRef>
          </c:val>
          <c:extLst>
            <c:ext xmlns:c16="http://schemas.microsoft.com/office/drawing/2014/chart" uri="{C3380CC4-5D6E-409C-BE32-E72D297353CC}">
              <c16:uniqueId val="{00000004-F1D2-4F8B-B538-F9BE5D669F86}"/>
            </c:ext>
          </c:extLst>
        </c:ser>
        <c:ser>
          <c:idx val="5"/>
          <c:order val="5"/>
          <c:tx>
            <c:strRef>
              <c:f>'[Nowy Arkusz programu Microsoft Excel.xlsx]Sheet1'!$A$7</c:f>
              <c:strCache>
                <c:ptCount val="1"/>
                <c:pt idx="0">
                  <c:v>Lidzbark</c:v>
                </c:pt>
              </c:strCache>
            </c:strRef>
          </c:tx>
          <c:spPr>
            <a:solidFill>
              <a:schemeClr val="accent6"/>
            </a:solidFill>
            <a:ln>
              <a:noFill/>
            </a:ln>
            <a:effectLst/>
            <a:sp3d/>
          </c:spPr>
          <c:invertIfNegative val="0"/>
          <c:cat>
            <c:numRef>
              <c:f>'[Nowy Arkusz programu Microsoft Excel.xlsx]Sheet1'!$B$1:$J$1</c:f>
              <c:numCache>
                <c:formatCode>General</c:formatCode>
                <c:ptCount val="9"/>
                <c:pt idx="0">
                  <c:v>2011</c:v>
                </c:pt>
                <c:pt idx="1">
                  <c:v>2012</c:v>
                </c:pt>
                <c:pt idx="2">
                  <c:v>2013</c:v>
                </c:pt>
                <c:pt idx="3">
                  <c:v>2014</c:v>
                </c:pt>
                <c:pt idx="4">
                  <c:v>2015</c:v>
                </c:pt>
                <c:pt idx="5">
                  <c:v>2016</c:v>
                </c:pt>
                <c:pt idx="6">
                  <c:v>2017</c:v>
                </c:pt>
                <c:pt idx="7">
                  <c:v>2018</c:v>
                </c:pt>
                <c:pt idx="8">
                  <c:v>2019</c:v>
                </c:pt>
              </c:numCache>
            </c:numRef>
          </c:cat>
          <c:val>
            <c:numRef>
              <c:f>'[Nowy Arkusz programu Microsoft Excel.xlsx]Sheet1'!$B$7:$J$7</c:f>
              <c:numCache>
                <c:formatCode>General</c:formatCode>
                <c:ptCount val="9"/>
                <c:pt idx="0">
                  <c:v>0.39</c:v>
                </c:pt>
                <c:pt idx="1">
                  <c:v>0.48</c:v>
                </c:pt>
                <c:pt idx="2">
                  <c:v>0.49</c:v>
                </c:pt>
                <c:pt idx="3">
                  <c:v>0.49</c:v>
                </c:pt>
                <c:pt idx="4">
                  <c:v>0.56000000000000005</c:v>
                </c:pt>
                <c:pt idx="5">
                  <c:v>0.64</c:v>
                </c:pt>
                <c:pt idx="6">
                  <c:v>0.67</c:v>
                </c:pt>
                <c:pt idx="7">
                  <c:v>0.86</c:v>
                </c:pt>
                <c:pt idx="8">
                  <c:v>1.49</c:v>
                </c:pt>
              </c:numCache>
            </c:numRef>
          </c:val>
          <c:extLst>
            <c:ext xmlns:c16="http://schemas.microsoft.com/office/drawing/2014/chart" uri="{C3380CC4-5D6E-409C-BE32-E72D297353CC}">
              <c16:uniqueId val="{00000005-F1D2-4F8B-B538-F9BE5D669F86}"/>
            </c:ext>
          </c:extLst>
        </c:ser>
        <c:ser>
          <c:idx val="6"/>
          <c:order val="6"/>
          <c:tx>
            <c:strRef>
              <c:f>'[Nowy Arkusz programu Microsoft Excel.xlsx]Sheet1'!$A$8</c:f>
              <c:strCache>
                <c:ptCount val="1"/>
                <c:pt idx="0">
                  <c:v>Pasym</c:v>
                </c:pt>
              </c:strCache>
            </c:strRef>
          </c:tx>
          <c:spPr>
            <a:solidFill>
              <a:schemeClr val="accent1">
                <a:lumMod val="60000"/>
              </a:schemeClr>
            </a:solidFill>
            <a:ln>
              <a:noFill/>
            </a:ln>
            <a:effectLst/>
            <a:sp3d/>
          </c:spPr>
          <c:invertIfNegative val="0"/>
          <c:cat>
            <c:numRef>
              <c:f>'[Nowy Arkusz programu Microsoft Excel.xlsx]Sheet1'!$B$1:$J$1</c:f>
              <c:numCache>
                <c:formatCode>General</c:formatCode>
                <c:ptCount val="9"/>
                <c:pt idx="0">
                  <c:v>2011</c:v>
                </c:pt>
                <c:pt idx="1">
                  <c:v>2012</c:v>
                </c:pt>
                <c:pt idx="2">
                  <c:v>2013</c:v>
                </c:pt>
                <c:pt idx="3">
                  <c:v>2014</c:v>
                </c:pt>
                <c:pt idx="4">
                  <c:v>2015</c:v>
                </c:pt>
                <c:pt idx="5">
                  <c:v>2016</c:v>
                </c:pt>
                <c:pt idx="6">
                  <c:v>2017</c:v>
                </c:pt>
                <c:pt idx="7">
                  <c:v>2018</c:v>
                </c:pt>
                <c:pt idx="8">
                  <c:v>2019</c:v>
                </c:pt>
              </c:numCache>
            </c:numRef>
          </c:cat>
          <c:val>
            <c:numRef>
              <c:f>'[Nowy Arkusz programu Microsoft Excel.xlsx]Sheet1'!$B$8:$J$8</c:f>
              <c:numCache>
                <c:formatCode>General</c:formatCode>
                <c:ptCount val="9"/>
                <c:pt idx="0">
                  <c:v>0.38</c:v>
                </c:pt>
                <c:pt idx="1">
                  <c:v>0.34</c:v>
                </c:pt>
                <c:pt idx="2">
                  <c:v>0.36</c:v>
                </c:pt>
                <c:pt idx="3">
                  <c:v>0.37</c:v>
                </c:pt>
                <c:pt idx="4">
                  <c:v>0.34</c:v>
                </c:pt>
                <c:pt idx="5">
                  <c:v>0.32</c:v>
                </c:pt>
                <c:pt idx="6">
                  <c:v>0.33</c:v>
                </c:pt>
                <c:pt idx="7">
                  <c:v>0.32</c:v>
                </c:pt>
                <c:pt idx="8">
                  <c:v>0.28000000000000003</c:v>
                </c:pt>
              </c:numCache>
            </c:numRef>
          </c:val>
          <c:extLst>
            <c:ext xmlns:c16="http://schemas.microsoft.com/office/drawing/2014/chart" uri="{C3380CC4-5D6E-409C-BE32-E72D297353CC}">
              <c16:uniqueId val="{00000006-F1D2-4F8B-B538-F9BE5D669F86}"/>
            </c:ext>
          </c:extLst>
        </c:ser>
        <c:ser>
          <c:idx val="7"/>
          <c:order val="7"/>
          <c:tx>
            <c:strRef>
              <c:f>'[Nowy Arkusz programu Microsoft Excel.xlsx]Sheet1'!$A$9</c:f>
              <c:strCache>
                <c:ptCount val="1"/>
                <c:pt idx="0">
                  <c:v>Biała Piska</c:v>
                </c:pt>
              </c:strCache>
            </c:strRef>
          </c:tx>
          <c:spPr>
            <a:solidFill>
              <a:schemeClr val="accent2">
                <a:lumMod val="60000"/>
              </a:schemeClr>
            </a:solidFill>
            <a:ln>
              <a:noFill/>
            </a:ln>
            <a:effectLst/>
            <a:sp3d/>
          </c:spPr>
          <c:invertIfNegative val="0"/>
          <c:cat>
            <c:numRef>
              <c:f>'[Nowy Arkusz programu Microsoft Excel.xlsx]Sheet1'!$B$1:$J$1</c:f>
              <c:numCache>
                <c:formatCode>General</c:formatCode>
                <c:ptCount val="9"/>
                <c:pt idx="0">
                  <c:v>2011</c:v>
                </c:pt>
                <c:pt idx="1">
                  <c:v>2012</c:v>
                </c:pt>
                <c:pt idx="2">
                  <c:v>2013</c:v>
                </c:pt>
                <c:pt idx="3">
                  <c:v>2014</c:v>
                </c:pt>
                <c:pt idx="4">
                  <c:v>2015</c:v>
                </c:pt>
                <c:pt idx="5">
                  <c:v>2016</c:v>
                </c:pt>
                <c:pt idx="6">
                  <c:v>2017</c:v>
                </c:pt>
                <c:pt idx="7">
                  <c:v>2018</c:v>
                </c:pt>
                <c:pt idx="8">
                  <c:v>2019</c:v>
                </c:pt>
              </c:numCache>
            </c:numRef>
          </c:cat>
          <c:val>
            <c:numRef>
              <c:f>'[Nowy Arkusz programu Microsoft Excel.xlsx]Sheet1'!$B$9:$J$9</c:f>
              <c:numCache>
                <c:formatCode>General</c:formatCode>
                <c:ptCount val="9"/>
                <c:pt idx="0">
                  <c:v>0.36</c:v>
                </c:pt>
                <c:pt idx="1">
                  <c:v>0.34</c:v>
                </c:pt>
                <c:pt idx="2">
                  <c:v>0.38</c:v>
                </c:pt>
                <c:pt idx="3">
                  <c:v>0.69</c:v>
                </c:pt>
                <c:pt idx="4">
                  <c:v>0.65</c:v>
                </c:pt>
                <c:pt idx="5">
                  <c:v>0.54</c:v>
                </c:pt>
                <c:pt idx="6">
                  <c:v>0.52</c:v>
                </c:pt>
                <c:pt idx="7">
                  <c:v>0.54</c:v>
                </c:pt>
                <c:pt idx="8">
                  <c:v>0.52</c:v>
                </c:pt>
              </c:numCache>
            </c:numRef>
          </c:val>
          <c:extLst>
            <c:ext xmlns:c16="http://schemas.microsoft.com/office/drawing/2014/chart" uri="{C3380CC4-5D6E-409C-BE32-E72D297353CC}">
              <c16:uniqueId val="{00000007-F1D2-4F8B-B538-F9BE5D669F86}"/>
            </c:ext>
          </c:extLst>
        </c:ser>
        <c:ser>
          <c:idx val="8"/>
          <c:order val="8"/>
          <c:tx>
            <c:strRef>
              <c:f>'[Nowy Arkusz programu Microsoft Excel.xlsx]Sheet1'!$A$10</c:f>
              <c:strCache>
                <c:ptCount val="1"/>
                <c:pt idx="0">
                  <c:v>Orzysz</c:v>
                </c:pt>
              </c:strCache>
            </c:strRef>
          </c:tx>
          <c:spPr>
            <a:solidFill>
              <a:schemeClr val="accent3">
                <a:lumMod val="60000"/>
              </a:schemeClr>
            </a:solidFill>
            <a:ln>
              <a:noFill/>
            </a:ln>
            <a:effectLst/>
            <a:sp3d/>
          </c:spPr>
          <c:invertIfNegative val="0"/>
          <c:cat>
            <c:numRef>
              <c:f>'[Nowy Arkusz programu Microsoft Excel.xlsx]Sheet1'!$B$1:$J$1</c:f>
              <c:numCache>
                <c:formatCode>General</c:formatCode>
                <c:ptCount val="9"/>
                <c:pt idx="0">
                  <c:v>2011</c:v>
                </c:pt>
                <c:pt idx="1">
                  <c:v>2012</c:v>
                </c:pt>
                <c:pt idx="2">
                  <c:v>2013</c:v>
                </c:pt>
                <c:pt idx="3">
                  <c:v>2014</c:v>
                </c:pt>
                <c:pt idx="4">
                  <c:v>2015</c:v>
                </c:pt>
                <c:pt idx="5">
                  <c:v>2016</c:v>
                </c:pt>
                <c:pt idx="6">
                  <c:v>2017</c:v>
                </c:pt>
                <c:pt idx="7">
                  <c:v>2018</c:v>
                </c:pt>
                <c:pt idx="8">
                  <c:v>2019</c:v>
                </c:pt>
              </c:numCache>
            </c:numRef>
          </c:cat>
          <c:val>
            <c:numRef>
              <c:f>'[Nowy Arkusz programu Microsoft Excel.xlsx]Sheet1'!$B$10:$J$10</c:f>
              <c:numCache>
                <c:formatCode>General</c:formatCode>
                <c:ptCount val="9"/>
                <c:pt idx="0">
                  <c:v>0.3</c:v>
                </c:pt>
                <c:pt idx="1">
                  <c:v>0.27</c:v>
                </c:pt>
                <c:pt idx="2">
                  <c:v>0.31</c:v>
                </c:pt>
                <c:pt idx="3">
                  <c:v>0.47</c:v>
                </c:pt>
                <c:pt idx="4">
                  <c:v>0.35</c:v>
                </c:pt>
                <c:pt idx="5">
                  <c:v>0.36</c:v>
                </c:pt>
                <c:pt idx="6">
                  <c:v>0.45</c:v>
                </c:pt>
                <c:pt idx="7">
                  <c:v>0.53</c:v>
                </c:pt>
                <c:pt idx="8">
                  <c:v>0.31</c:v>
                </c:pt>
              </c:numCache>
            </c:numRef>
          </c:val>
          <c:extLst>
            <c:ext xmlns:c16="http://schemas.microsoft.com/office/drawing/2014/chart" uri="{C3380CC4-5D6E-409C-BE32-E72D297353CC}">
              <c16:uniqueId val="{00000008-F1D2-4F8B-B538-F9BE5D669F86}"/>
            </c:ext>
          </c:extLst>
        </c:ser>
        <c:ser>
          <c:idx val="9"/>
          <c:order val="9"/>
          <c:tx>
            <c:strRef>
              <c:f>'[Nowy Arkusz programu Microsoft Excel.xlsx]Sheet1'!$A$11</c:f>
              <c:strCache>
                <c:ptCount val="1"/>
                <c:pt idx="0">
                  <c:v>Nidzica</c:v>
                </c:pt>
              </c:strCache>
            </c:strRef>
          </c:tx>
          <c:spPr>
            <a:solidFill>
              <a:schemeClr val="accent4">
                <a:lumMod val="60000"/>
              </a:schemeClr>
            </a:solidFill>
            <a:ln>
              <a:noFill/>
            </a:ln>
            <a:effectLst/>
            <a:sp3d/>
          </c:spPr>
          <c:invertIfNegative val="0"/>
          <c:cat>
            <c:numRef>
              <c:f>'[Nowy Arkusz programu Microsoft Excel.xlsx]Sheet1'!$B$1:$J$1</c:f>
              <c:numCache>
                <c:formatCode>General</c:formatCode>
                <c:ptCount val="9"/>
                <c:pt idx="0">
                  <c:v>2011</c:v>
                </c:pt>
                <c:pt idx="1">
                  <c:v>2012</c:v>
                </c:pt>
                <c:pt idx="2">
                  <c:v>2013</c:v>
                </c:pt>
                <c:pt idx="3">
                  <c:v>2014</c:v>
                </c:pt>
                <c:pt idx="4">
                  <c:v>2015</c:v>
                </c:pt>
                <c:pt idx="5">
                  <c:v>2016</c:v>
                </c:pt>
                <c:pt idx="6">
                  <c:v>2017</c:v>
                </c:pt>
                <c:pt idx="7">
                  <c:v>2018</c:v>
                </c:pt>
                <c:pt idx="8">
                  <c:v>2019</c:v>
                </c:pt>
              </c:numCache>
            </c:numRef>
          </c:cat>
          <c:val>
            <c:numRef>
              <c:f>'[Nowy Arkusz programu Microsoft Excel.xlsx]Sheet1'!$B$11:$J$11</c:f>
              <c:numCache>
                <c:formatCode>General</c:formatCode>
                <c:ptCount val="9"/>
                <c:pt idx="0">
                  <c:v>0.21</c:v>
                </c:pt>
                <c:pt idx="1">
                  <c:v>0.19</c:v>
                </c:pt>
                <c:pt idx="2">
                  <c:v>0.19</c:v>
                </c:pt>
                <c:pt idx="3">
                  <c:v>0.17</c:v>
                </c:pt>
                <c:pt idx="4">
                  <c:v>0.2</c:v>
                </c:pt>
                <c:pt idx="5">
                  <c:v>0.16</c:v>
                </c:pt>
                <c:pt idx="6">
                  <c:v>0.15</c:v>
                </c:pt>
                <c:pt idx="7">
                  <c:v>0.27</c:v>
                </c:pt>
                <c:pt idx="8">
                  <c:v>0.33</c:v>
                </c:pt>
              </c:numCache>
            </c:numRef>
          </c:val>
          <c:extLst>
            <c:ext xmlns:c16="http://schemas.microsoft.com/office/drawing/2014/chart" uri="{C3380CC4-5D6E-409C-BE32-E72D297353CC}">
              <c16:uniqueId val="{00000009-F1D2-4F8B-B538-F9BE5D669F86}"/>
            </c:ext>
          </c:extLst>
        </c:ser>
        <c:ser>
          <c:idx val="10"/>
          <c:order val="10"/>
          <c:tx>
            <c:strRef>
              <c:f>'[Nowy Arkusz programu Microsoft Excel.xlsx]Sheet1'!$A$12</c:f>
              <c:strCache>
                <c:ptCount val="1"/>
                <c:pt idx="0">
                  <c:v>Wielbark</c:v>
                </c:pt>
              </c:strCache>
            </c:strRef>
          </c:tx>
          <c:spPr>
            <a:solidFill>
              <a:schemeClr val="accent5">
                <a:lumMod val="60000"/>
              </a:schemeClr>
            </a:solidFill>
            <a:ln>
              <a:noFill/>
            </a:ln>
            <a:effectLst/>
            <a:sp3d/>
          </c:spPr>
          <c:invertIfNegative val="0"/>
          <c:cat>
            <c:numRef>
              <c:f>'[Nowy Arkusz programu Microsoft Excel.xlsx]Sheet1'!$B$1:$J$1</c:f>
              <c:numCache>
                <c:formatCode>General</c:formatCode>
                <c:ptCount val="9"/>
                <c:pt idx="0">
                  <c:v>2011</c:v>
                </c:pt>
                <c:pt idx="1">
                  <c:v>2012</c:v>
                </c:pt>
                <c:pt idx="2">
                  <c:v>2013</c:v>
                </c:pt>
                <c:pt idx="3">
                  <c:v>2014</c:v>
                </c:pt>
                <c:pt idx="4">
                  <c:v>2015</c:v>
                </c:pt>
                <c:pt idx="5">
                  <c:v>2016</c:v>
                </c:pt>
                <c:pt idx="6">
                  <c:v>2017</c:v>
                </c:pt>
                <c:pt idx="7">
                  <c:v>2018</c:v>
                </c:pt>
                <c:pt idx="8">
                  <c:v>2019</c:v>
                </c:pt>
              </c:numCache>
            </c:numRef>
          </c:cat>
          <c:val>
            <c:numRef>
              <c:f>'[Nowy Arkusz programu Microsoft Excel.xlsx]Sheet1'!$B$12:$J$12</c:f>
              <c:numCache>
                <c:formatCode>General</c:formatCode>
                <c:ptCount val="9"/>
                <c:pt idx="0">
                  <c:v>0.1</c:v>
                </c:pt>
                <c:pt idx="1">
                  <c:v>0.13</c:v>
                </c:pt>
                <c:pt idx="2">
                  <c:v>0.13</c:v>
                </c:pt>
                <c:pt idx="3">
                  <c:v>0.12</c:v>
                </c:pt>
                <c:pt idx="4">
                  <c:v>6.62</c:v>
                </c:pt>
                <c:pt idx="5">
                  <c:v>2.9</c:v>
                </c:pt>
                <c:pt idx="6">
                  <c:v>2.92</c:v>
                </c:pt>
                <c:pt idx="7">
                  <c:v>3.23</c:v>
                </c:pt>
                <c:pt idx="8">
                  <c:v>3.54</c:v>
                </c:pt>
              </c:numCache>
            </c:numRef>
          </c:val>
          <c:extLst>
            <c:ext xmlns:c16="http://schemas.microsoft.com/office/drawing/2014/chart" uri="{C3380CC4-5D6E-409C-BE32-E72D297353CC}">
              <c16:uniqueId val="{0000000A-F1D2-4F8B-B538-F9BE5D669F86}"/>
            </c:ext>
          </c:extLst>
        </c:ser>
        <c:ser>
          <c:idx val="11"/>
          <c:order val="11"/>
          <c:tx>
            <c:strRef>
              <c:f>'[Nowy Arkusz programu Microsoft Excel.xlsx]Sheet1'!$A$13</c:f>
              <c:strCache>
                <c:ptCount val="1"/>
                <c:pt idx="0">
                  <c:v>Janowo</c:v>
                </c:pt>
              </c:strCache>
            </c:strRef>
          </c:tx>
          <c:spPr>
            <a:solidFill>
              <a:schemeClr val="accent6">
                <a:lumMod val="60000"/>
              </a:schemeClr>
            </a:solidFill>
            <a:ln>
              <a:noFill/>
            </a:ln>
            <a:effectLst/>
            <a:sp3d/>
          </c:spPr>
          <c:invertIfNegative val="0"/>
          <c:cat>
            <c:numRef>
              <c:f>'[Nowy Arkusz programu Microsoft Excel.xlsx]Sheet1'!$B$1:$J$1</c:f>
              <c:numCache>
                <c:formatCode>General</c:formatCode>
                <c:ptCount val="9"/>
                <c:pt idx="0">
                  <c:v>2011</c:v>
                </c:pt>
                <c:pt idx="1">
                  <c:v>2012</c:v>
                </c:pt>
                <c:pt idx="2">
                  <c:v>2013</c:v>
                </c:pt>
                <c:pt idx="3">
                  <c:v>2014</c:v>
                </c:pt>
                <c:pt idx="4">
                  <c:v>2015</c:v>
                </c:pt>
                <c:pt idx="5">
                  <c:v>2016</c:v>
                </c:pt>
                <c:pt idx="6">
                  <c:v>2017</c:v>
                </c:pt>
                <c:pt idx="7">
                  <c:v>2018</c:v>
                </c:pt>
                <c:pt idx="8">
                  <c:v>2019</c:v>
                </c:pt>
              </c:numCache>
            </c:numRef>
          </c:cat>
          <c:val>
            <c:numRef>
              <c:f>'[Nowy Arkusz programu Microsoft Excel.xlsx]Sheet1'!$B$13:$J$13</c:f>
              <c:numCache>
                <c:formatCode>General</c:formatCode>
                <c:ptCount val="9"/>
                <c:pt idx="0">
                  <c:v>0.08</c:v>
                </c:pt>
                <c:pt idx="1">
                  <c:v>0.08</c:v>
                </c:pt>
                <c:pt idx="2">
                  <c:v>0.08</c:v>
                </c:pt>
                <c:pt idx="3">
                  <c:v>0.08</c:v>
                </c:pt>
                <c:pt idx="4">
                  <c:v>0.12</c:v>
                </c:pt>
                <c:pt idx="5">
                  <c:v>0.12</c:v>
                </c:pt>
                <c:pt idx="6">
                  <c:v>0.1</c:v>
                </c:pt>
                <c:pt idx="7">
                  <c:v>0.1</c:v>
                </c:pt>
                <c:pt idx="8">
                  <c:v>0.11</c:v>
                </c:pt>
              </c:numCache>
            </c:numRef>
          </c:val>
          <c:extLst>
            <c:ext xmlns:c16="http://schemas.microsoft.com/office/drawing/2014/chart" uri="{C3380CC4-5D6E-409C-BE32-E72D297353CC}">
              <c16:uniqueId val="{0000000B-F1D2-4F8B-B538-F9BE5D669F86}"/>
            </c:ext>
          </c:extLst>
        </c:ser>
        <c:ser>
          <c:idx val="12"/>
          <c:order val="12"/>
          <c:tx>
            <c:strRef>
              <c:f>'[Nowy Arkusz programu Microsoft Excel.xlsx]Sheet1'!$A$14</c:f>
              <c:strCache>
                <c:ptCount val="1"/>
                <c:pt idx="0">
                  <c:v>Szczytno</c:v>
                </c:pt>
              </c:strCache>
            </c:strRef>
          </c:tx>
          <c:spPr>
            <a:solidFill>
              <a:schemeClr val="accent1">
                <a:lumMod val="80000"/>
                <a:lumOff val="20000"/>
              </a:schemeClr>
            </a:solidFill>
            <a:ln>
              <a:noFill/>
            </a:ln>
            <a:effectLst/>
            <a:sp3d/>
          </c:spPr>
          <c:invertIfNegative val="0"/>
          <c:cat>
            <c:numRef>
              <c:f>'[Nowy Arkusz programu Microsoft Excel.xlsx]Sheet1'!$B$1:$J$1</c:f>
              <c:numCache>
                <c:formatCode>General</c:formatCode>
                <c:ptCount val="9"/>
                <c:pt idx="0">
                  <c:v>2011</c:v>
                </c:pt>
                <c:pt idx="1">
                  <c:v>2012</c:v>
                </c:pt>
                <c:pt idx="2">
                  <c:v>2013</c:v>
                </c:pt>
                <c:pt idx="3">
                  <c:v>2014</c:v>
                </c:pt>
                <c:pt idx="4">
                  <c:v>2015</c:v>
                </c:pt>
                <c:pt idx="5">
                  <c:v>2016</c:v>
                </c:pt>
                <c:pt idx="6">
                  <c:v>2017</c:v>
                </c:pt>
                <c:pt idx="7">
                  <c:v>2018</c:v>
                </c:pt>
                <c:pt idx="8">
                  <c:v>2019</c:v>
                </c:pt>
              </c:numCache>
            </c:numRef>
          </c:cat>
          <c:val>
            <c:numRef>
              <c:f>'[Nowy Arkusz programu Microsoft Excel.xlsx]Sheet1'!$B$14:$J$14</c:f>
              <c:numCache>
                <c:formatCode>General</c:formatCode>
                <c:ptCount val="9"/>
                <c:pt idx="0">
                  <c:v>0.05</c:v>
                </c:pt>
                <c:pt idx="1">
                  <c:v>0.02</c:v>
                </c:pt>
                <c:pt idx="2">
                  <c:v>0.01</c:v>
                </c:pt>
                <c:pt idx="3">
                  <c:v>0.01</c:v>
                </c:pt>
                <c:pt idx="4">
                  <c:v>0.01</c:v>
                </c:pt>
                <c:pt idx="5">
                  <c:v>0</c:v>
                </c:pt>
                <c:pt idx="6">
                  <c:v>0.16</c:v>
                </c:pt>
                <c:pt idx="7">
                  <c:v>0.2</c:v>
                </c:pt>
                <c:pt idx="8">
                  <c:v>0.24</c:v>
                </c:pt>
              </c:numCache>
            </c:numRef>
          </c:val>
          <c:extLst>
            <c:ext xmlns:c16="http://schemas.microsoft.com/office/drawing/2014/chart" uri="{C3380CC4-5D6E-409C-BE32-E72D297353CC}">
              <c16:uniqueId val="{0000000C-F1D2-4F8B-B538-F9BE5D669F86}"/>
            </c:ext>
          </c:extLst>
        </c:ser>
        <c:ser>
          <c:idx val="13"/>
          <c:order val="13"/>
          <c:tx>
            <c:strRef>
              <c:f>'[Nowy Arkusz programu Microsoft Excel.xlsx]Sheet1'!$A$15</c:f>
              <c:strCache>
                <c:ptCount val="1"/>
                <c:pt idx="0">
                  <c:v>Działdowo</c:v>
                </c:pt>
              </c:strCache>
            </c:strRef>
          </c:tx>
          <c:spPr>
            <a:solidFill>
              <a:schemeClr val="accent2">
                <a:lumMod val="80000"/>
                <a:lumOff val="20000"/>
              </a:schemeClr>
            </a:solidFill>
            <a:ln>
              <a:noFill/>
            </a:ln>
            <a:effectLst/>
            <a:sp3d/>
          </c:spPr>
          <c:invertIfNegative val="0"/>
          <c:cat>
            <c:numRef>
              <c:f>'[Nowy Arkusz programu Microsoft Excel.xlsx]Sheet1'!$B$1:$J$1</c:f>
              <c:numCache>
                <c:formatCode>General</c:formatCode>
                <c:ptCount val="9"/>
                <c:pt idx="0">
                  <c:v>2011</c:v>
                </c:pt>
                <c:pt idx="1">
                  <c:v>2012</c:v>
                </c:pt>
                <c:pt idx="2">
                  <c:v>2013</c:v>
                </c:pt>
                <c:pt idx="3">
                  <c:v>2014</c:v>
                </c:pt>
                <c:pt idx="4">
                  <c:v>2015</c:v>
                </c:pt>
                <c:pt idx="5">
                  <c:v>2016</c:v>
                </c:pt>
                <c:pt idx="6">
                  <c:v>2017</c:v>
                </c:pt>
                <c:pt idx="7">
                  <c:v>2018</c:v>
                </c:pt>
                <c:pt idx="8">
                  <c:v>2019</c:v>
                </c:pt>
              </c:numCache>
            </c:numRef>
          </c:cat>
          <c:val>
            <c:numRef>
              <c:f>'[Nowy Arkusz programu Microsoft Excel.xlsx]Sheet1'!$B$15:$J$15</c:f>
              <c:numCache>
                <c:formatCode>General</c:formatCode>
                <c:ptCount val="9"/>
                <c:pt idx="0">
                  <c:v>0</c:v>
                </c:pt>
                <c:pt idx="1">
                  <c:v>0</c:v>
                </c:pt>
                <c:pt idx="2">
                  <c:v>0.06</c:v>
                </c:pt>
                <c:pt idx="3">
                  <c:v>0.05</c:v>
                </c:pt>
                <c:pt idx="4">
                  <c:v>0.11</c:v>
                </c:pt>
                <c:pt idx="5">
                  <c:v>0</c:v>
                </c:pt>
                <c:pt idx="6">
                  <c:v>0.08</c:v>
                </c:pt>
                <c:pt idx="7">
                  <c:v>0.08</c:v>
                </c:pt>
                <c:pt idx="8">
                  <c:v>7.0000000000000007E-2</c:v>
                </c:pt>
              </c:numCache>
            </c:numRef>
          </c:val>
          <c:extLst>
            <c:ext xmlns:c16="http://schemas.microsoft.com/office/drawing/2014/chart" uri="{C3380CC4-5D6E-409C-BE32-E72D297353CC}">
              <c16:uniqueId val="{0000000D-F1D2-4F8B-B538-F9BE5D669F86}"/>
            </c:ext>
          </c:extLst>
        </c:ser>
        <c:ser>
          <c:idx val="14"/>
          <c:order val="14"/>
          <c:tx>
            <c:strRef>
              <c:f>'[Nowy Arkusz programu Microsoft Excel.xlsx]Sheet1'!$A$16</c:f>
              <c:strCache>
                <c:ptCount val="1"/>
                <c:pt idx="0">
                  <c:v>Dźwierzuty</c:v>
                </c:pt>
              </c:strCache>
            </c:strRef>
          </c:tx>
          <c:spPr>
            <a:solidFill>
              <a:schemeClr val="accent3">
                <a:lumMod val="80000"/>
                <a:lumOff val="20000"/>
              </a:schemeClr>
            </a:solidFill>
            <a:ln>
              <a:noFill/>
            </a:ln>
            <a:effectLst/>
            <a:sp3d/>
          </c:spPr>
          <c:invertIfNegative val="0"/>
          <c:cat>
            <c:numRef>
              <c:f>'[Nowy Arkusz programu Microsoft Excel.xlsx]Sheet1'!$B$1:$J$1</c:f>
              <c:numCache>
                <c:formatCode>General</c:formatCode>
                <c:ptCount val="9"/>
                <c:pt idx="0">
                  <c:v>2011</c:v>
                </c:pt>
                <c:pt idx="1">
                  <c:v>2012</c:v>
                </c:pt>
                <c:pt idx="2">
                  <c:v>2013</c:v>
                </c:pt>
                <c:pt idx="3">
                  <c:v>2014</c:v>
                </c:pt>
                <c:pt idx="4">
                  <c:v>2015</c:v>
                </c:pt>
                <c:pt idx="5">
                  <c:v>2016</c:v>
                </c:pt>
                <c:pt idx="6">
                  <c:v>2017</c:v>
                </c:pt>
                <c:pt idx="7">
                  <c:v>2018</c:v>
                </c:pt>
                <c:pt idx="8">
                  <c:v>2019</c:v>
                </c:pt>
              </c:numCache>
            </c:numRef>
          </c:cat>
          <c:val>
            <c:numRef>
              <c:f>'[Nowy Arkusz programu Microsoft Excel.xlsx]Sheet1'!$B$16:$J$16</c:f>
              <c:numCache>
                <c:formatCode>General</c:formatCode>
                <c:ptCount val="9"/>
                <c:pt idx="0">
                  <c:v>0</c:v>
                </c:pt>
                <c:pt idx="1">
                  <c:v>0</c:v>
                </c:pt>
                <c:pt idx="2">
                  <c:v>0</c:v>
                </c:pt>
                <c:pt idx="3">
                  <c:v>0.05</c:v>
                </c:pt>
                <c:pt idx="4">
                  <c:v>0.18</c:v>
                </c:pt>
                <c:pt idx="5">
                  <c:v>0.13</c:v>
                </c:pt>
                <c:pt idx="6">
                  <c:v>0.23</c:v>
                </c:pt>
                <c:pt idx="7">
                  <c:v>0.2</c:v>
                </c:pt>
                <c:pt idx="8">
                  <c:v>0.14000000000000001</c:v>
                </c:pt>
              </c:numCache>
            </c:numRef>
          </c:val>
          <c:extLst>
            <c:ext xmlns:c16="http://schemas.microsoft.com/office/drawing/2014/chart" uri="{C3380CC4-5D6E-409C-BE32-E72D297353CC}">
              <c16:uniqueId val="{0000000E-F1D2-4F8B-B538-F9BE5D669F86}"/>
            </c:ext>
          </c:extLst>
        </c:ser>
        <c:ser>
          <c:idx val="15"/>
          <c:order val="15"/>
          <c:tx>
            <c:strRef>
              <c:f>'[Nowy Arkusz programu Microsoft Excel.xlsx]Sheet1'!$A$17</c:f>
              <c:strCache>
                <c:ptCount val="1"/>
                <c:pt idx="0">
                  <c:v>Jedwabno</c:v>
                </c:pt>
              </c:strCache>
            </c:strRef>
          </c:tx>
          <c:spPr>
            <a:solidFill>
              <a:schemeClr val="accent4">
                <a:lumMod val="80000"/>
                <a:lumOff val="20000"/>
              </a:schemeClr>
            </a:solidFill>
            <a:ln>
              <a:noFill/>
            </a:ln>
            <a:effectLst/>
            <a:sp3d/>
          </c:spPr>
          <c:invertIfNegative val="0"/>
          <c:cat>
            <c:numRef>
              <c:f>'[Nowy Arkusz programu Microsoft Excel.xlsx]Sheet1'!$B$1:$J$1</c:f>
              <c:numCache>
                <c:formatCode>General</c:formatCode>
                <c:ptCount val="9"/>
                <c:pt idx="0">
                  <c:v>2011</c:v>
                </c:pt>
                <c:pt idx="1">
                  <c:v>2012</c:v>
                </c:pt>
                <c:pt idx="2">
                  <c:v>2013</c:v>
                </c:pt>
                <c:pt idx="3">
                  <c:v>2014</c:v>
                </c:pt>
                <c:pt idx="4">
                  <c:v>2015</c:v>
                </c:pt>
                <c:pt idx="5">
                  <c:v>2016</c:v>
                </c:pt>
                <c:pt idx="6">
                  <c:v>2017</c:v>
                </c:pt>
                <c:pt idx="7">
                  <c:v>2018</c:v>
                </c:pt>
                <c:pt idx="8">
                  <c:v>2019</c:v>
                </c:pt>
              </c:numCache>
            </c:numRef>
          </c:cat>
          <c:val>
            <c:numRef>
              <c:f>'[Nowy Arkusz programu Microsoft Excel.xlsx]Sheet1'!$B$17:$J$17</c:f>
              <c:numCache>
                <c:formatCode>General</c:formatCode>
                <c:ptCount val="9"/>
                <c:pt idx="0">
                  <c:v>0</c:v>
                </c:pt>
                <c:pt idx="1">
                  <c:v>12.29</c:v>
                </c:pt>
                <c:pt idx="2">
                  <c:v>18.93</c:v>
                </c:pt>
                <c:pt idx="3">
                  <c:v>5.5</c:v>
                </c:pt>
                <c:pt idx="4">
                  <c:v>4.4800000000000004</c:v>
                </c:pt>
                <c:pt idx="5">
                  <c:v>4.8099999999999996</c:v>
                </c:pt>
                <c:pt idx="6">
                  <c:v>4.33</c:v>
                </c:pt>
                <c:pt idx="7">
                  <c:v>0.5</c:v>
                </c:pt>
                <c:pt idx="8">
                  <c:v>0.5</c:v>
                </c:pt>
              </c:numCache>
            </c:numRef>
          </c:val>
          <c:extLst>
            <c:ext xmlns:c16="http://schemas.microsoft.com/office/drawing/2014/chart" uri="{C3380CC4-5D6E-409C-BE32-E72D297353CC}">
              <c16:uniqueId val="{0000000F-F1D2-4F8B-B538-F9BE5D669F86}"/>
            </c:ext>
          </c:extLst>
        </c:ser>
        <c:ser>
          <c:idx val="16"/>
          <c:order val="16"/>
          <c:tx>
            <c:strRef>
              <c:f>'[Nowy Arkusz programu Microsoft Excel.xlsx]Sheet1'!$A$18</c:f>
              <c:strCache>
                <c:ptCount val="1"/>
                <c:pt idx="0">
                  <c:v>Kozłowo</c:v>
                </c:pt>
              </c:strCache>
            </c:strRef>
          </c:tx>
          <c:spPr>
            <a:solidFill>
              <a:schemeClr val="accent5">
                <a:lumMod val="80000"/>
                <a:lumOff val="20000"/>
              </a:schemeClr>
            </a:solidFill>
            <a:ln>
              <a:noFill/>
            </a:ln>
            <a:effectLst/>
            <a:sp3d/>
          </c:spPr>
          <c:invertIfNegative val="0"/>
          <c:cat>
            <c:numRef>
              <c:f>'[Nowy Arkusz programu Microsoft Excel.xlsx]Sheet1'!$B$1:$J$1</c:f>
              <c:numCache>
                <c:formatCode>General</c:formatCode>
                <c:ptCount val="9"/>
                <c:pt idx="0">
                  <c:v>2011</c:v>
                </c:pt>
                <c:pt idx="1">
                  <c:v>2012</c:v>
                </c:pt>
                <c:pt idx="2">
                  <c:v>2013</c:v>
                </c:pt>
                <c:pt idx="3">
                  <c:v>2014</c:v>
                </c:pt>
                <c:pt idx="4">
                  <c:v>2015</c:v>
                </c:pt>
                <c:pt idx="5">
                  <c:v>2016</c:v>
                </c:pt>
                <c:pt idx="6">
                  <c:v>2017</c:v>
                </c:pt>
                <c:pt idx="7">
                  <c:v>2018</c:v>
                </c:pt>
                <c:pt idx="8">
                  <c:v>2019</c:v>
                </c:pt>
              </c:numCache>
            </c:numRef>
          </c:cat>
          <c:val>
            <c:numRef>
              <c:f>'[Nowy Arkusz programu Microsoft Excel.xlsx]Sheet1'!$B$18:$J$18</c:f>
              <c:numCache>
                <c:formatCode>General</c:formatCode>
                <c:ptCount val="9"/>
                <c:pt idx="0">
                  <c:v>0</c:v>
                </c:pt>
                <c:pt idx="1">
                  <c:v>0</c:v>
                </c:pt>
                <c:pt idx="2">
                  <c:v>0</c:v>
                </c:pt>
                <c:pt idx="3">
                  <c:v>0</c:v>
                </c:pt>
                <c:pt idx="4">
                  <c:v>3.7</c:v>
                </c:pt>
                <c:pt idx="5">
                  <c:v>2.73</c:v>
                </c:pt>
                <c:pt idx="6">
                  <c:v>2.33</c:v>
                </c:pt>
                <c:pt idx="7">
                  <c:v>3.18</c:v>
                </c:pt>
                <c:pt idx="8">
                  <c:v>3.48</c:v>
                </c:pt>
              </c:numCache>
            </c:numRef>
          </c:val>
          <c:extLst>
            <c:ext xmlns:c16="http://schemas.microsoft.com/office/drawing/2014/chart" uri="{C3380CC4-5D6E-409C-BE32-E72D297353CC}">
              <c16:uniqueId val="{00000010-F1D2-4F8B-B538-F9BE5D669F86}"/>
            </c:ext>
          </c:extLst>
        </c:ser>
        <c:ser>
          <c:idx val="17"/>
          <c:order val="17"/>
          <c:tx>
            <c:strRef>
              <c:f>'[Nowy Arkusz programu Microsoft Excel.xlsx]Sheet1'!$A$19</c:f>
              <c:strCache>
                <c:ptCount val="1"/>
                <c:pt idx="0">
                  <c:v>Pisz</c:v>
                </c:pt>
              </c:strCache>
            </c:strRef>
          </c:tx>
          <c:spPr>
            <a:solidFill>
              <a:schemeClr val="accent6">
                <a:lumMod val="80000"/>
                <a:lumOff val="20000"/>
              </a:schemeClr>
            </a:solidFill>
            <a:ln>
              <a:noFill/>
            </a:ln>
            <a:effectLst/>
            <a:sp3d/>
          </c:spPr>
          <c:invertIfNegative val="0"/>
          <c:cat>
            <c:numRef>
              <c:f>'[Nowy Arkusz programu Microsoft Excel.xlsx]Sheet1'!$B$1:$J$1</c:f>
              <c:numCache>
                <c:formatCode>General</c:formatCode>
                <c:ptCount val="9"/>
                <c:pt idx="0">
                  <c:v>2011</c:v>
                </c:pt>
                <c:pt idx="1">
                  <c:v>2012</c:v>
                </c:pt>
                <c:pt idx="2">
                  <c:v>2013</c:v>
                </c:pt>
                <c:pt idx="3">
                  <c:v>2014</c:v>
                </c:pt>
                <c:pt idx="4">
                  <c:v>2015</c:v>
                </c:pt>
                <c:pt idx="5">
                  <c:v>2016</c:v>
                </c:pt>
                <c:pt idx="6">
                  <c:v>2017</c:v>
                </c:pt>
                <c:pt idx="7">
                  <c:v>2018</c:v>
                </c:pt>
                <c:pt idx="8">
                  <c:v>2019</c:v>
                </c:pt>
              </c:numCache>
            </c:numRef>
          </c:cat>
          <c:val>
            <c:numRef>
              <c:f>'[Nowy Arkusz programu Microsoft Excel.xlsx]Sheet1'!$B$19:$J$19</c:f>
              <c:numCache>
                <c:formatCode>General</c:formatCode>
                <c:ptCount val="9"/>
                <c:pt idx="0">
                  <c:v>0</c:v>
                </c:pt>
                <c:pt idx="1">
                  <c:v>1.1399999999999999</c:v>
                </c:pt>
                <c:pt idx="2">
                  <c:v>1.0900000000000001</c:v>
                </c:pt>
                <c:pt idx="3">
                  <c:v>1.1000000000000001</c:v>
                </c:pt>
                <c:pt idx="4">
                  <c:v>1.02</c:v>
                </c:pt>
                <c:pt idx="5">
                  <c:v>0.92</c:v>
                </c:pt>
                <c:pt idx="6">
                  <c:v>0.96</c:v>
                </c:pt>
                <c:pt idx="7">
                  <c:v>0.98</c:v>
                </c:pt>
                <c:pt idx="8">
                  <c:v>1.02</c:v>
                </c:pt>
              </c:numCache>
            </c:numRef>
          </c:val>
          <c:extLst>
            <c:ext xmlns:c16="http://schemas.microsoft.com/office/drawing/2014/chart" uri="{C3380CC4-5D6E-409C-BE32-E72D297353CC}">
              <c16:uniqueId val="{00000011-F1D2-4F8B-B538-F9BE5D669F86}"/>
            </c:ext>
          </c:extLst>
        </c:ser>
        <c:ser>
          <c:idx val="18"/>
          <c:order val="18"/>
          <c:tx>
            <c:strRef>
              <c:f>'[Nowy Arkusz programu Microsoft Excel.xlsx]Sheet1'!$A$20</c:f>
              <c:strCache>
                <c:ptCount val="1"/>
                <c:pt idx="0">
                  <c:v>Płośnica</c:v>
                </c:pt>
              </c:strCache>
            </c:strRef>
          </c:tx>
          <c:spPr>
            <a:solidFill>
              <a:schemeClr val="accent1">
                <a:lumMod val="80000"/>
              </a:schemeClr>
            </a:solidFill>
            <a:ln>
              <a:noFill/>
            </a:ln>
            <a:effectLst/>
            <a:sp3d/>
          </c:spPr>
          <c:invertIfNegative val="0"/>
          <c:cat>
            <c:numRef>
              <c:f>'[Nowy Arkusz programu Microsoft Excel.xlsx]Sheet1'!$B$1:$J$1</c:f>
              <c:numCache>
                <c:formatCode>General</c:formatCode>
                <c:ptCount val="9"/>
                <c:pt idx="0">
                  <c:v>2011</c:v>
                </c:pt>
                <c:pt idx="1">
                  <c:v>2012</c:v>
                </c:pt>
                <c:pt idx="2">
                  <c:v>2013</c:v>
                </c:pt>
                <c:pt idx="3">
                  <c:v>2014</c:v>
                </c:pt>
                <c:pt idx="4">
                  <c:v>2015</c:v>
                </c:pt>
                <c:pt idx="5">
                  <c:v>2016</c:v>
                </c:pt>
                <c:pt idx="6">
                  <c:v>2017</c:v>
                </c:pt>
                <c:pt idx="7">
                  <c:v>2018</c:v>
                </c:pt>
                <c:pt idx="8">
                  <c:v>2019</c:v>
                </c:pt>
              </c:numCache>
            </c:numRef>
          </c:cat>
          <c:val>
            <c:numRef>
              <c:f>'[Nowy Arkusz programu Microsoft Excel.xlsx]Sheet1'!$B$20:$J$20</c:f>
              <c:numCache>
                <c:formatCode>General</c:formatCode>
                <c:ptCount val="9"/>
                <c:pt idx="0">
                  <c:v>0</c:v>
                </c:pt>
                <c:pt idx="1">
                  <c:v>0</c:v>
                </c:pt>
                <c:pt idx="2">
                  <c:v>0</c:v>
                </c:pt>
                <c:pt idx="3">
                  <c:v>0</c:v>
                </c:pt>
                <c:pt idx="4">
                  <c:v>0</c:v>
                </c:pt>
                <c:pt idx="5">
                  <c:v>0</c:v>
                </c:pt>
                <c:pt idx="6">
                  <c:v>0.04</c:v>
                </c:pt>
                <c:pt idx="7">
                  <c:v>0.04</c:v>
                </c:pt>
                <c:pt idx="8">
                  <c:v>0.02</c:v>
                </c:pt>
              </c:numCache>
            </c:numRef>
          </c:val>
          <c:extLst>
            <c:ext xmlns:c16="http://schemas.microsoft.com/office/drawing/2014/chart" uri="{C3380CC4-5D6E-409C-BE32-E72D297353CC}">
              <c16:uniqueId val="{00000012-F1D2-4F8B-B538-F9BE5D669F86}"/>
            </c:ext>
          </c:extLst>
        </c:ser>
        <c:ser>
          <c:idx val="19"/>
          <c:order val="19"/>
          <c:tx>
            <c:strRef>
              <c:f>'[Nowy Arkusz programu Microsoft Excel.xlsx]Sheet1'!$A$21</c:f>
              <c:strCache>
                <c:ptCount val="1"/>
                <c:pt idx="0">
                  <c:v>Rozogi</c:v>
                </c:pt>
              </c:strCache>
            </c:strRef>
          </c:tx>
          <c:spPr>
            <a:solidFill>
              <a:schemeClr val="accent2">
                <a:lumMod val="80000"/>
              </a:schemeClr>
            </a:solidFill>
            <a:ln>
              <a:noFill/>
            </a:ln>
            <a:effectLst/>
            <a:sp3d/>
          </c:spPr>
          <c:invertIfNegative val="0"/>
          <c:cat>
            <c:numRef>
              <c:f>'[Nowy Arkusz programu Microsoft Excel.xlsx]Sheet1'!$B$1:$J$1</c:f>
              <c:numCache>
                <c:formatCode>General</c:formatCode>
                <c:ptCount val="9"/>
                <c:pt idx="0">
                  <c:v>2011</c:v>
                </c:pt>
                <c:pt idx="1">
                  <c:v>2012</c:v>
                </c:pt>
                <c:pt idx="2">
                  <c:v>2013</c:v>
                </c:pt>
                <c:pt idx="3">
                  <c:v>2014</c:v>
                </c:pt>
                <c:pt idx="4">
                  <c:v>2015</c:v>
                </c:pt>
                <c:pt idx="5">
                  <c:v>2016</c:v>
                </c:pt>
                <c:pt idx="6">
                  <c:v>2017</c:v>
                </c:pt>
                <c:pt idx="7">
                  <c:v>2018</c:v>
                </c:pt>
                <c:pt idx="8">
                  <c:v>2019</c:v>
                </c:pt>
              </c:numCache>
            </c:numRef>
          </c:cat>
          <c:val>
            <c:numRef>
              <c:f>'[Nowy Arkusz programu Microsoft Excel.xlsx]Sheet1'!$B$21:$J$21</c:f>
              <c:numCache>
                <c:formatCode>General</c:formatCode>
                <c:ptCount val="9"/>
                <c:pt idx="0">
                  <c:v>0</c:v>
                </c:pt>
                <c:pt idx="1">
                  <c:v>0</c:v>
                </c:pt>
                <c:pt idx="2">
                  <c:v>0</c:v>
                </c:pt>
                <c:pt idx="3">
                  <c:v>0</c:v>
                </c:pt>
                <c:pt idx="4">
                  <c:v>0.05</c:v>
                </c:pt>
                <c:pt idx="5">
                  <c:v>0.08</c:v>
                </c:pt>
                <c:pt idx="6">
                  <c:v>0.04</c:v>
                </c:pt>
                <c:pt idx="7">
                  <c:v>0.05</c:v>
                </c:pt>
                <c:pt idx="8">
                  <c:v>0.03</c:v>
                </c:pt>
              </c:numCache>
            </c:numRef>
          </c:val>
          <c:extLst>
            <c:ext xmlns:c16="http://schemas.microsoft.com/office/drawing/2014/chart" uri="{C3380CC4-5D6E-409C-BE32-E72D297353CC}">
              <c16:uniqueId val="{00000013-F1D2-4F8B-B538-F9BE5D669F86}"/>
            </c:ext>
          </c:extLst>
        </c:ser>
        <c:ser>
          <c:idx val="20"/>
          <c:order val="20"/>
          <c:tx>
            <c:strRef>
              <c:f>'[Nowy Arkusz programu Microsoft Excel.xlsx]Sheet1'!$A$22</c:f>
              <c:strCache>
                <c:ptCount val="1"/>
                <c:pt idx="0">
                  <c:v>Rybno</c:v>
                </c:pt>
              </c:strCache>
            </c:strRef>
          </c:tx>
          <c:spPr>
            <a:solidFill>
              <a:schemeClr val="accent3">
                <a:lumMod val="80000"/>
              </a:schemeClr>
            </a:solidFill>
            <a:ln>
              <a:noFill/>
            </a:ln>
            <a:effectLst/>
            <a:sp3d/>
          </c:spPr>
          <c:invertIfNegative val="0"/>
          <c:cat>
            <c:numRef>
              <c:f>'[Nowy Arkusz programu Microsoft Excel.xlsx]Sheet1'!$B$1:$J$1</c:f>
              <c:numCache>
                <c:formatCode>General</c:formatCode>
                <c:ptCount val="9"/>
                <c:pt idx="0">
                  <c:v>2011</c:v>
                </c:pt>
                <c:pt idx="1">
                  <c:v>2012</c:v>
                </c:pt>
                <c:pt idx="2">
                  <c:v>2013</c:v>
                </c:pt>
                <c:pt idx="3">
                  <c:v>2014</c:v>
                </c:pt>
                <c:pt idx="4">
                  <c:v>2015</c:v>
                </c:pt>
                <c:pt idx="5">
                  <c:v>2016</c:v>
                </c:pt>
                <c:pt idx="6">
                  <c:v>2017</c:v>
                </c:pt>
                <c:pt idx="7">
                  <c:v>2018</c:v>
                </c:pt>
                <c:pt idx="8">
                  <c:v>2019</c:v>
                </c:pt>
              </c:numCache>
            </c:numRef>
          </c:cat>
          <c:val>
            <c:numRef>
              <c:f>'[Nowy Arkusz programu Microsoft Excel.xlsx]Sheet1'!$B$22:$J$22</c:f>
              <c:numCache>
                <c:formatCode>General</c:formatCode>
                <c:ptCount val="9"/>
                <c:pt idx="0">
                  <c:v>0</c:v>
                </c:pt>
                <c:pt idx="1">
                  <c:v>0</c:v>
                </c:pt>
                <c:pt idx="2">
                  <c:v>0</c:v>
                </c:pt>
                <c:pt idx="3">
                  <c:v>0</c:v>
                </c:pt>
                <c:pt idx="4">
                  <c:v>0.42</c:v>
                </c:pt>
                <c:pt idx="5">
                  <c:v>0.56999999999999995</c:v>
                </c:pt>
                <c:pt idx="6">
                  <c:v>0.46</c:v>
                </c:pt>
                <c:pt idx="7">
                  <c:v>0.5</c:v>
                </c:pt>
                <c:pt idx="8">
                  <c:v>0.5</c:v>
                </c:pt>
              </c:numCache>
            </c:numRef>
          </c:val>
          <c:extLst>
            <c:ext xmlns:c16="http://schemas.microsoft.com/office/drawing/2014/chart" uri="{C3380CC4-5D6E-409C-BE32-E72D297353CC}">
              <c16:uniqueId val="{00000014-F1D2-4F8B-B538-F9BE5D669F86}"/>
            </c:ext>
          </c:extLst>
        </c:ser>
        <c:ser>
          <c:idx val="21"/>
          <c:order val="21"/>
          <c:tx>
            <c:strRef>
              <c:f>'[Nowy Arkusz programu Microsoft Excel.xlsx]Sheet1'!$A$23</c:f>
              <c:strCache>
                <c:ptCount val="1"/>
                <c:pt idx="0">
                  <c:v>Świętajno</c:v>
                </c:pt>
              </c:strCache>
            </c:strRef>
          </c:tx>
          <c:spPr>
            <a:solidFill>
              <a:schemeClr val="accent4">
                <a:lumMod val="80000"/>
              </a:schemeClr>
            </a:solidFill>
            <a:ln>
              <a:noFill/>
            </a:ln>
            <a:effectLst/>
            <a:sp3d/>
          </c:spPr>
          <c:invertIfNegative val="0"/>
          <c:cat>
            <c:numRef>
              <c:f>'[Nowy Arkusz programu Microsoft Excel.xlsx]Sheet1'!$B$1:$J$1</c:f>
              <c:numCache>
                <c:formatCode>General</c:formatCode>
                <c:ptCount val="9"/>
                <c:pt idx="0">
                  <c:v>2011</c:v>
                </c:pt>
                <c:pt idx="1">
                  <c:v>2012</c:v>
                </c:pt>
                <c:pt idx="2">
                  <c:v>2013</c:v>
                </c:pt>
                <c:pt idx="3">
                  <c:v>2014</c:v>
                </c:pt>
                <c:pt idx="4">
                  <c:v>2015</c:v>
                </c:pt>
                <c:pt idx="5">
                  <c:v>2016</c:v>
                </c:pt>
                <c:pt idx="6">
                  <c:v>2017</c:v>
                </c:pt>
                <c:pt idx="7">
                  <c:v>2018</c:v>
                </c:pt>
                <c:pt idx="8">
                  <c:v>2019</c:v>
                </c:pt>
              </c:numCache>
            </c:numRef>
          </c:cat>
          <c:val>
            <c:numRef>
              <c:f>'[Nowy Arkusz programu Microsoft Excel.xlsx]Sheet1'!$B$23:$J$23</c:f>
              <c:numCache>
                <c:formatCode>General</c:formatCode>
                <c:ptCount val="9"/>
                <c:pt idx="0">
                  <c:v>0</c:v>
                </c:pt>
                <c:pt idx="1">
                  <c:v>0</c:v>
                </c:pt>
                <c:pt idx="2">
                  <c:v>0</c:v>
                </c:pt>
                <c:pt idx="3">
                  <c:v>0</c:v>
                </c:pt>
                <c:pt idx="4">
                  <c:v>0</c:v>
                </c:pt>
                <c:pt idx="5">
                  <c:v>0</c:v>
                </c:pt>
                <c:pt idx="6">
                  <c:v>0</c:v>
                </c:pt>
                <c:pt idx="7">
                  <c:v>0</c:v>
                </c:pt>
                <c:pt idx="8">
                  <c:v>0</c:v>
                </c:pt>
              </c:numCache>
            </c:numRef>
          </c:val>
          <c:extLst>
            <c:ext xmlns:c16="http://schemas.microsoft.com/office/drawing/2014/chart" uri="{C3380CC4-5D6E-409C-BE32-E72D297353CC}">
              <c16:uniqueId val="{00000015-F1D2-4F8B-B538-F9BE5D669F86}"/>
            </c:ext>
          </c:extLst>
        </c:ser>
        <c:dLbls>
          <c:showLegendKey val="0"/>
          <c:showVal val="0"/>
          <c:showCatName val="0"/>
          <c:showSerName val="0"/>
          <c:showPercent val="0"/>
          <c:showBubbleSize val="0"/>
        </c:dLbls>
        <c:gapWidth val="150"/>
        <c:shape val="box"/>
        <c:axId val="1279878816"/>
        <c:axId val="1279889216"/>
        <c:axId val="0"/>
      </c:bar3DChart>
      <c:catAx>
        <c:axId val="127987881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pl-PL"/>
          </a:p>
        </c:txPr>
        <c:crossAx val="1279889216"/>
        <c:crosses val="autoZero"/>
        <c:auto val="1"/>
        <c:lblAlgn val="ctr"/>
        <c:lblOffset val="100"/>
        <c:noMultiLvlLbl val="0"/>
      </c:catAx>
      <c:valAx>
        <c:axId val="12798892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279878816"/>
        <c:crosses val="autoZero"/>
        <c:crossBetween val="between"/>
      </c:valAx>
      <c:spPr>
        <a:noFill/>
        <a:ln>
          <a:noFill/>
        </a:ln>
        <a:effectLst/>
      </c:spPr>
    </c:plotArea>
    <c:legend>
      <c:legendPos val="b"/>
      <c:layout>
        <c:manualLayout>
          <c:xMode val="edge"/>
          <c:yMode val="edge"/>
          <c:x val="1.2382475965720417E-2"/>
          <c:y val="0.73977852487540185"/>
          <c:w val="0.97889272987218057"/>
          <c:h val="0.2322104750951075"/>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2"/>
      </a:solidFill>
      <a:round/>
    </a:ln>
    <a:effectLst/>
  </c:spPr>
  <c:txPr>
    <a:bodyPr/>
    <a:lstStyle/>
    <a:p>
      <a:pPr>
        <a:defRPr/>
      </a:pPr>
      <a:endParaRPr lang="pl-PL"/>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2980697891486971"/>
          <c:y val="5.3569953502005149E-2"/>
          <c:w val="0.3664876035608079"/>
          <c:h val="0.9230402671747252"/>
        </c:manualLayout>
      </c:layout>
      <c:pieChart>
        <c:varyColors val="1"/>
        <c:ser>
          <c:idx val="0"/>
          <c:order val="0"/>
          <c:tx>
            <c:strRef>
              <c:f>Arkusz1!$B$1</c:f>
              <c:strCache>
                <c:ptCount val="1"/>
                <c:pt idx="0">
                  <c:v>Kolumna2</c:v>
                </c:pt>
              </c:strCache>
            </c:strRef>
          </c:tx>
          <c:dPt>
            <c:idx val="0"/>
            <c:bubble3D val="0"/>
            <c:spPr>
              <a:solidFill>
                <a:schemeClr val="accent1">
                  <a:lumMod val="60000"/>
                  <a:lumOff val="40000"/>
                </a:schemeClr>
              </a:solidFill>
              <a:ln w="19050">
                <a:solidFill>
                  <a:schemeClr val="lt1"/>
                </a:solidFill>
              </a:ln>
              <a:effectLst/>
            </c:spPr>
            <c:extLst>
              <c:ext xmlns:c16="http://schemas.microsoft.com/office/drawing/2014/chart" uri="{C3380CC4-5D6E-409C-BE32-E72D297353CC}">
                <c16:uniqueId val="{00000001-67AD-4092-9456-862878446E68}"/>
              </c:ext>
            </c:extLst>
          </c:dPt>
          <c:dPt>
            <c:idx val="1"/>
            <c:bubble3D val="0"/>
            <c:spPr>
              <a:solidFill>
                <a:schemeClr val="accent3"/>
              </a:solidFill>
              <a:ln w="19050">
                <a:solidFill>
                  <a:schemeClr val="lt1"/>
                </a:solidFill>
              </a:ln>
              <a:effectLst/>
            </c:spPr>
            <c:extLst>
              <c:ext xmlns:c16="http://schemas.microsoft.com/office/drawing/2014/chart" uri="{C3380CC4-5D6E-409C-BE32-E72D297353CC}">
                <c16:uniqueId val="{00000003-67AD-4092-9456-862878446E68}"/>
              </c:ext>
            </c:extLst>
          </c:dPt>
          <c:dLbls>
            <c:dLbl>
              <c:idx val="0"/>
              <c:layout>
                <c:manualLayout>
                  <c:x val="-0.14054498396033829"/>
                  <c:y val="0.1011101737282839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7AD-4092-9456-862878446E68}"/>
                </c:ext>
              </c:extLst>
            </c:dLbl>
            <c:dLbl>
              <c:idx val="1"/>
              <c:layout>
                <c:manualLayout>
                  <c:x val="0.15038130650335374"/>
                  <c:y val="-0.1572203474565679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7AD-4092-9456-862878446E68}"/>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0"/>
            <c:showPercent val="0"/>
            <c:showBubbleSize val="0"/>
            <c:extLst>
              <c:ext xmlns:c15="http://schemas.microsoft.com/office/drawing/2012/chart" uri="{CE6537A1-D6FC-4f65-9D91-7224C49458BB}"/>
            </c:extLst>
          </c:dLbls>
          <c:cat>
            <c:strRef>
              <c:f>Arkusz1!$A$2:$A$3</c:f>
              <c:strCache>
                <c:ptCount val="2"/>
                <c:pt idx="0">
                  <c:v>pierwsza kadencja </c:v>
                </c:pt>
                <c:pt idx="1">
                  <c:v>kolejna kadencja </c:v>
                </c:pt>
              </c:strCache>
            </c:strRef>
          </c:cat>
          <c:val>
            <c:numRef>
              <c:f>Arkusz1!$B$2:$B$3</c:f>
              <c:numCache>
                <c:formatCode>0.00%</c:formatCode>
                <c:ptCount val="2"/>
                <c:pt idx="0">
                  <c:v>0.30769230769230771</c:v>
                </c:pt>
                <c:pt idx="1">
                  <c:v>0.69230769230769229</c:v>
                </c:pt>
              </c:numCache>
            </c:numRef>
          </c:val>
          <c:extLst>
            <c:ext xmlns:c16="http://schemas.microsoft.com/office/drawing/2014/chart" uri="{C3380CC4-5D6E-409C-BE32-E72D297353CC}">
              <c16:uniqueId val="{00000004-67AD-4092-9456-862878446E68}"/>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manualLayout>
          <c:xMode val="edge"/>
          <c:yMode val="edge"/>
          <c:x val="4.6660067704605131E-2"/>
          <c:y val="0.13535852032580439"/>
          <c:w val="0.19536283106657124"/>
          <c:h val="0.1860233996174207"/>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solidFill>
      <a:round/>
    </a:ln>
    <a:effectLst/>
  </c:spPr>
  <c:txPr>
    <a:bodyPr/>
    <a:lstStyle/>
    <a:p>
      <a:pPr>
        <a:defRPr/>
      </a:pPr>
      <a:endParaRPr lang="pl-PL"/>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8291916656792729"/>
          <c:y val="7.4049284525379178E-2"/>
          <c:w val="0.43343584274947855"/>
          <c:h val="0.85229751459278769"/>
        </c:manualLayout>
      </c:layout>
      <c:radarChart>
        <c:radarStyle val="marker"/>
        <c:varyColors val="0"/>
        <c:ser>
          <c:idx val="0"/>
          <c:order val="0"/>
          <c:tx>
            <c:v>Export usługi</c:v>
          </c:tx>
          <c:spPr>
            <a:ln w="19050" cap="rnd">
              <a:solidFill>
                <a:schemeClr val="accent1"/>
              </a:solidFill>
              <a:round/>
            </a:ln>
            <a:effectLst/>
          </c:spPr>
          <c:marker>
            <c:symbol val="none"/>
          </c:marker>
          <c:cat>
            <c:strRef>
              <c:f>'Bilans-Zbiorczy'!$V$6:$AR$6</c:f>
              <c:strCache>
                <c:ptCount val="23"/>
                <c:pt idx="0">
                  <c:v>Szczytno (miasto)</c:v>
                </c:pt>
                <c:pt idx="1">
                  <c:v>Biała Piska</c:v>
                </c:pt>
                <c:pt idx="2">
                  <c:v>Lidzbark</c:v>
                </c:pt>
                <c:pt idx="3">
                  <c:v>Nidzica</c:v>
                </c:pt>
                <c:pt idx="4">
                  <c:v>Orzysz</c:v>
                </c:pt>
                <c:pt idx="5">
                  <c:v>Pasym</c:v>
                </c:pt>
                <c:pt idx="6">
                  <c:v>Pisz</c:v>
                </c:pt>
                <c:pt idx="7">
                  <c:v>Ruciane-Nida</c:v>
                </c:pt>
                <c:pt idx="8">
                  <c:v>Wielbark</c:v>
                </c:pt>
                <c:pt idx="9">
                  <c:v>Działdowo (miasto)</c:v>
                </c:pt>
                <c:pt idx="10">
                  <c:v>Działdowo (gmina)</c:v>
                </c:pt>
                <c:pt idx="11">
                  <c:v>Dźwierzuty</c:v>
                </c:pt>
                <c:pt idx="12">
                  <c:v>Iłowo-Osada</c:v>
                </c:pt>
                <c:pt idx="13">
                  <c:v>Janowiec Kościelny</c:v>
                </c:pt>
                <c:pt idx="14">
                  <c:v>Janowo</c:v>
                </c:pt>
                <c:pt idx="15">
                  <c:v>Jedwabno</c:v>
                </c:pt>
                <c:pt idx="16">
                  <c:v>Kozłowo</c:v>
                </c:pt>
                <c:pt idx="17">
                  <c:v>Płośnica</c:v>
                </c:pt>
                <c:pt idx="18">
                  <c:v>Rozogi</c:v>
                </c:pt>
                <c:pt idx="19">
                  <c:v>Rybno</c:v>
                </c:pt>
                <c:pt idx="20">
                  <c:v>Szczytno (gmina)</c:v>
                </c:pt>
                <c:pt idx="21">
                  <c:v>Świętajno</c:v>
                </c:pt>
                <c:pt idx="22">
                  <c:v>Poza partnerstwem</c:v>
                </c:pt>
              </c:strCache>
            </c:strRef>
          </c:cat>
          <c:val>
            <c:numRef>
              <c:f>'Bilans-Zbiorczy'!$V$30:$AR$30</c:f>
              <c:numCache>
                <c:formatCode>0.00</c:formatCode>
                <c:ptCount val="23"/>
                <c:pt idx="0">
                  <c:v>0.44806202937715595</c:v>
                </c:pt>
                <c:pt idx="1">
                  <c:v>0</c:v>
                </c:pt>
                <c:pt idx="2">
                  <c:v>0.12160692953688253</c:v>
                </c:pt>
                <c:pt idx="3">
                  <c:v>0</c:v>
                </c:pt>
                <c:pt idx="4">
                  <c:v>0</c:v>
                </c:pt>
                <c:pt idx="5">
                  <c:v>0</c:v>
                </c:pt>
                <c:pt idx="6">
                  <c:v>0.10725838564340268</c:v>
                </c:pt>
                <c:pt idx="7">
                  <c:v>0.12375003914866201</c:v>
                </c:pt>
                <c:pt idx="8">
                  <c:v>0.18794042244761908</c:v>
                </c:pt>
                <c:pt idx="9">
                  <c:v>0.31067930758320772</c:v>
                </c:pt>
                <c:pt idx="10">
                  <c:v>0</c:v>
                </c:pt>
                <c:pt idx="11">
                  <c:v>0</c:v>
                </c:pt>
                <c:pt idx="12">
                  <c:v>0</c:v>
                </c:pt>
                <c:pt idx="13">
                  <c:v>0.37588084489523815</c:v>
                </c:pt>
                <c:pt idx="14">
                  <c:v>0</c:v>
                </c:pt>
                <c:pt idx="15">
                  <c:v>0</c:v>
                </c:pt>
                <c:pt idx="16">
                  <c:v>0.2819106336714286</c:v>
                </c:pt>
                <c:pt idx="17">
                  <c:v>0</c:v>
                </c:pt>
                <c:pt idx="18">
                  <c:v>0</c:v>
                </c:pt>
                <c:pt idx="19">
                  <c:v>0</c:v>
                </c:pt>
                <c:pt idx="20">
                  <c:v>0</c:v>
                </c:pt>
                <c:pt idx="21">
                  <c:v>0</c:v>
                </c:pt>
                <c:pt idx="22">
                  <c:v>1.6832090270103399</c:v>
                </c:pt>
              </c:numCache>
            </c:numRef>
          </c:val>
          <c:extLst>
            <c:ext xmlns:c16="http://schemas.microsoft.com/office/drawing/2014/chart" uri="{C3380CC4-5D6E-409C-BE32-E72D297353CC}">
              <c16:uniqueId val="{00000000-21B1-4BAF-A839-0AB58C1A6409}"/>
            </c:ext>
          </c:extLst>
        </c:ser>
        <c:ser>
          <c:idx val="1"/>
          <c:order val="1"/>
          <c:tx>
            <c:v>Import usługi</c:v>
          </c:tx>
          <c:spPr>
            <a:ln w="19050" cap="rnd">
              <a:solidFill>
                <a:schemeClr val="accent2"/>
              </a:solidFill>
              <a:round/>
            </a:ln>
            <a:effectLst/>
          </c:spPr>
          <c:marker>
            <c:symbol val="none"/>
          </c:marker>
          <c:cat>
            <c:strRef>
              <c:f>'Bilans-Zbiorczy'!$V$6:$AR$6</c:f>
              <c:strCache>
                <c:ptCount val="23"/>
                <c:pt idx="0">
                  <c:v>Szczytno (miasto)</c:v>
                </c:pt>
                <c:pt idx="1">
                  <c:v>Biała Piska</c:v>
                </c:pt>
                <c:pt idx="2">
                  <c:v>Lidzbark</c:v>
                </c:pt>
                <c:pt idx="3">
                  <c:v>Nidzica</c:v>
                </c:pt>
                <c:pt idx="4">
                  <c:v>Orzysz</c:v>
                </c:pt>
                <c:pt idx="5">
                  <c:v>Pasym</c:v>
                </c:pt>
                <c:pt idx="6">
                  <c:v>Pisz</c:v>
                </c:pt>
                <c:pt idx="7">
                  <c:v>Ruciane-Nida</c:v>
                </c:pt>
                <c:pt idx="8">
                  <c:v>Wielbark</c:v>
                </c:pt>
                <c:pt idx="9">
                  <c:v>Działdowo (miasto)</c:v>
                </c:pt>
                <c:pt idx="10">
                  <c:v>Działdowo (gmina)</c:v>
                </c:pt>
                <c:pt idx="11">
                  <c:v>Dźwierzuty</c:v>
                </c:pt>
                <c:pt idx="12">
                  <c:v>Iłowo-Osada</c:v>
                </c:pt>
                <c:pt idx="13">
                  <c:v>Janowiec Kościelny</c:v>
                </c:pt>
                <c:pt idx="14">
                  <c:v>Janowo</c:v>
                </c:pt>
                <c:pt idx="15">
                  <c:v>Jedwabno</c:v>
                </c:pt>
                <c:pt idx="16">
                  <c:v>Kozłowo</c:v>
                </c:pt>
                <c:pt idx="17">
                  <c:v>Płośnica</c:v>
                </c:pt>
                <c:pt idx="18">
                  <c:v>Rozogi</c:v>
                </c:pt>
                <c:pt idx="19">
                  <c:v>Rybno</c:v>
                </c:pt>
                <c:pt idx="20">
                  <c:v>Szczytno (gmina)</c:v>
                </c:pt>
                <c:pt idx="21">
                  <c:v>Świętajno</c:v>
                </c:pt>
                <c:pt idx="22">
                  <c:v>Poza partnerstwem</c:v>
                </c:pt>
              </c:strCache>
            </c:strRef>
          </c:cat>
          <c:val>
            <c:numRef>
              <c:f>'Bilans-Zbiorczy'!$BB$132:$BX$132</c:f>
              <c:numCache>
                <c:formatCode>0.00</c:formatCode>
                <c:ptCount val="23"/>
                <c:pt idx="0">
                  <c:v>-9.4341564246309961E-2</c:v>
                </c:pt>
                <c:pt idx="1">
                  <c:v>-0.12375003914866201</c:v>
                </c:pt>
                <c:pt idx="2">
                  <c:v>-2.507304021797975E-2</c:v>
                </c:pt>
                <c:pt idx="3">
                  <c:v>0</c:v>
                </c:pt>
                <c:pt idx="4">
                  <c:v>0</c:v>
                </c:pt>
                <c:pt idx="5">
                  <c:v>-4.8736728603578409E-2</c:v>
                </c:pt>
                <c:pt idx="6">
                  <c:v>-0.19525562957759712</c:v>
                </c:pt>
                <c:pt idx="7">
                  <c:v>0</c:v>
                </c:pt>
                <c:pt idx="8">
                  <c:v>-3.2491152402385606E-2</c:v>
                </c:pt>
                <c:pt idx="9">
                  <c:v>0</c:v>
                </c:pt>
                <c:pt idx="10">
                  <c:v>-5.01460804359595E-2</c:v>
                </c:pt>
                <c:pt idx="11">
                  <c:v>0</c:v>
                </c:pt>
                <c:pt idx="12">
                  <c:v>0</c:v>
                </c:pt>
                <c:pt idx="13">
                  <c:v>0</c:v>
                </c:pt>
                <c:pt idx="14">
                  <c:v>-0.2819106336714286</c:v>
                </c:pt>
                <c:pt idx="15">
                  <c:v>0</c:v>
                </c:pt>
                <c:pt idx="16">
                  <c:v>-0.46985105611904771</c:v>
                </c:pt>
                <c:pt idx="17">
                  <c:v>0</c:v>
                </c:pt>
                <c:pt idx="18">
                  <c:v>-2.5833642794185416E-2</c:v>
                </c:pt>
                <c:pt idx="19">
                  <c:v>0</c:v>
                </c:pt>
                <c:pt idx="20">
                  <c:v>-1.6245576201192803E-2</c:v>
                </c:pt>
                <c:pt idx="21">
                  <c:v>0</c:v>
                </c:pt>
                <c:pt idx="22">
                  <c:v>-0.41915018321573821</c:v>
                </c:pt>
              </c:numCache>
            </c:numRef>
          </c:val>
          <c:extLst>
            <c:ext xmlns:c16="http://schemas.microsoft.com/office/drawing/2014/chart" uri="{C3380CC4-5D6E-409C-BE32-E72D297353CC}">
              <c16:uniqueId val="{00000001-21B1-4BAF-A839-0AB58C1A6409}"/>
            </c:ext>
          </c:extLst>
        </c:ser>
        <c:dLbls>
          <c:showLegendKey val="0"/>
          <c:showVal val="0"/>
          <c:showCatName val="0"/>
          <c:showSerName val="0"/>
          <c:showPercent val="0"/>
          <c:showBubbleSize val="0"/>
        </c:dLbls>
        <c:axId val="1804947263"/>
        <c:axId val="1569326143"/>
      </c:radarChart>
      <c:catAx>
        <c:axId val="1804947263"/>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pl-PL"/>
          </a:p>
        </c:txPr>
        <c:crossAx val="1569326143"/>
        <c:crosses val="autoZero"/>
        <c:auto val="1"/>
        <c:lblAlgn val="ctr"/>
        <c:lblOffset val="100"/>
        <c:noMultiLvlLbl val="0"/>
      </c:catAx>
      <c:valAx>
        <c:axId val="1569326143"/>
        <c:scaling>
          <c:orientation val="minMax"/>
          <c:max val="3.5"/>
          <c:min val="-2.5"/>
        </c:scaling>
        <c:delete val="0"/>
        <c:axPos val="l"/>
        <c:majorGridlines>
          <c:spPr>
            <a:ln w="9525" cap="flat" cmpd="sng" algn="ctr">
              <a:solidFill>
                <a:schemeClr val="tx1">
                  <a:lumMod val="15000"/>
                  <a:lumOff val="85000"/>
                </a:schemeClr>
              </a:solidFill>
              <a:round/>
            </a:ln>
            <a:effectLst/>
          </c:spPr>
        </c:majorGridlines>
        <c:numFmt formatCode="0_ ;[Red]\-0\ " sourceLinked="0"/>
        <c:majorTickMark val="cross"/>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pl-PL"/>
          </a:p>
        </c:txPr>
        <c:crossAx val="1804947263"/>
        <c:crosses val="autoZero"/>
        <c:crossBetween val="between"/>
        <c:majorUnit val="1"/>
      </c:valAx>
      <c:spPr>
        <a:noFill/>
        <a:ln>
          <a:noFill/>
        </a:ln>
        <a:effectLst/>
      </c:spPr>
    </c:plotArea>
    <c:legend>
      <c:legendPos val="b"/>
      <c:layout>
        <c:manualLayout>
          <c:xMode val="edge"/>
          <c:yMode val="edge"/>
          <c:x val="1.537992125984252E-2"/>
          <c:y val="0.83391149023038769"/>
          <c:w val="0.21924015748031497"/>
          <c:h val="0.1197922134733158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solidFill>
      <a:round/>
    </a:ln>
    <a:effectLst/>
  </c:spPr>
  <c:txPr>
    <a:bodyPr/>
    <a:lstStyle/>
    <a:p>
      <a:pPr>
        <a:defRPr/>
      </a:pPr>
      <a:endParaRPr lang="pl-PL"/>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1287027863238948"/>
          <c:y val="8.6200621981075892E-2"/>
          <c:w val="0.40950687455458795"/>
          <c:h val="0.80358074149113423"/>
        </c:manualLayout>
      </c:layout>
      <c:radarChart>
        <c:radarStyle val="marker"/>
        <c:varyColors val="0"/>
        <c:ser>
          <c:idx val="0"/>
          <c:order val="0"/>
          <c:tx>
            <c:strRef>
              <c:f>'[kultura organizacyjna - zbiorówka.xlsx]Arkusz1'!$B$1</c:f>
              <c:strCache>
                <c:ptCount val="1"/>
                <c:pt idx="0">
                  <c:v>Stan obecny </c:v>
                </c:pt>
              </c:strCache>
            </c:strRef>
          </c:tx>
          <c:spPr>
            <a:ln w="28575" cap="rnd">
              <a:solidFill>
                <a:schemeClr val="accent1"/>
              </a:solidFill>
              <a:round/>
            </a:ln>
            <a:effectLst/>
          </c:spPr>
          <c:marker>
            <c:symbol val="none"/>
          </c:marker>
          <c:cat>
            <c:strRef>
              <c:f>'[kultura organizacyjna - zbiorówka.xlsx]Arkusz1'!$A$2:$A$5</c:f>
              <c:strCache>
                <c:ptCount val="4"/>
                <c:pt idx="0">
                  <c:v>A - KLAN</c:v>
                </c:pt>
                <c:pt idx="1">
                  <c:v>B - ADHOKRACJA </c:v>
                </c:pt>
                <c:pt idx="2">
                  <c:v>C- RYNEK</c:v>
                </c:pt>
                <c:pt idx="3">
                  <c:v>D - HIERARCHIA</c:v>
                </c:pt>
              </c:strCache>
            </c:strRef>
          </c:cat>
          <c:val>
            <c:numRef>
              <c:f>'[kultura organizacyjna - zbiorówka.xlsx]Arkusz1'!$B$2:$B$5</c:f>
              <c:numCache>
                <c:formatCode>0.00</c:formatCode>
                <c:ptCount val="4"/>
                <c:pt idx="0">
                  <c:v>24.858187133976632</c:v>
                </c:pt>
                <c:pt idx="1">
                  <c:v>23.973684210701737</c:v>
                </c:pt>
                <c:pt idx="2">
                  <c:v>22.492690058812844</c:v>
                </c:pt>
                <c:pt idx="3">
                  <c:v>28.356725145847946</c:v>
                </c:pt>
              </c:numCache>
            </c:numRef>
          </c:val>
          <c:extLst>
            <c:ext xmlns:c16="http://schemas.microsoft.com/office/drawing/2014/chart" uri="{C3380CC4-5D6E-409C-BE32-E72D297353CC}">
              <c16:uniqueId val="{00000000-7EEA-41FF-BFBC-2D75C7E7F3B2}"/>
            </c:ext>
          </c:extLst>
        </c:ser>
        <c:ser>
          <c:idx val="1"/>
          <c:order val="1"/>
          <c:tx>
            <c:strRef>
              <c:f>'[kultura organizacyjna - zbiorówka.xlsx]Arkusz1'!$C$1</c:f>
              <c:strCache>
                <c:ptCount val="1"/>
                <c:pt idx="0">
                  <c:v>Stan pożądany</c:v>
                </c:pt>
              </c:strCache>
            </c:strRef>
          </c:tx>
          <c:spPr>
            <a:ln w="28575" cap="rnd">
              <a:solidFill>
                <a:schemeClr val="accent2"/>
              </a:solidFill>
              <a:round/>
            </a:ln>
            <a:effectLst/>
          </c:spPr>
          <c:marker>
            <c:symbol val="none"/>
          </c:marker>
          <c:cat>
            <c:strRef>
              <c:f>'[kultura organizacyjna - zbiorówka.xlsx]Arkusz1'!$A$2:$A$5</c:f>
              <c:strCache>
                <c:ptCount val="4"/>
                <c:pt idx="0">
                  <c:v>A - KLAN</c:v>
                </c:pt>
                <c:pt idx="1">
                  <c:v>B - ADHOKRACJA </c:v>
                </c:pt>
                <c:pt idx="2">
                  <c:v>C- RYNEK</c:v>
                </c:pt>
                <c:pt idx="3">
                  <c:v>D - HIERARCHIA</c:v>
                </c:pt>
              </c:strCache>
            </c:strRef>
          </c:cat>
          <c:val>
            <c:numRef>
              <c:f>'[kultura organizacyjna - zbiorówka.xlsx]Arkusz1'!$C$2:$C$5</c:f>
              <c:numCache>
                <c:formatCode>0.00</c:formatCode>
                <c:ptCount val="4"/>
                <c:pt idx="0">
                  <c:v>32.156432748713478</c:v>
                </c:pt>
                <c:pt idx="1">
                  <c:v>26.856725146549735</c:v>
                </c:pt>
                <c:pt idx="2">
                  <c:v>17.780701754543841</c:v>
                </c:pt>
                <c:pt idx="3">
                  <c:v>23.459064328011685</c:v>
                </c:pt>
              </c:numCache>
            </c:numRef>
          </c:val>
          <c:extLst>
            <c:ext xmlns:c16="http://schemas.microsoft.com/office/drawing/2014/chart" uri="{C3380CC4-5D6E-409C-BE32-E72D297353CC}">
              <c16:uniqueId val="{00000001-7EEA-41FF-BFBC-2D75C7E7F3B2}"/>
            </c:ext>
          </c:extLst>
        </c:ser>
        <c:dLbls>
          <c:showLegendKey val="0"/>
          <c:showVal val="0"/>
          <c:showCatName val="0"/>
          <c:showSerName val="0"/>
          <c:showPercent val="0"/>
          <c:showBubbleSize val="0"/>
        </c:dLbls>
        <c:axId val="336918111"/>
        <c:axId val="336916863"/>
      </c:radarChart>
      <c:catAx>
        <c:axId val="33691811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accent1">
                    <a:lumMod val="75000"/>
                  </a:schemeClr>
                </a:solidFill>
                <a:latin typeface="+mn-lt"/>
                <a:ea typeface="+mn-ea"/>
                <a:cs typeface="+mn-cs"/>
              </a:defRPr>
            </a:pPr>
            <a:endParaRPr lang="pl-PL"/>
          </a:p>
        </c:txPr>
        <c:crossAx val="336916863"/>
        <c:crosses val="autoZero"/>
        <c:auto val="1"/>
        <c:lblAlgn val="ctr"/>
        <c:lblOffset val="100"/>
        <c:noMultiLvlLbl val="0"/>
      </c:catAx>
      <c:valAx>
        <c:axId val="336916863"/>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crossAx val="336918111"/>
        <c:crosses val="autoZero"/>
        <c:crossBetween val="between"/>
      </c:valAx>
      <c:spPr>
        <a:noFill/>
        <a:ln>
          <a:noFill/>
        </a:ln>
        <a:effectLst/>
      </c:spPr>
    </c:plotArea>
    <c:legend>
      <c:legendPos val="t"/>
      <c:layout>
        <c:manualLayout>
          <c:xMode val="edge"/>
          <c:yMode val="edge"/>
          <c:x val="3.4345830943317515E-2"/>
          <c:y val="7.8515790364914059E-2"/>
          <c:w val="0.22049138725209017"/>
          <c:h val="9.6074922452875203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solidFill>
      <a:round/>
    </a:ln>
    <a:effectLst/>
  </c:spPr>
  <c:txPr>
    <a:bodyPr/>
    <a:lstStyle/>
    <a:p>
      <a:pPr>
        <a:defRPr/>
      </a:pPr>
      <a:endParaRPr lang="pl-PL"/>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2798531109741383E-2"/>
          <c:y val="5.360623781676413E-2"/>
          <c:w val="0.93294568057713845"/>
          <c:h val="0.7045947107488757"/>
        </c:manualLayout>
      </c:layout>
      <c:lineChart>
        <c:grouping val="standard"/>
        <c:varyColors val="0"/>
        <c:ser>
          <c:idx val="0"/>
          <c:order val="0"/>
          <c:tx>
            <c:strRef>
              <c:f>'podmioty gospodarcze wykresy'!$A$3</c:f>
              <c:strCache>
                <c:ptCount val="1"/>
                <c:pt idx="0">
                  <c:v>Polska</c:v>
                </c:pt>
              </c:strCache>
            </c:strRef>
          </c:tx>
          <c:spPr>
            <a:ln w="28575" cap="rnd">
              <a:solidFill>
                <a:schemeClr val="tx1"/>
              </a:solidFill>
              <a:round/>
            </a:ln>
            <a:effectLst/>
          </c:spPr>
          <c:marker>
            <c:symbol val="none"/>
          </c:marker>
          <c:cat>
            <c:numRef>
              <c:f>'podmioty gospodarcze wykresy'!$B$2:$K$2</c:f>
              <c:numCache>
                <c:formatCode>General</c:formatCode>
                <c:ptCount val="10"/>
                <c:pt idx="0">
                  <c:v>2010</c:v>
                </c:pt>
                <c:pt idx="1">
                  <c:v>2011</c:v>
                </c:pt>
                <c:pt idx="2">
                  <c:v>2012</c:v>
                </c:pt>
                <c:pt idx="3">
                  <c:v>2013</c:v>
                </c:pt>
                <c:pt idx="4">
                  <c:v>2014</c:v>
                </c:pt>
                <c:pt idx="5">
                  <c:v>2015</c:v>
                </c:pt>
                <c:pt idx="6">
                  <c:v>2016</c:v>
                </c:pt>
                <c:pt idx="7">
                  <c:v>2017</c:v>
                </c:pt>
                <c:pt idx="8">
                  <c:v>2018</c:v>
                </c:pt>
                <c:pt idx="9">
                  <c:v>2019</c:v>
                </c:pt>
              </c:numCache>
            </c:numRef>
          </c:cat>
          <c:val>
            <c:numRef>
              <c:f>'podmioty gospodarcze wykresy'!$B$3:$K$3</c:f>
              <c:numCache>
                <c:formatCode>General</c:formatCode>
                <c:ptCount val="10"/>
                <c:pt idx="0">
                  <c:v>8.1999999999999993</c:v>
                </c:pt>
                <c:pt idx="1">
                  <c:v>8.1</c:v>
                </c:pt>
                <c:pt idx="2">
                  <c:v>7.7</c:v>
                </c:pt>
                <c:pt idx="3">
                  <c:v>7.7</c:v>
                </c:pt>
                <c:pt idx="4">
                  <c:v>7.7</c:v>
                </c:pt>
                <c:pt idx="5">
                  <c:v>7.7</c:v>
                </c:pt>
                <c:pt idx="6">
                  <c:v>7.7</c:v>
                </c:pt>
                <c:pt idx="7">
                  <c:v>7.7</c:v>
                </c:pt>
                <c:pt idx="8">
                  <c:v>7.4</c:v>
                </c:pt>
                <c:pt idx="9">
                  <c:v>7.2</c:v>
                </c:pt>
              </c:numCache>
            </c:numRef>
          </c:val>
          <c:smooth val="0"/>
          <c:extLst>
            <c:ext xmlns:c16="http://schemas.microsoft.com/office/drawing/2014/chart" uri="{C3380CC4-5D6E-409C-BE32-E72D297353CC}">
              <c16:uniqueId val="{00000000-E1B8-4E6F-B0D7-2F77E543CDB1}"/>
            </c:ext>
          </c:extLst>
        </c:ser>
        <c:ser>
          <c:idx val="1"/>
          <c:order val="1"/>
          <c:tx>
            <c:strRef>
              <c:f>'podmioty gospodarcze wykresy'!$A$4</c:f>
              <c:strCache>
                <c:ptCount val="1"/>
                <c:pt idx="0">
                  <c:v>Województwo warmińsko-mazurskie</c:v>
                </c:pt>
              </c:strCache>
            </c:strRef>
          </c:tx>
          <c:spPr>
            <a:ln w="28575" cap="rnd">
              <a:solidFill>
                <a:schemeClr val="accent3"/>
              </a:solidFill>
              <a:round/>
            </a:ln>
            <a:effectLst/>
          </c:spPr>
          <c:marker>
            <c:symbol val="none"/>
          </c:marker>
          <c:cat>
            <c:numRef>
              <c:f>'podmioty gospodarcze wykresy'!$B$2:$K$2</c:f>
              <c:numCache>
                <c:formatCode>General</c:formatCode>
                <c:ptCount val="10"/>
                <c:pt idx="0">
                  <c:v>2010</c:v>
                </c:pt>
                <c:pt idx="1">
                  <c:v>2011</c:v>
                </c:pt>
                <c:pt idx="2">
                  <c:v>2012</c:v>
                </c:pt>
                <c:pt idx="3">
                  <c:v>2013</c:v>
                </c:pt>
                <c:pt idx="4">
                  <c:v>2014</c:v>
                </c:pt>
                <c:pt idx="5">
                  <c:v>2015</c:v>
                </c:pt>
                <c:pt idx="6">
                  <c:v>2016</c:v>
                </c:pt>
                <c:pt idx="7">
                  <c:v>2017</c:v>
                </c:pt>
                <c:pt idx="8">
                  <c:v>2018</c:v>
                </c:pt>
                <c:pt idx="9">
                  <c:v>2019</c:v>
                </c:pt>
              </c:numCache>
            </c:numRef>
          </c:cat>
          <c:val>
            <c:numRef>
              <c:f>'podmioty gospodarcze wykresy'!$B$4:$K$4</c:f>
              <c:numCache>
                <c:formatCode>General</c:formatCode>
                <c:ptCount val="10"/>
                <c:pt idx="0">
                  <c:v>7.1</c:v>
                </c:pt>
                <c:pt idx="1">
                  <c:v>7</c:v>
                </c:pt>
                <c:pt idx="2">
                  <c:v>6.3</c:v>
                </c:pt>
                <c:pt idx="3">
                  <c:v>6.2</c:v>
                </c:pt>
                <c:pt idx="4">
                  <c:v>6.2</c:v>
                </c:pt>
                <c:pt idx="5">
                  <c:v>6.2</c:v>
                </c:pt>
                <c:pt idx="6">
                  <c:v>6.2</c:v>
                </c:pt>
                <c:pt idx="7">
                  <c:v>6.1</c:v>
                </c:pt>
                <c:pt idx="8">
                  <c:v>6</c:v>
                </c:pt>
                <c:pt idx="9">
                  <c:v>5.9</c:v>
                </c:pt>
              </c:numCache>
            </c:numRef>
          </c:val>
          <c:smooth val="0"/>
          <c:extLst>
            <c:ext xmlns:c16="http://schemas.microsoft.com/office/drawing/2014/chart" uri="{C3380CC4-5D6E-409C-BE32-E72D297353CC}">
              <c16:uniqueId val="{00000001-E1B8-4E6F-B0D7-2F77E543CDB1}"/>
            </c:ext>
          </c:extLst>
        </c:ser>
        <c:ser>
          <c:idx val="2"/>
          <c:order val="2"/>
          <c:tx>
            <c:strRef>
              <c:f>'podmioty gospodarcze wykresy'!$A$5</c:f>
              <c:strCache>
                <c:ptCount val="1"/>
                <c:pt idx="0">
                  <c:v>Powiat działdowski</c:v>
                </c:pt>
              </c:strCache>
            </c:strRef>
          </c:tx>
          <c:spPr>
            <a:ln w="28575" cap="rnd">
              <a:solidFill>
                <a:schemeClr val="accent2"/>
              </a:solidFill>
              <a:round/>
            </a:ln>
            <a:effectLst/>
          </c:spPr>
          <c:marker>
            <c:symbol val="none"/>
          </c:marker>
          <c:cat>
            <c:numRef>
              <c:f>'podmioty gospodarcze wykresy'!$B$2:$K$2</c:f>
              <c:numCache>
                <c:formatCode>General</c:formatCode>
                <c:ptCount val="10"/>
                <c:pt idx="0">
                  <c:v>2010</c:v>
                </c:pt>
                <c:pt idx="1">
                  <c:v>2011</c:v>
                </c:pt>
                <c:pt idx="2">
                  <c:v>2012</c:v>
                </c:pt>
                <c:pt idx="3">
                  <c:v>2013</c:v>
                </c:pt>
                <c:pt idx="4">
                  <c:v>2014</c:v>
                </c:pt>
                <c:pt idx="5">
                  <c:v>2015</c:v>
                </c:pt>
                <c:pt idx="6">
                  <c:v>2016</c:v>
                </c:pt>
                <c:pt idx="7">
                  <c:v>2017</c:v>
                </c:pt>
                <c:pt idx="8">
                  <c:v>2018</c:v>
                </c:pt>
                <c:pt idx="9">
                  <c:v>2019</c:v>
                </c:pt>
              </c:numCache>
            </c:numRef>
          </c:cat>
          <c:val>
            <c:numRef>
              <c:f>'podmioty gospodarcze wykresy'!$B$5:$K$5</c:f>
              <c:numCache>
                <c:formatCode>General</c:formatCode>
                <c:ptCount val="10"/>
                <c:pt idx="0">
                  <c:v>6.5</c:v>
                </c:pt>
                <c:pt idx="1">
                  <c:v>6.9</c:v>
                </c:pt>
                <c:pt idx="2">
                  <c:v>6.1</c:v>
                </c:pt>
                <c:pt idx="3">
                  <c:v>6.2</c:v>
                </c:pt>
                <c:pt idx="4">
                  <c:v>6.1</c:v>
                </c:pt>
                <c:pt idx="5">
                  <c:v>6</c:v>
                </c:pt>
                <c:pt idx="6">
                  <c:v>6</c:v>
                </c:pt>
                <c:pt idx="7" formatCode="0.0">
                  <c:v>5.9</c:v>
                </c:pt>
                <c:pt idx="8">
                  <c:v>6</c:v>
                </c:pt>
                <c:pt idx="9">
                  <c:v>5.8</c:v>
                </c:pt>
              </c:numCache>
            </c:numRef>
          </c:val>
          <c:smooth val="0"/>
          <c:extLst>
            <c:ext xmlns:c16="http://schemas.microsoft.com/office/drawing/2014/chart" uri="{C3380CC4-5D6E-409C-BE32-E72D297353CC}">
              <c16:uniqueId val="{00000002-E1B8-4E6F-B0D7-2F77E543CDB1}"/>
            </c:ext>
          </c:extLst>
        </c:ser>
        <c:ser>
          <c:idx val="3"/>
          <c:order val="3"/>
          <c:tx>
            <c:strRef>
              <c:f>'podmioty gospodarcze wykresy'!$A$6</c:f>
              <c:strCache>
                <c:ptCount val="1"/>
                <c:pt idx="0">
                  <c:v>Powiat nidzicki</c:v>
                </c:pt>
              </c:strCache>
            </c:strRef>
          </c:tx>
          <c:spPr>
            <a:ln w="28575" cap="rnd">
              <a:solidFill>
                <a:schemeClr val="accent4"/>
              </a:solidFill>
              <a:round/>
            </a:ln>
            <a:effectLst/>
          </c:spPr>
          <c:marker>
            <c:symbol val="none"/>
          </c:marker>
          <c:cat>
            <c:numRef>
              <c:f>'podmioty gospodarcze wykresy'!$B$2:$K$2</c:f>
              <c:numCache>
                <c:formatCode>General</c:formatCode>
                <c:ptCount val="10"/>
                <c:pt idx="0">
                  <c:v>2010</c:v>
                </c:pt>
                <c:pt idx="1">
                  <c:v>2011</c:v>
                </c:pt>
                <c:pt idx="2">
                  <c:v>2012</c:v>
                </c:pt>
                <c:pt idx="3">
                  <c:v>2013</c:v>
                </c:pt>
                <c:pt idx="4">
                  <c:v>2014</c:v>
                </c:pt>
                <c:pt idx="5">
                  <c:v>2015</c:v>
                </c:pt>
                <c:pt idx="6">
                  <c:v>2016</c:v>
                </c:pt>
                <c:pt idx="7">
                  <c:v>2017</c:v>
                </c:pt>
                <c:pt idx="8">
                  <c:v>2018</c:v>
                </c:pt>
                <c:pt idx="9">
                  <c:v>2019</c:v>
                </c:pt>
              </c:numCache>
            </c:numRef>
          </c:cat>
          <c:val>
            <c:numRef>
              <c:f>'podmioty gospodarcze wykresy'!$B$6:$K$6</c:f>
              <c:numCache>
                <c:formatCode>General</c:formatCode>
                <c:ptCount val="10"/>
                <c:pt idx="0">
                  <c:v>6.3</c:v>
                </c:pt>
                <c:pt idx="1">
                  <c:v>6.3</c:v>
                </c:pt>
                <c:pt idx="2">
                  <c:v>6.3</c:v>
                </c:pt>
                <c:pt idx="3">
                  <c:v>6.3</c:v>
                </c:pt>
                <c:pt idx="4">
                  <c:v>6.2</c:v>
                </c:pt>
                <c:pt idx="5">
                  <c:v>6.2</c:v>
                </c:pt>
                <c:pt idx="6">
                  <c:v>6.3</c:v>
                </c:pt>
                <c:pt idx="7" formatCode="0.0">
                  <c:v>5.9</c:v>
                </c:pt>
                <c:pt idx="8">
                  <c:v>5.9</c:v>
                </c:pt>
                <c:pt idx="9">
                  <c:v>5.9</c:v>
                </c:pt>
              </c:numCache>
            </c:numRef>
          </c:val>
          <c:smooth val="0"/>
          <c:extLst>
            <c:ext xmlns:c16="http://schemas.microsoft.com/office/drawing/2014/chart" uri="{C3380CC4-5D6E-409C-BE32-E72D297353CC}">
              <c16:uniqueId val="{00000003-E1B8-4E6F-B0D7-2F77E543CDB1}"/>
            </c:ext>
          </c:extLst>
        </c:ser>
        <c:ser>
          <c:idx val="4"/>
          <c:order val="4"/>
          <c:tx>
            <c:strRef>
              <c:f>'podmioty gospodarcze wykresy'!$A$7</c:f>
              <c:strCache>
                <c:ptCount val="1"/>
                <c:pt idx="0">
                  <c:v>Powiat piski</c:v>
                </c:pt>
              </c:strCache>
            </c:strRef>
          </c:tx>
          <c:spPr>
            <a:ln w="28575" cap="rnd">
              <a:solidFill>
                <a:schemeClr val="accent5"/>
              </a:solidFill>
              <a:round/>
            </a:ln>
            <a:effectLst/>
          </c:spPr>
          <c:marker>
            <c:symbol val="none"/>
          </c:marker>
          <c:cat>
            <c:numRef>
              <c:f>'podmioty gospodarcze wykresy'!$B$2:$K$2</c:f>
              <c:numCache>
                <c:formatCode>General</c:formatCode>
                <c:ptCount val="10"/>
                <c:pt idx="0">
                  <c:v>2010</c:v>
                </c:pt>
                <c:pt idx="1">
                  <c:v>2011</c:v>
                </c:pt>
                <c:pt idx="2">
                  <c:v>2012</c:v>
                </c:pt>
                <c:pt idx="3">
                  <c:v>2013</c:v>
                </c:pt>
                <c:pt idx="4">
                  <c:v>2014</c:v>
                </c:pt>
                <c:pt idx="5">
                  <c:v>2015</c:v>
                </c:pt>
                <c:pt idx="6">
                  <c:v>2016</c:v>
                </c:pt>
                <c:pt idx="7">
                  <c:v>2017</c:v>
                </c:pt>
                <c:pt idx="8">
                  <c:v>2018</c:v>
                </c:pt>
                <c:pt idx="9">
                  <c:v>2019</c:v>
                </c:pt>
              </c:numCache>
            </c:numRef>
          </c:cat>
          <c:val>
            <c:numRef>
              <c:f>'podmioty gospodarcze wykresy'!$B$7:$K$7</c:f>
              <c:numCache>
                <c:formatCode>General</c:formatCode>
                <c:ptCount val="10"/>
                <c:pt idx="0">
                  <c:v>5.3</c:v>
                </c:pt>
                <c:pt idx="1">
                  <c:v>5</c:v>
                </c:pt>
                <c:pt idx="2">
                  <c:v>4.5</c:v>
                </c:pt>
                <c:pt idx="3">
                  <c:v>4.2</c:v>
                </c:pt>
                <c:pt idx="4">
                  <c:v>4.2</c:v>
                </c:pt>
                <c:pt idx="5">
                  <c:v>4.3</c:v>
                </c:pt>
                <c:pt idx="6">
                  <c:v>4.3</c:v>
                </c:pt>
                <c:pt idx="7">
                  <c:v>4.3</c:v>
                </c:pt>
                <c:pt idx="8">
                  <c:v>4.2</c:v>
                </c:pt>
                <c:pt idx="9">
                  <c:v>3.9</c:v>
                </c:pt>
              </c:numCache>
            </c:numRef>
          </c:val>
          <c:smooth val="0"/>
          <c:extLst>
            <c:ext xmlns:c16="http://schemas.microsoft.com/office/drawing/2014/chart" uri="{C3380CC4-5D6E-409C-BE32-E72D297353CC}">
              <c16:uniqueId val="{00000004-E1B8-4E6F-B0D7-2F77E543CDB1}"/>
            </c:ext>
          </c:extLst>
        </c:ser>
        <c:ser>
          <c:idx val="5"/>
          <c:order val="5"/>
          <c:tx>
            <c:strRef>
              <c:f>'podmioty gospodarcze wykresy'!$A$8</c:f>
              <c:strCache>
                <c:ptCount val="1"/>
                <c:pt idx="0">
                  <c:v>Powiat szczycieński</c:v>
                </c:pt>
              </c:strCache>
            </c:strRef>
          </c:tx>
          <c:spPr>
            <a:ln w="28575" cap="rnd">
              <a:solidFill>
                <a:schemeClr val="accent6"/>
              </a:solidFill>
              <a:round/>
            </a:ln>
            <a:effectLst/>
          </c:spPr>
          <c:marker>
            <c:symbol val="none"/>
          </c:marker>
          <c:cat>
            <c:numRef>
              <c:f>'podmioty gospodarcze wykresy'!$B$2:$K$2</c:f>
              <c:numCache>
                <c:formatCode>General</c:formatCode>
                <c:ptCount val="10"/>
                <c:pt idx="0">
                  <c:v>2010</c:v>
                </c:pt>
                <c:pt idx="1">
                  <c:v>2011</c:v>
                </c:pt>
                <c:pt idx="2">
                  <c:v>2012</c:v>
                </c:pt>
                <c:pt idx="3">
                  <c:v>2013</c:v>
                </c:pt>
                <c:pt idx="4">
                  <c:v>2014</c:v>
                </c:pt>
                <c:pt idx="5">
                  <c:v>2015</c:v>
                </c:pt>
                <c:pt idx="6">
                  <c:v>2016</c:v>
                </c:pt>
                <c:pt idx="7">
                  <c:v>2017</c:v>
                </c:pt>
                <c:pt idx="8">
                  <c:v>2018</c:v>
                </c:pt>
                <c:pt idx="9">
                  <c:v>2019</c:v>
                </c:pt>
              </c:numCache>
            </c:numRef>
          </c:cat>
          <c:val>
            <c:numRef>
              <c:f>'podmioty gospodarcze wykresy'!$B$8:$K$8</c:f>
              <c:numCache>
                <c:formatCode>General</c:formatCode>
                <c:ptCount val="10"/>
                <c:pt idx="0">
                  <c:v>5.5</c:v>
                </c:pt>
                <c:pt idx="1">
                  <c:v>5.4</c:v>
                </c:pt>
                <c:pt idx="2">
                  <c:v>5.2</c:v>
                </c:pt>
                <c:pt idx="3">
                  <c:v>5.0999999999999996</c:v>
                </c:pt>
                <c:pt idx="4">
                  <c:v>5.0999999999999996</c:v>
                </c:pt>
                <c:pt idx="5">
                  <c:v>5.2</c:v>
                </c:pt>
                <c:pt idx="6">
                  <c:v>5.2</c:v>
                </c:pt>
                <c:pt idx="7">
                  <c:v>5</c:v>
                </c:pt>
                <c:pt idx="8">
                  <c:v>4.7</c:v>
                </c:pt>
                <c:pt idx="9">
                  <c:v>4.5</c:v>
                </c:pt>
              </c:numCache>
            </c:numRef>
          </c:val>
          <c:smooth val="0"/>
          <c:extLst>
            <c:ext xmlns:c16="http://schemas.microsoft.com/office/drawing/2014/chart" uri="{C3380CC4-5D6E-409C-BE32-E72D297353CC}">
              <c16:uniqueId val="{00000005-E1B8-4E6F-B0D7-2F77E543CDB1}"/>
            </c:ext>
          </c:extLst>
        </c:ser>
        <c:dLbls>
          <c:showLegendKey val="0"/>
          <c:showVal val="0"/>
          <c:showCatName val="0"/>
          <c:showSerName val="0"/>
          <c:showPercent val="0"/>
          <c:showBubbleSize val="0"/>
        </c:dLbls>
        <c:smooth val="0"/>
        <c:axId val="875175712"/>
        <c:axId val="875177280"/>
      </c:lineChart>
      <c:catAx>
        <c:axId val="8751757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875177280"/>
        <c:crosses val="autoZero"/>
        <c:auto val="1"/>
        <c:lblAlgn val="ctr"/>
        <c:lblOffset val="100"/>
        <c:noMultiLvlLbl val="0"/>
      </c:catAx>
      <c:valAx>
        <c:axId val="8751772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875175712"/>
        <c:crosses val="autoZero"/>
        <c:crossBetween val="between"/>
      </c:valAx>
      <c:spPr>
        <a:noFill/>
        <a:ln>
          <a:noFill/>
        </a:ln>
        <a:effectLst/>
      </c:spPr>
    </c:plotArea>
    <c:legend>
      <c:legendPos val="b"/>
      <c:layout>
        <c:manualLayout>
          <c:xMode val="edge"/>
          <c:yMode val="edge"/>
          <c:x val="7.2936304681870665E-2"/>
          <c:y val="0.85175975810041293"/>
          <c:w val="0.85412739063625864"/>
          <c:h val="0.11900047581771576"/>
        </c:manualLayout>
      </c:layout>
      <c:overlay val="0"/>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2"/>
      </a:solidFill>
      <a:round/>
    </a:ln>
    <a:effectLst/>
  </c:spPr>
  <c:txPr>
    <a:bodyPr/>
    <a:lstStyle/>
    <a:p>
      <a:pPr>
        <a:defRPr/>
      </a:pPr>
      <a:endParaRPr lang="pl-PL"/>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TABLICA!$BU$4</c:f>
              <c:strCache>
                <c:ptCount val="1"/>
                <c:pt idx="0">
                  <c:v>Powiat działdowski</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TABLICA!$BV$3:$BZ$3</c:f>
              <c:strCache>
                <c:ptCount val="5"/>
                <c:pt idx="0">
                  <c:v>2015</c:v>
                </c:pt>
                <c:pt idx="1">
                  <c:v>2016</c:v>
                </c:pt>
                <c:pt idx="2">
                  <c:v>2017</c:v>
                </c:pt>
                <c:pt idx="3">
                  <c:v>2018</c:v>
                </c:pt>
                <c:pt idx="4">
                  <c:v>2019</c:v>
                </c:pt>
              </c:strCache>
            </c:strRef>
          </c:cat>
          <c:val>
            <c:numRef>
              <c:f>TABLICA!$BV$4:$BZ$4</c:f>
              <c:numCache>
                <c:formatCode>#\ ##0.0</c:formatCode>
                <c:ptCount val="5"/>
                <c:pt idx="0">
                  <c:v>2.2999999999999998</c:v>
                </c:pt>
                <c:pt idx="1">
                  <c:v>2.4</c:v>
                </c:pt>
                <c:pt idx="2">
                  <c:v>2</c:v>
                </c:pt>
                <c:pt idx="3">
                  <c:v>2.4</c:v>
                </c:pt>
                <c:pt idx="4">
                  <c:v>2.2999999999999998</c:v>
                </c:pt>
              </c:numCache>
            </c:numRef>
          </c:val>
          <c:extLst>
            <c:ext xmlns:c16="http://schemas.microsoft.com/office/drawing/2014/chart" uri="{C3380CC4-5D6E-409C-BE32-E72D297353CC}">
              <c16:uniqueId val="{00000000-8341-4470-BD6A-9F7C88DB4939}"/>
            </c:ext>
          </c:extLst>
        </c:ser>
        <c:ser>
          <c:idx val="1"/>
          <c:order val="1"/>
          <c:tx>
            <c:strRef>
              <c:f>TABLICA!$BU$5</c:f>
              <c:strCache>
                <c:ptCount val="1"/>
                <c:pt idx="0">
                  <c:v>Powiat nidzicki</c:v>
                </c:pt>
              </c:strCache>
            </c:strRef>
          </c:tx>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TABLICA!$BV$3:$BZ$3</c:f>
              <c:strCache>
                <c:ptCount val="5"/>
                <c:pt idx="0">
                  <c:v>2015</c:v>
                </c:pt>
                <c:pt idx="1">
                  <c:v>2016</c:v>
                </c:pt>
                <c:pt idx="2">
                  <c:v>2017</c:v>
                </c:pt>
                <c:pt idx="3">
                  <c:v>2018</c:v>
                </c:pt>
                <c:pt idx="4">
                  <c:v>2019</c:v>
                </c:pt>
              </c:strCache>
            </c:strRef>
          </c:cat>
          <c:val>
            <c:numRef>
              <c:f>TABLICA!$BV$5:$BZ$5</c:f>
              <c:numCache>
                <c:formatCode>#\ ##0.0</c:formatCode>
                <c:ptCount val="5"/>
                <c:pt idx="0">
                  <c:v>1.8</c:v>
                </c:pt>
                <c:pt idx="1">
                  <c:v>2.1</c:v>
                </c:pt>
                <c:pt idx="2">
                  <c:v>2.1</c:v>
                </c:pt>
                <c:pt idx="3">
                  <c:v>2.1</c:v>
                </c:pt>
                <c:pt idx="4">
                  <c:v>2.7</c:v>
                </c:pt>
              </c:numCache>
            </c:numRef>
          </c:val>
          <c:extLst>
            <c:ext xmlns:c16="http://schemas.microsoft.com/office/drawing/2014/chart" uri="{C3380CC4-5D6E-409C-BE32-E72D297353CC}">
              <c16:uniqueId val="{00000001-8341-4470-BD6A-9F7C88DB4939}"/>
            </c:ext>
          </c:extLst>
        </c:ser>
        <c:ser>
          <c:idx val="2"/>
          <c:order val="2"/>
          <c:tx>
            <c:strRef>
              <c:f>TABLICA!$BU$6</c:f>
              <c:strCache>
                <c:ptCount val="1"/>
                <c:pt idx="0">
                  <c:v>Powiat piski</c:v>
                </c:pt>
              </c:strCache>
            </c:strRef>
          </c:tx>
          <c:spPr>
            <a:solidFill>
              <a:schemeClr val="accent3"/>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TABLICA!$BV$3:$BZ$3</c:f>
              <c:strCache>
                <c:ptCount val="5"/>
                <c:pt idx="0">
                  <c:v>2015</c:v>
                </c:pt>
                <c:pt idx="1">
                  <c:v>2016</c:v>
                </c:pt>
                <c:pt idx="2">
                  <c:v>2017</c:v>
                </c:pt>
                <c:pt idx="3">
                  <c:v>2018</c:v>
                </c:pt>
                <c:pt idx="4">
                  <c:v>2019</c:v>
                </c:pt>
              </c:strCache>
            </c:strRef>
          </c:cat>
          <c:val>
            <c:numRef>
              <c:f>TABLICA!$BV$6:$BZ$6</c:f>
              <c:numCache>
                <c:formatCode>#\ ##0.0</c:formatCode>
                <c:ptCount val="5"/>
                <c:pt idx="0">
                  <c:v>8.3000000000000007</c:v>
                </c:pt>
                <c:pt idx="1">
                  <c:v>8.1999999999999993</c:v>
                </c:pt>
                <c:pt idx="2">
                  <c:v>7.7</c:v>
                </c:pt>
                <c:pt idx="3">
                  <c:v>7.9</c:v>
                </c:pt>
                <c:pt idx="4">
                  <c:v>8.9</c:v>
                </c:pt>
              </c:numCache>
            </c:numRef>
          </c:val>
          <c:extLst>
            <c:ext xmlns:c16="http://schemas.microsoft.com/office/drawing/2014/chart" uri="{C3380CC4-5D6E-409C-BE32-E72D297353CC}">
              <c16:uniqueId val="{00000002-8341-4470-BD6A-9F7C88DB4939}"/>
            </c:ext>
          </c:extLst>
        </c:ser>
        <c:ser>
          <c:idx val="3"/>
          <c:order val="3"/>
          <c:tx>
            <c:strRef>
              <c:f>TABLICA!$BU$7</c:f>
              <c:strCache>
                <c:ptCount val="1"/>
                <c:pt idx="0">
                  <c:v>Powiat szczycieński</c:v>
                </c:pt>
              </c:strCache>
            </c:strRef>
          </c:tx>
          <c:spPr>
            <a:solidFill>
              <a:schemeClr val="accent4"/>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TABLICA!$BV$3:$BZ$3</c:f>
              <c:strCache>
                <c:ptCount val="5"/>
                <c:pt idx="0">
                  <c:v>2015</c:v>
                </c:pt>
                <c:pt idx="1">
                  <c:v>2016</c:v>
                </c:pt>
                <c:pt idx="2">
                  <c:v>2017</c:v>
                </c:pt>
                <c:pt idx="3">
                  <c:v>2018</c:v>
                </c:pt>
                <c:pt idx="4">
                  <c:v>2019</c:v>
                </c:pt>
              </c:strCache>
            </c:strRef>
          </c:cat>
          <c:val>
            <c:numRef>
              <c:f>TABLICA!$BV$7:$BZ$7</c:f>
              <c:numCache>
                <c:formatCode>#\ ##0.0</c:formatCode>
                <c:ptCount val="5"/>
                <c:pt idx="0">
                  <c:v>3.3</c:v>
                </c:pt>
                <c:pt idx="1">
                  <c:v>3.5</c:v>
                </c:pt>
                <c:pt idx="2">
                  <c:v>3.4</c:v>
                </c:pt>
                <c:pt idx="3">
                  <c:v>3</c:v>
                </c:pt>
                <c:pt idx="4">
                  <c:v>3.4</c:v>
                </c:pt>
              </c:numCache>
            </c:numRef>
          </c:val>
          <c:extLst>
            <c:ext xmlns:c16="http://schemas.microsoft.com/office/drawing/2014/chart" uri="{C3380CC4-5D6E-409C-BE32-E72D297353CC}">
              <c16:uniqueId val="{00000003-8341-4470-BD6A-9F7C88DB4939}"/>
            </c:ext>
          </c:extLst>
        </c:ser>
        <c:dLbls>
          <c:showLegendKey val="0"/>
          <c:showVal val="0"/>
          <c:showCatName val="0"/>
          <c:showSerName val="0"/>
          <c:showPercent val="0"/>
          <c:showBubbleSize val="0"/>
        </c:dLbls>
        <c:gapWidth val="150"/>
        <c:shape val="box"/>
        <c:axId val="1900712016"/>
        <c:axId val="1900710352"/>
        <c:axId val="0"/>
      </c:bar3DChart>
      <c:catAx>
        <c:axId val="190071201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pl-PL"/>
          </a:p>
        </c:txPr>
        <c:crossAx val="1900710352"/>
        <c:crosses val="autoZero"/>
        <c:auto val="1"/>
        <c:lblAlgn val="ctr"/>
        <c:lblOffset val="100"/>
        <c:noMultiLvlLbl val="0"/>
      </c:catAx>
      <c:valAx>
        <c:axId val="1900710352"/>
        <c:scaling>
          <c:orientation val="minMax"/>
        </c:scaling>
        <c:delete val="0"/>
        <c:axPos val="l"/>
        <c:majorGridlines>
          <c:spPr>
            <a:ln w="9525" cap="flat" cmpd="sng" algn="ctr">
              <a:solidFill>
                <a:schemeClr val="tx1">
                  <a:lumMod val="15000"/>
                  <a:lumOff val="85000"/>
                </a:schemeClr>
              </a:solidFill>
              <a:round/>
            </a:ln>
            <a:effectLst/>
          </c:spPr>
        </c:majorGridlines>
        <c:numFmt formatCode="#\ ##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1900712016"/>
        <c:crosses val="autoZero"/>
        <c:crossBetween val="between"/>
      </c:valAx>
      <c:spPr>
        <a:noFill/>
        <a:ln>
          <a:noFill/>
        </a:ln>
        <a:effectLst/>
      </c:spPr>
    </c:plotArea>
    <c:legend>
      <c:legendPos val="b"/>
      <c:layout>
        <c:manualLayout>
          <c:xMode val="edge"/>
          <c:yMode val="edge"/>
          <c:x val="0.14111196884703137"/>
          <c:y val="0.8616892680081657"/>
          <c:w val="0.72649065925582834"/>
          <c:h val="7.8125546806649168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solidFill>
      <a:round/>
    </a:ln>
    <a:effectLst/>
  </c:spPr>
  <c:txPr>
    <a:bodyPr/>
    <a:lstStyle/>
    <a:p>
      <a:pPr>
        <a:defRPr/>
      </a:pPr>
      <a:endParaRPr lang="pl-PL"/>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cked"/>
        <c:varyColors val="0"/>
        <c:ser>
          <c:idx val="0"/>
          <c:order val="0"/>
          <c:tx>
            <c:strRef>
              <c:f>'[turystyka wskazniki.xlsx]TABLICA'!$A$4</c:f>
              <c:strCache>
                <c:ptCount val="1"/>
                <c:pt idx="0">
                  <c:v>Powiat działdowski</c:v>
                </c:pt>
              </c:strCache>
            </c:strRef>
          </c:tx>
          <c:spPr>
            <a:ln w="28575" cap="rnd">
              <a:solidFill>
                <a:schemeClr val="accent1"/>
              </a:solidFill>
              <a:round/>
            </a:ln>
            <a:effectLst/>
          </c:spPr>
          <c:marker>
            <c:symbol val="none"/>
          </c:marker>
          <c:cat>
            <c:strRef>
              <c:f>'[turystyka wskazniki.xlsx]TABLICA'!$B$3:$AO$3</c:f>
              <c:strCache>
                <c:ptCount val="5"/>
                <c:pt idx="0">
                  <c:v>2015</c:v>
                </c:pt>
                <c:pt idx="1">
                  <c:v>2016</c:v>
                </c:pt>
                <c:pt idx="2">
                  <c:v>2017</c:v>
                </c:pt>
                <c:pt idx="3">
                  <c:v>2018</c:v>
                </c:pt>
                <c:pt idx="4">
                  <c:v>2019</c:v>
                </c:pt>
              </c:strCache>
            </c:strRef>
          </c:cat>
          <c:val>
            <c:numRef>
              <c:f>'[turystyka wskazniki.xlsx]TABLICA'!$B$4:$AO$4</c:f>
              <c:numCache>
                <c:formatCode>#,##0.00</c:formatCode>
                <c:ptCount val="5"/>
                <c:pt idx="0">
                  <c:v>163.22999999999999</c:v>
                </c:pt>
                <c:pt idx="1">
                  <c:v>227.56</c:v>
                </c:pt>
                <c:pt idx="2">
                  <c:v>159.46</c:v>
                </c:pt>
                <c:pt idx="3">
                  <c:v>163.07</c:v>
                </c:pt>
                <c:pt idx="4">
                  <c:v>161.25</c:v>
                </c:pt>
              </c:numCache>
            </c:numRef>
          </c:val>
          <c:smooth val="0"/>
          <c:extLst>
            <c:ext xmlns:c16="http://schemas.microsoft.com/office/drawing/2014/chart" uri="{C3380CC4-5D6E-409C-BE32-E72D297353CC}">
              <c16:uniqueId val="{00000000-0565-48FB-AE23-D70F636C6895}"/>
            </c:ext>
          </c:extLst>
        </c:ser>
        <c:ser>
          <c:idx val="1"/>
          <c:order val="1"/>
          <c:tx>
            <c:strRef>
              <c:f>'[turystyka wskazniki.xlsx]TABLICA'!$A$5</c:f>
              <c:strCache>
                <c:ptCount val="1"/>
                <c:pt idx="0">
                  <c:v>Powiat nidzicki</c:v>
                </c:pt>
              </c:strCache>
            </c:strRef>
          </c:tx>
          <c:spPr>
            <a:ln w="28575" cap="rnd">
              <a:solidFill>
                <a:schemeClr val="accent2"/>
              </a:solidFill>
              <a:round/>
            </a:ln>
            <a:effectLst/>
          </c:spPr>
          <c:marker>
            <c:symbol val="none"/>
          </c:marker>
          <c:cat>
            <c:strRef>
              <c:f>'[turystyka wskazniki.xlsx]TABLICA'!$B$3:$AO$3</c:f>
              <c:strCache>
                <c:ptCount val="5"/>
                <c:pt idx="0">
                  <c:v>2015</c:v>
                </c:pt>
                <c:pt idx="1">
                  <c:v>2016</c:v>
                </c:pt>
                <c:pt idx="2">
                  <c:v>2017</c:v>
                </c:pt>
                <c:pt idx="3">
                  <c:v>2018</c:v>
                </c:pt>
                <c:pt idx="4">
                  <c:v>2019</c:v>
                </c:pt>
              </c:strCache>
            </c:strRef>
          </c:cat>
          <c:val>
            <c:numRef>
              <c:f>'[turystyka wskazniki.xlsx]TABLICA'!$B$5:$AO$5</c:f>
              <c:numCache>
                <c:formatCode>#,##0.00</c:formatCode>
                <c:ptCount val="5"/>
                <c:pt idx="0">
                  <c:v>126.94</c:v>
                </c:pt>
                <c:pt idx="1">
                  <c:v>155.61000000000001</c:v>
                </c:pt>
                <c:pt idx="2">
                  <c:v>119.51</c:v>
                </c:pt>
                <c:pt idx="3">
                  <c:v>126.8</c:v>
                </c:pt>
                <c:pt idx="4">
                  <c:v>138.62</c:v>
                </c:pt>
              </c:numCache>
            </c:numRef>
          </c:val>
          <c:smooth val="0"/>
          <c:extLst>
            <c:ext xmlns:c16="http://schemas.microsoft.com/office/drawing/2014/chart" uri="{C3380CC4-5D6E-409C-BE32-E72D297353CC}">
              <c16:uniqueId val="{00000001-0565-48FB-AE23-D70F636C6895}"/>
            </c:ext>
          </c:extLst>
        </c:ser>
        <c:ser>
          <c:idx val="2"/>
          <c:order val="2"/>
          <c:tx>
            <c:strRef>
              <c:f>'[turystyka wskazniki.xlsx]TABLICA'!$A$6</c:f>
              <c:strCache>
                <c:ptCount val="1"/>
                <c:pt idx="0">
                  <c:v>Powiat piski</c:v>
                </c:pt>
              </c:strCache>
            </c:strRef>
          </c:tx>
          <c:spPr>
            <a:ln w="28575" cap="rnd">
              <a:solidFill>
                <a:schemeClr val="accent3"/>
              </a:solidFill>
              <a:round/>
            </a:ln>
            <a:effectLst/>
          </c:spPr>
          <c:marker>
            <c:symbol val="none"/>
          </c:marker>
          <c:cat>
            <c:strRef>
              <c:f>'[turystyka wskazniki.xlsx]TABLICA'!$B$3:$AO$3</c:f>
              <c:strCache>
                <c:ptCount val="5"/>
                <c:pt idx="0">
                  <c:v>2015</c:v>
                </c:pt>
                <c:pt idx="1">
                  <c:v>2016</c:v>
                </c:pt>
                <c:pt idx="2">
                  <c:v>2017</c:v>
                </c:pt>
                <c:pt idx="3">
                  <c:v>2018</c:v>
                </c:pt>
                <c:pt idx="4">
                  <c:v>2019</c:v>
                </c:pt>
              </c:strCache>
            </c:strRef>
          </c:cat>
          <c:val>
            <c:numRef>
              <c:f>'[turystyka wskazniki.xlsx]TABLICA'!$B$6:$AO$6</c:f>
              <c:numCache>
                <c:formatCode>#,##0.00</c:formatCode>
                <c:ptCount val="5"/>
                <c:pt idx="0">
                  <c:v>897.46</c:v>
                </c:pt>
                <c:pt idx="1">
                  <c:v>991.54</c:v>
                </c:pt>
                <c:pt idx="2">
                  <c:v>1138.26</c:v>
                </c:pt>
                <c:pt idx="3">
                  <c:v>1335.48</c:v>
                </c:pt>
                <c:pt idx="4">
                  <c:v>1445.25</c:v>
                </c:pt>
              </c:numCache>
            </c:numRef>
          </c:val>
          <c:smooth val="0"/>
          <c:extLst>
            <c:ext xmlns:c16="http://schemas.microsoft.com/office/drawing/2014/chart" uri="{C3380CC4-5D6E-409C-BE32-E72D297353CC}">
              <c16:uniqueId val="{00000002-0565-48FB-AE23-D70F636C6895}"/>
            </c:ext>
          </c:extLst>
        </c:ser>
        <c:ser>
          <c:idx val="3"/>
          <c:order val="3"/>
          <c:tx>
            <c:strRef>
              <c:f>'[turystyka wskazniki.xlsx]TABLICA'!$A$7</c:f>
              <c:strCache>
                <c:ptCount val="1"/>
                <c:pt idx="0">
                  <c:v>Powiat szczycieński</c:v>
                </c:pt>
              </c:strCache>
            </c:strRef>
          </c:tx>
          <c:spPr>
            <a:ln w="28575" cap="rnd">
              <a:solidFill>
                <a:schemeClr val="accent4"/>
              </a:solidFill>
              <a:round/>
            </a:ln>
            <a:effectLst/>
          </c:spPr>
          <c:marker>
            <c:symbol val="none"/>
          </c:marker>
          <c:cat>
            <c:strRef>
              <c:f>'[turystyka wskazniki.xlsx]TABLICA'!$B$3:$AO$3</c:f>
              <c:strCache>
                <c:ptCount val="5"/>
                <c:pt idx="0">
                  <c:v>2015</c:v>
                </c:pt>
                <c:pt idx="1">
                  <c:v>2016</c:v>
                </c:pt>
                <c:pt idx="2">
                  <c:v>2017</c:v>
                </c:pt>
                <c:pt idx="3">
                  <c:v>2018</c:v>
                </c:pt>
                <c:pt idx="4">
                  <c:v>2019</c:v>
                </c:pt>
              </c:strCache>
            </c:strRef>
          </c:cat>
          <c:val>
            <c:numRef>
              <c:f>'[turystyka wskazniki.xlsx]TABLICA'!$B$7:$AO$7</c:f>
              <c:numCache>
                <c:formatCode>#,##0.00</c:formatCode>
                <c:ptCount val="5"/>
                <c:pt idx="0">
                  <c:v>409.69</c:v>
                </c:pt>
                <c:pt idx="1">
                  <c:v>766.56</c:v>
                </c:pt>
                <c:pt idx="2">
                  <c:v>690.16</c:v>
                </c:pt>
                <c:pt idx="3">
                  <c:v>598.04999999999995</c:v>
                </c:pt>
                <c:pt idx="4">
                  <c:v>726.69</c:v>
                </c:pt>
              </c:numCache>
            </c:numRef>
          </c:val>
          <c:smooth val="0"/>
          <c:extLst>
            <c:ext xmlns:c16="http://schemas.microsoft.com/office/drawing/2014/chart" uri="{C3380CC4-5D6E-409C-BE32-E72D297353CC}">
              <c16:uniqueId val="{00000003-0565-48FB-AE23-D70F636C6895}"/>
            </c:ext>
          </c:extLst>
        </c:ser>
        <c:dLbls>
          <c:showLegendKey val="0"/>
          <c:showVal val="0"/>
          <c:showCatName val="0"/>
          <c:showSerName val="0"/>
          <c:showPercent val="0"/>
          <c:showBubbleSize val="0"/>
        </c:dLbls>
        <c:smooth val="0"/>
        <c:axId val="1928216160"/>
        <c:axId val="1928197856"/>
      </c:lineChart>
      <c:catAx>
        <c:axId val="19282161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1928197856"/>
        <c:crosses val="autoZero"/>
        <c:auto val="1"/>
        <c:lblAlgn val="ctr"/>
        <c:lblOffset val="100"/>
        <c:noMultiLvlLbl val="0"/>
      </c:catAx>
      <c:valAx>
        <c:axId val="192819785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19282161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solidFill>
      <a:round/>
    </a:ln>
    <a:effectLst/>
  </c:spPr>
  <c:txPr>
    <a:bodyPr/>
    <a:lstStyle/>
    <a:p>
      <a:pPr>
        <a:defRPr/>
      </a:pPr>
      <a:endParaRPr lang="pl-PL"/>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TABLICA!$B$2</c:f>
              <c:strCache>
                <c:ptCount val="1"/>
                <c:pt idx="0">
                  <c:v>Powiat działdowski</c:v>
                </c:pt>
              </c:strCache>
            </c:strRef>
          </c:tx>
          <c:spPr>
            <a:ln w="28575" cap="rnd">
              <a:solidFill>
                <a:schemeClr val="accent1"/>
              </a:solidFill>
              <a:round/>
            </a:ln>
            <a:effectLst/>
          </c:spPr>
          <c:marker>
            <c:symbol val="none"/>
          </c:marker>
          <c:cat>
            <c:strRef>
              <c:f>TABLICA!$C$1:$G$1</c:f>
              <c:strCache>
                <c:ptCount val="5"/>
                <c:pt idx="0">
                  <c:v>2015</c:v>
                </c:pt>
                <c:pt idx="1">
                  <c:v>2016</c:v>
                </c:pt>
                <c:pt idx="2">
                  <c:v>2017</c:v>
                </c:pt>
                <c:pt idx="3">
                  <c:v>2018</c:v>
                </c:pt>
                <c:pt idx="4">
                  <c:v>2019</c:v>
                </c:pt>
              </c:strCache>
            </c:strRef>
          </c:cat>
          <c:val>
            <c:numRef>
              <c:f>TABLICA!$C$2:$G$2</c:f>
              <c:numCache>
                <c:formatCode>#\ ##0.0</c:formatCode>
                <c:ptCount val="5"/>
                <c:pt idx="0">
                  <c:v>21.4</c:v>
                </c:pt>
                <c:pt idx="1">
                  <c:v>20.7</c:v>
                </c:pt>
                <c:pt idx="2">
                  <c:v>17.399999999999999</c:v>
                </c:pt>
                <c:pt idx="3">
                  <c:v>19.100000000000001</c:v>
                </c:pt>
                <c:pt idx="4">
                  <c:v>17.7</c:v>
                </c:pt>
              </c:numCache>
            </c:numRef>
          </c:val>
          <c:smooth val="0"/>
          <c:extLst>
            <c:ext xmlns:c16="http://schemas.microsoft.com/office/drawing/2014/chart" uri="{C3380CC4-5D6E-409C-BE32-E72D297353CC}">
              <c16:uniqueId val="{00000000-E3CA-4104-83BD-D83C41B3FCF4}"/>
            </c:ext>
          </c:extLst>
        </c:ser>
        <c:ser>
          <c:idx val="1"/>
          <c:order val="1"/>
          <c:tx>
            <c:strRef>
              <c:f>TABLICA!$B$3</c:f>
              <c:strCache>
                <c:ptCount val="1"/>
                <c:pt idx="0">
                  <c:v>Powiat nidzicki</c:v>
                </c:pt>
              </c:strCache>
            </c:strRef>
          </c:tx>
          <c:spPr>
            <a:ln w="28575" cap="rnd">
              <a:solidFill>
                <a:schemeClr val="accent2"/>
              </a:solidFill>
              <a:round/>
            </a:ln>
            <a:effectLst/>
          </c:spPr>
          <c:marker>
            <c:symbol val="none"/>
          </c:marker>
          <c:cat>
            <c:strRef>
              <c:f>TABLICA!$C$1:$G$1</c:f>
              <c:strCache>
                <c:ptCount val="5"/>
                <c:pt idx="0">
                  <c:v>2015</c:v>
                </c:pt>
                <c:pt idx="1">
                  <c:v>2016</c:v>
                </c:pt>
                <c:pt idx="2">
                  <c:v>2017</c:v>
                </c:pt>
                <c:pt idx="3">
                  <c:v>2018</c:v>
                </c:pt>
                <c:pt idx="4">
                  <c:v>2019</c:v>
                </c:pt>
              </c:strCache>
            </c:strRef>
          </c:cat>
          <c:val>
            <c:numRef>
              <c:f>TABLICA!$C$3:$G$3</c:f>
              <c:numCache>
                <c:formatCode>#\ ##0.0</c:formatCode>
                <c:ptCount val="5"/>
                <c:pt idx="0">
                  <c:v>24.6</c:v>
                </c:pt>
                <c:pt idx="1">
                  <c:v>32</c:v>
                </c:pt>
                <c:pt idx="2">
                  <c:v>24.4</c:v>
                </c:pt>
                <c:pt idx="3">
                  <c:v>16.2</c:v>
                </c:pt>
                <c:pt idx="4">
                  <c:v>21.1</c:v>
                </c:pt>
              </c:numCache>
            </c:numRef>
          </c:val>
          <c:smooth val="0"/>
          <c:extLst>
            <c:ext xmlns:c16="http://schemas.microsoft.com/office/drawing/2014/chart" uri="{C3380CC4-5D6E-409C-BE32-E72D297353CC}">
              <c16:uniqueId val="{00000001-E3CA-4104-83BD-D83C41B3FCF4}"/>
            </c:ext>
          </c:extLst>
        </c:ser>
        <c:ser>
          <c:idx val="2"/>
          <c:order val="2"/>
          <c:tx>
            <c:strRef>
              <c:f>TABLICA!$B$4</c:f>
              <c:strCache>
                <c:ptCount val="1"/>
                <c:pt idx="0">
                  <c:v>Powiat piski</c:v>
                </c:pt>
              </c:strCache>
            </c:strRef>
          </c:tx>
          <c:spPr>
            <a:ln w="28575" cap="rnd">
              <a:solidFill>
                <a:schemeClr val="accent3"/>
              </a:solidFill>
              <a:round/>
            </a:ln>
            <a:effectLst/>
          </c:spPr>
          <c:marker>
            <c:symbol val="none"/>
          </c:marker>
          <c:cat>
            <c:strRef>
              <c:f>TABLICA!$C$1:$G$1</c:f>
              <c:strCache>
                <c:ptCount val="5"/>
                <c:pt idx="0">
                  <c:v>2015</c:v>
                </c:pt>
                <c:pt idx="1">
                  <c:v>2016</c:v>
                </c:pt>
                <c:pt idx="2">
                  <c:v>2017</c:v>
                </c:pt>
                <c:pt idx="3">
                  <c:v>2018</c:v>
                </c:pt>
                <c:pt idx="4">
                  <c:v>2019</c:v>
                </c:pt>
              </c:strCache>
            </c:strRef>
          </c:cat>
          <c:val>
            <c:numRef>
              <c:f>TABLICA!$C$4:$G$4</c:f>
              <c:numCache>
                <c:formatCode>#\ ##0.0</c:formatCode>
                <c:ptCount val="5"/>
                <c:pt idx="0">
                  <c:v>20.5</c:v>
                </c:pt>
                <c:pt idx="1">
                  <c:v>22.6</c:v>
                </c:pt>
                <c:pt idx="2">
                  <c:v>21.3</c:v>
                </c:pt>
                <c:pt idx="3">
                  <c:v>25.1</c:v>
                </c:pt>
                <c:pt idx="4">
                  <c:v>26.1</c:v>
                </c:pt>
              </c:numCache>
            </c:numRef>
          </c:val>
          <c:smooth val="0"/>
          <c:extLst>
            <c:ext xmlns:c16="http://schemas.microsoft.com/office/drawing/2014/chart" uri="{C3380CC4-5D6E-409C-BE32-E72D297353CC}">
              <c16:uniqueId val="{00000002-E3CA-4104-83BD-D83C41B3FCF4}"/>
            </c:ext>
          </c:extLst>
        </c:ser>
        <c:ser>
          <c:idx val="3"/>
          <c:order val="3"/>
          <c:tx>
            <c:strRef>
              <c:f>TABLICA!$B$5</c:f>
              <c:strCache>
                <c:ptCount val="1"/>
                <c:pt idx="0">
                  <c:v>Powiat szczycieński</c:v>
                </c:pt>
              </c:strCache>
            </c:strRef>
          </c:tx>
          <c:spPr>
            <a:ln w="28575" cap="rnd">
              <a:solidFill>
                <a:schemeClr val="accent4"/>
              </a:solidFill>
              <a:round/>
            </a:ln>
            <a:effectLst/>
          </c:spPr>
          <c:marker>
            <c:symbol val="none"/>
          </c:marker>
          <c:cat>
            <c:strRef>
              <c:f>TABLICA!$C$1:$G$1</c:f>
              <c:strCache>
                <c:ptCount val="5"/>
                <c:pt idx="0">
                  <c:v>2015</c:v>
                </c:pt>
                <c:pt idx="1">
                  <c:v>2016</c:v>
                </c:pt>
                <c:pt idx="2">
                  <c:v>2017</c:v>
                </c:pt>
                <c:pt idx="3">
                  <c:v>2018</c:v>
                </c:pt>
                <c:pt idx="4">
                  <c:v>2019</c:v>
                </c:pt>
              </c:strCache>
            </c:strRef>
          </c:cat>
          <c:val>
            <c:numRef>
              <c:f>TABLICA!$C$5:$G$5</c:f>
              <c:numCache>
                <c:formatCode>#\ ##0.0</c:formatCode>
                <c:ptCount val="5"/>
                <c:pt idx="0">
                  <c:v>22</c:v>
                </c:pt>
                <c:pt idx="1">
                  <c:v>29.5</c:v>
                </c:pt>
                <c:pt idx="2">
                  <c:v>29</c:v>
                </c:pt>
                <c:pt idx="3">
                  <c:v>29.2</c:v>
                </c:pt>
                <c:pt idx="4">
                  <c:v>30.6</c:v>
                </c:pt>
              </c:numCache>
            </c:numRef>
          </c:val>
          <c:smooth val="0"/>
          <c:extLst>
            <c:ext xmlns:c16="http://schemas.microsoft.com/office/drawing/2014/chart" uri="{C3380CC4-5D6E-409C-BE32-E72D297353CC}">
              <c16:uniqueId val="{00000003-E3CA-4104-83BD-D83C41B3FCF4}"/>
            </c:ext>
          </c:extLst>
        </c:ser>
        <c:ser>
          <c:idx val="4"/>
          <c:order val="4"/>
          <c:tx>
            <c:strRef>
              <c:f>TABLICA!$B$6</c:f>
              <c:strCache>
                <c:ptCount val="1"/>
                <c:pt idx="0">
                  <c:v>Południowe Mazury </c:v>
                </c:pt>
              </c:strCache>
            </c:strRef>
          </c:tx>
          <c:spPr>
            <a:ln w="28575" cap="rnd">
              <a:solidFill>
                <a:schemeClr val="accent5"/>
              </a:solidFill>
              <a:round/>
            </a:ln>
            <a:effectLst/>
          </c:spPr>
          <c:marker>
            <c:symbol val="none"/>
          </c:marker>
          <c:cat>
            <c:strRef>
              <c:f>TABLICA!$C$1:$G$1</c:f>
              <c:strCache>
                <c:ptCount val="5"/>
                <c:pt idx="0">
                  <c:v>2015</c:v>
                </c:pt>
                <c:pt idx="1">
                  <c:v>2016</c:v>
                </c:pt>
                <c:pt idx="2">
                  <c:v>2017</c:v>
                </c:pt>
                <c:pt idx="3">
                  <c:v>2018</c:v>
                </c:pt>
                <c:pt idx="4">
                  <c:v>2019</c:v>
                </c:pt>
              </c:strCache>
            </c:strRef>
          </c:cat>
          <c:val>
            <c:numRef>
              <c:f>TABLICA!$C$6:$G$6</c:f>
              <c:numCache>
                <c:formatCode>#\ ##0.0</c:formatCode>
                <c:ptCount val="5"/>
                <c:pt idx="0">
                  <c:v>22.125</c:v>
                </c:pt>
                <c:pt idx="1">
                  <c:v>26.200000000000003</c:v>
                </c:pt>
                <c:pt idx="2">
                  <c:v>23.024999999999999</c:v>
                </c:pt>
                <c:pt idx="3">
                  <c:v>22.4</c:v>
                </c:pt>
                <c:pt idx="4">
                  <c:v>23.875</c:v>
                </c:pt>
              </c:numCache>
            </c:numRef>
          </c:val>
          <c:smooth val="0"/>
          <c:extLst>
            <c:ext xmlns:c16="http://schemas.microsoft.com/office/drawing/2014/chart" uri="{C3380CC4-5D6E-409C-BE32-E72D297353CC}">
              <c16:uniqueId val="{00000004-E3CA-4104-83BD-D83C41B3FCF4}"/>
            </c:ext>
          </c:extLst>
        </c:ser>
        <c:dLbls>
          <c:showLegendKey val="0"/>
          <c:showVal val="0"/>
          <c:showCatName val="0"/>
          <c:showSerName val="0"/>
          <c:showPercent val="0"/>
          <c:showBubbleSize val="0"/>
        </c:dLbls>
        <c:smooth val="0"/>
        <c:axId val="1634233951"/>
        <c:axId val="1634234367"/>
      </c:lineChart>
      <c:catAx>
        <c:axId val="163423395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pl-PL"/>
          </a:p>
        </c:txPr>
        <c:crossAx val="1634234367"/>
        <c:crosses val="autoZero"/>
        <c:auto val="1"/>
        <c:lblAlgn val="ctr"/>
        <c:lblOffset val="100"/>
        <c:noMultiLvlLbl val="0"/>
      </c:catAx>
      <c:valAx>
        <c:axId val="1634234367"/>
        <c:scaling>
          <c:orientation val="minMax"/>
        </c:scaling>
        <c:delete val="0"/>
        <c:axPos val="l"/>
        <c:majorGridlines>
          <c:spPr>
            <a:ln w="9525" cap="flat" cmpd="sng" algn="ctr">
              <a:solidFill>
                <a:schemeClr val="tx2"/>
              </a:solidFill>
              <a:round/>
            </a:ln>
            <a:effectLst/>
          </c:spPr>
        </c:majorGridlines>
        <c:numFmt formatCode="#\ ##0.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pl-PL"/>
          </a:p>
        </c:txPr>
        <c:crossAx val="1634233951"/>
        <c:crosses val="autoZero"/>
        <c:crossBetween val="between"/>
      </c:valAx>
      <c:spPr>
        <a:noFill/>
        <a:ln>
          <a:noFill/>
        </a:ln>
        <a:effectLst/>
      </c:spPr>
    </c:plotArea>
    <c:legend>
      <c:legendPos val="b"/>
      <c:layout>
        <c:manualLayout>
          <c:xMode val="edge"/>
          <c:yMode val="edge"/>
          <c:x val="3.7023029601614757E-2"/>
          <c:y val="0.88048142008564723"/>
          <c:w val="0.91501763559082672"/>
          <c:h val="0.11951857991435279"/>
        </c:manualLayout>
      </c:layout>
      <c:overlay val="0"/>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solidFill>
      <a:round/>
    </a:ln>
    <a:effectLst/>
  </c:spPr>
  <c:txPr>
    <a:bodyPr/>
    <a:lstStyle/>
    <a:p>
      <a:pPr>
        <a:defRPr/>
      </a:pPr>
      <a:endParaRPr lang="pl-PL"/>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2728966267079411E-2"/>
          <c:y val="3.7513397642015008E-2"/>
          <c:w val="0.74597815774347465"/>
          <c:h val="0.79692727802964025"/>
        </c:manualLayout>
      </c:layout>
      <c:lineChart>
        <c:grouping val="standard"/>
        <c:varyColors val="0"/>
        <c:ser>
          <c:idx val="0"/>
          <c:order val="0"/>
          <c:tx>
            <c:strRef>
              <c:f>[jijio.xlsx]Sheet1!$A$2</c:f>
              <c:strCache>
                <c:ptCount val="1"/>
                <c:pt idx="0">
                  <c:v>działdowski </c:v>
                </c:pt>
              </c:strCache>
            </c:strRef>
          </c:tx>
          <c:spPr>
            <a:ln w="28575" cap="rnd">
              <a:solidFill>
                <a:schemeClr val="accent1"/>
              </a:solidFill>
              <a:round/>
            </a:ln>
            <a:effectLst/>
          </c:spPr>
          <c:marker>
            <c:symbol val="none"/>
          </c:marker>
          <c:cat>
            <c:numRef>
              <c:f>[jijio.xlsx]Sheet1!$B$1:$L$1</c:f>
              <c:numCache>
                <c:formatCode>General</c:formatCode>
                <c:ptCount val="11"/>
                <c:pt idx="0">
                  <c:v>2009</c:v>
                </c:pt>
                <c:pt idx="1">
                  <c:v>2010</c:v>
                </c:pt>
                <c:pt idx="2">
                  <c:v>2011</c:v>
                </c:pt>
                <c:pt idx="3">
                  <c:v>2012</c:v>
                </c:pt>
                <c:pt idx="4">
                  <c:v>2013</c:v>
                </c:pt>
                <c:pt idx="5">
                  <c:v>2014</c:v>
                </c:pt>
                <c:pt idx="6">
                  <c:v>2015</c:v>
                </c:pt>
                <c:pt idx="7">
                  <c:v>2016</c:v>
                </c:pt>
                <c:pt idx="8">
                  <c:v>2017</c:v>
                </c:pt>
                <c:pt idx="9">
                  <c:v>2018</c:v>
                </c:pt>
                <c:pt idx="10">
                  <c:v>2019</c:v>
                </c:pt>
              </c:numCache>
            </c:numRef>
          </c:cat>
          <c:val>
            <c:numRef>
              <c:f>[jijio.xlsx]Sheet1!$B$2:$L$2</c:f>
              <c:numCache>
                <c:formatCode>General</c:formatCode>
                <c:ptCount val="11"/>
                <c:pt idx="0">
                  <c:v>172</c:v>
                </c:pt>
                <c:pt idx="1">
                  <c:v>167</c:v>
                </c:pt>
                <c:pt idx="2">
                  <c:v>172</c:v>
                </c:pt>
                <c:pt idx="3">
                  <c:v>165</c:v>
                </c:pt>
                <c:pt idx="4">
                  <c:v>168</c:v>
                </c:pt>
                <c:pt idx="5">
                  <c:v>171</c:v>
                </c:pt>
                <c:pt idx="6">
                  <c:v>176</c:v>
                </c:pt>
                <c:pt idx="7">
                  <c:v>181</c:v>
                </c:pt>
                <c:pt idx="8">
                  <c:v>181</c:v>
                </c:pt>
                <c:pt idx="9">
                  <c:v>189</c:v>
                </c:pt>
                <c:pt idx="10">
                  <c:v>192</c:v>
                </c:pt>
              </c:numCache>
            </c:numRef>
          </c:val>
          <c:smooth val="0"/>
          <c:extLst>
            <c:ext xmlns:c16="http://schemas.microsoft.com/office/drawing/2014/chart" uri="{C3380CC4-5D6E-409C-BE32-E72D297353CC}">
              <c16:uniqueId val="{00000000-7532-4A3B-9814-859FB4675FFE}"/>
            </c:ext>
          </c:extLst>
        </c:ser>
        <c:ser>
          <c:idx val="1"/>
          <c:order val="1"/>
          <c:tx>
            <c:strRef>
              <c:f>[jijio.xlsx]Sheet1!$A$3</c:f>
              <c:strCache>
                <c:ptCount val="1"/>
                <c:pt idx="0">
                  <c:v>piski</c:v>
                </c:pt>
              </c:strCache>
            </c:strRef>
          </c:tx>
          <c:spPr>
            <a:ln w="28575" cap="rnd">
              <a:solidFill>
                <a:schemeClr val="accent2"/>
              </a:solidFill>
              <a:round/>
            </a:ln>
            <a:effectLst/>
          </c:spPr>
          <c:marker>
            <c:symbol val="none"/>
          </c:marker>
          <c:cat>
            <c:numRef>
              <c:f>[jijio.xlsx]Sheet1!$B$1:$L$1</c:f>
              <c:numCache>
                <c:formatCode>General</c:formatCode>
                <c:ptCount val="11"/>
                <c:pt idx="0">
                  <c:v>2009</c:v>
                </c:pt>
                <c:pt idx="1">
                  <c:v>2010</c:v>
                </c:pt>
                <c:pt idx="2">
                  <c:v>2011</c:v>
                </c:pt>
                <c:pt idx="3">
                  <c:v>2012</c:v>
                </c:pt>
                <c:pt idx="4">
                  <c:v>2013</c:v>
                </c:pt>
                <c:pt idx="5">
                  <c:v>2014</c:v>
                </c:pt>
                <c:pt idx="6">
                  <c:v>2015</c:v>
                </c:pt>
                <c:pt idx="7">
                  <c:v>2016</c:v>
                </c:pt>
                <c:pt idx="8">
                  <c:v>2017</c:v>
                </c:pt>
                <c:pt idx="9">
                  <c:v>2018</c:v>
                </c:pt>
                <c:pt idx="10">
                  <c:v>2019</c:v>
                </c:pt>
              </c:numCache>
            </c:numRef>
          </c:cat>
          <c:val>
            <c:numRef>
              <c:f>[jijio.xlsx]Sheet1!$B$3:$L$3</c:f>
              <c:numCache>
                <c:formatCode>General</c:formatCode>
                <c:ptCount val="11"/>
                <c:pt idx="0">
                  <c:v>130</c:v>
                </c:pt>
                <c:pt idx="1">
                  <c:v>134</c:v>
                </c:pt>
                <c:pt idx="2">
                  <c:v>128</c:v>
                </c:pt>
                <c:pt idx="3">
                  <c:v>136</c:v>
                </c:pt>
                <c:pt idx="4">
                  <c:v>128</c:v>
                </c:pt>
                <c:pt idx="5">
                  <c:v>133</c:v>
                </c:pt>
                <c:pt idx="6">
                  <c:v>127</c:v>
                </c:pt>
                <c:pt idx="7">
                  <c:v>126</c:v>
                </c:pt>
                <c:pt idx="8">
                  <c:v>130</c:v>
                </c:pt>
                <c:pt idx="9">
                  <c:v>130</c:v>
                </c:pt>
                <c:pt idx="10">
                  <c:v>130</c:v>
                </c:pt>
              </c:numCache>
            </c:numRef>
          </c:val>
          <c:smooth val="0"/>
          <c:extLst>
            <c:ext xmlns:c16="http://schemas.microsoft.com/office/drawing/2014/chart" uri="{C3380CC4-5D6E-409C-BE32-E72D297353CC}">
              <c16:uniqueId val="{00000001-7532-4A3B-9814-859FB4675FFE}"/>
            </c:ext>
          </c:extLst>
        </c:ser>
        <c:ser>
          <c:idx val="2"/>
          <c:order val="2"/>
          <c:tx>
            <c:strRef>
              <c:f>[jijio.xlsx]Sheet1!$A$4</c:f>
              <c:strCache>
                <c:ptCount val="1"/>
                <c:pt idx="0">
                  <c:v>nidzicki </c:v>
                </c:pt>
              </c:strCache>
            </c:strRef>
          </c:tx>
          <c:spPr>
            <a:ln w="28575" cap="rnd">
              <a:solidFill>
                <a:schemeClr val="accent3"/>
              </a:solidFill>
              <a:round/>
            </a:ln>
            <a:effectLst/>
          </c:spPr>
          <c:marker>
            <c:symbol val="none"/>
          </c:marker>
          <c:cat>
            <c:numRef>
              <c:f>[jijio.xlsx]Sheet1!$B$1:$L$1</c:f>
              <c:numCache>
                <c:formatCode>General</c:formatCode>
                <c:ptCount val="11"/>
                <c:pt idx="0">
                  <c:v>2009</c:v>
                </c:pt>
                <c:pt idx="1">
                  <c:v>2010</c:v>
                </c:pt>
                <c:pt idx="2">
                  <c:v>2011</c:v>
                </c:pt>
                <c:pt idx="3">
                  <c:v>2012</c:v>
                </c:pt>
                <c:pt idx="4">
                  <c:v>2013</c:v>
                </c:pt>
                <c:pt idx="5">
                  <c:v>2014</c:v>
                </c:pt>
                <c:pt idx="6">
                  <c:v>2015</c:v>
                </c:pt>
                <c:pt idx="7">
                  <c:v>2016</c:v>
                </c:pt>
                <c:pt idx="8">
                  <c:v>2017</c:v>
                </c:pt>
                <c:pt idx="9">
                  <c:v>2018</c:v>
                </c:pt>
                <c:pt idx="10">
                  <c:v>2019</c:v>
                </c:pt>
              </c:numCache>
            </c:numRef>
          </c:cat>
          <c:val>
            <c:numRef>
              <c:f>[jijio.xlsx]Sheet1!$B$4:$L$4</c:f>
              <c:numCache>
                <c:formatCode>General</c:formatCode>
                <c:ptCount val="11"/>
                <c:pt idx="0">
                  <c:v>157</c:v>
                </c:pt>
                <c:pt idx="1">
                  <c:v>154</c:v>
                </c:pt>
                <c:pt idx="2">
                  <c:v>155</c:v>
                </c:pt>
                <c:pt idx="3">
                  <c:v>149</c:v>
                </c:pt>
                <c:pt idx="4">
                  <c:v>155</c:v>
                </c:pt>
                <c:pt idx="5">
                  <c:v>161</c:v>
                </c:pt>
                <c:pt idx="6">
                  <c:v>173</c:v>
                </c:pt>
                <c:pt idx="7">
                  <c:v>177</c:v>
                </c:pt>
                <c:pt idx="8">
                  <c:v>183</c:v>
                </c:pt>
                <c:pt idx="9">
                  <c:v>178</c:v>
                </c:pt>
                <c:pt idx="10">
                  <c:v>173</c:v>
                </c:pt>
              </c:numCache>
            </c:numRef>
          </c:val>
          <c:smooth val="0"/>
          <c:extLst>
            <c:ext xmlns:c16="http://schemas.microsoft.com/office/drawing/2014/chart" uri="{C3380CC4-5D6E-409C-BE32-E72D297353CC}">
              <c16:uniqueId val="{00000002-7532-4A3B-9814-859FB4675FFE}"/>
            </c:ext>
          </c:extLst>
        </c:ser>
        <c:ser>
          <c:idx val="3"/>
          <c:order val="3"/>
          <c:tx>
            <c:strRef>
              <c:f>[jijio.xlsx]Sheet1!$A$5</c:f>
              <c:strCache>
                <c:ptCount val="1"/>
                <c:pt idx="0">
                  <c:v>szczycienski </c:v>
                </c:pt>
              </c:strCache>
            </c:strRef>
          </c:tx>
          <c:spPr>
            <a:ln w="28575" cap="rnd">
              <a:solidFill>
                <a:schemeClr val="accent4"/>
              </a:solidFill>
              <a:round/>
            </a:ln>
            <a:effectLst/>
          </c:spPr>
          <c:marker>
            <c:symbol val="none"/>
          </c:marker>
          <c:cat>
            <c:numRef>
              <c:f>[jijio.xlsx]Sheet1!$B$1:$L$1</c:f>
              <c:numCache>
                <c:formatCode>General</c:formatCode>
                <c:ptCount val="11"/>
                <c:pt idx="0">
                  <c:v>2009</c:v>
                </c:pt>
                <c:pt idx="1">
                  <c:v>2010</c:v>
                </c:pt>
                <c:pt idx="2">
                  <c:v>2011</c:v>
                </c:pt>
                <c:pt idx="3">
                  <c:v>2012</c:v>
                </c:pt>
                <c:pt idx="4">
                  <c:v>2013</c:v>
                </c:pt>
                <c:pt idx="5">
                  <c:v>2014</c:v>
                </c:pt>
                <c:pt idx="6">
                  <c:v>2015</c:v>
                </c:pt>
                <c:pt idx="7">
                  <c:v>2016</c:v>
                </c:pt>
                <c:pt idx="8">
                  <c:v>2017</c:v>
                </c:pt>
                <c:pt idx="9">
                  <c:v>2018</c:v>
                </c:pt>
                <c:pt idx="10">
                  <c:v>2019</c:v>
                </c:pt>
              </c:numCache>
            </c:numRef>
          </c:cat>
          <c:val>
            <c:numRef>
              <c:f>[jijio.xlsx]Sheet1!$B$5:$L$5</c:f>
              <c:numCache>
                <c:formatCode>General</c:formatCode>
                <c:ptCount val="11"/>
                <c:pt idx="0">
                  <c:v>151</c:v>
                </c:pt>
                <c:pt idx="1">
                  <c:v>154</c:v>
                </c:pt>
                <c:pt idx="2">
                  <c:v>151</c:v>
                </c:pt>
                <c:pt idx="3">
                  <c:v>151</c:v>
                </c:pt>
                <c:pt idx="4">
                  <c:v>155</c:v>
                </c:pt>
                <c:pt idx="5">
                  <c:v>157</c:v>
                </c:pt>
                <c:pt idx="6">
                  <c:v>164</c:v>
                </c:pt>
                <c:pt idx="7">
                  <c:v>165</c:v>
                </c:pt>
                <c:pt idx="8">
                  <c:v>171</c:v>
                </c:pt>
                <c:pt idx="9">
                  <c:v>171</c:v>
                </c:pt>
                <c:pt idx="10">
                  <c:v>169</c:v>
                </c:pt>
              </c:numCache>
            </c:numRef>
          </c:val>
          <c:smooth val="0"/>
          <c:extLst>
            <c:ext xmlns:c16="http://schemas.microsoft.com/office/drawing/2014/chart" uri="{C3380CC4-5D6E-409C-BE32-E72D297353CC}">
              <c16:uniqueId val="{00000003-7532-4A3B-9814-859FB4675FFE}"/>
            </c:ext>
          </c:extLst>
        </c:ser>
        <c:ser>
          <c:idx val="4"/>
          <c:order val="4"/>
          <c:tx>
            <c:strRef>
              <c:f>[jijio.xlsx]Sheet1!$A$6</c:f>
              <c:strCache>
                <c:ptCount val="1"/>
                <c:pt idx="0">
                  <c:v>woj. warmińsko-mazurskie </c:v>
                </c:pt>
              </c:strCache>
            </c:strRef>
          </c:tx>
          <c:spPr>
            <a:ln w="28575" cap="rnd">
              <a:solidFill>
                <a:schemeClr val="accent5"/>
              </a:solidFill>
              <a:round/>
            </a:ln>
            <a:effectLst/>
          </c:spPr>
          <c:marker>
            <c:symbol val="none"/>
          </c:marker>
          <c:cat>
            <c:numRef>
              <c:f>[jijio.xlsx]Sheet1!$B$1:$L$1</c:f>
              <c:numCache>
                <c:formatCode>General</c:formatCode>
                <c:ptCount val="11"/>
                <c:pt idx="0">
                  <c:v>2009</c:v>
                </c:pt>
                <c:pt idx="1">
                  <c:v>2010</c:v>
                </c:pt>
                <c:pt idx="2">
                  <c:v>2011</c:v>
                </c:pt>
                <c:pt idx="3">
                  <c:v>2012</c:v>
                </c:pt>
                <c:pt idx="4">
                  <c:v>2013</c:v>
                </c:pt>
                <c:pt idx="5">
                  <c:v>2014</c:v>
                </c:pt>
                <c:pt idx="6">
                  <c:v>2015</c:v>
                </c:pt>
                <c:pt idx="7">
                  <c:v>2016</c:v>
                </c:pt>
                <c:pt idx="8">
                  <c:v>2017</c:v>
                </c:pt>
                <c:pt idx="9">
                  <c:v>2018</c:v>
                </c:pt>
                <c:pt idx="10">
                  <c:v>2019</c:v>
                </c:pt>
              </c:numCache>
            </c:numRef>
          </c:cat>
          <c:val>
            <c:numRef>
              <c:f>[jijio.xlsx]Sheet1!$B$6:$L$6</c:f>
              <c:numCache>
                <c:formatCode>General</c:formatCode>
                <c:ptCount val="11"/>
                <c:pt idx="0">
                  <c:v>188</c:v>
                </c:pt>
                <c:pt idx="1">
                  <c:v>187</c:v>
                </c:pt>
                <c:pt idx="2">
                  <c:v>188</c:v>
                </c:pt>
                <c:pt idx="3">
                  <c:v>185</c:v>
                </c:pt>
                <c:pt idx="4">
                  <c:v>187</c:v>
                </c:pt>
                <c:pt idx="5">
                  <c:v>189</c:v>
                </c:pt>
                <c:pt idx="6">
                  <c:v>191</c:v>
                </c:pt>
                <c:pt idx="7">
                  <c:v>196</c:v>
                </c:pt>
                <c:pt idx="8">
                  <c:v>200</c:v>
                </c:pt>
                <c:pt idx="9">
                  <c:v>202</c:v>
                </c:pt>
                <c:pt idx="10">
                  <c:v>203</c:v>
                </c:pt>
              </c:numCache>
            </c:numRef>
          </c:val>
          <c:smooth val="0"/>
          <c:extLst>
            <c:ext xmlns:c16="http://schemas.microsoft.com/office/drawing/2014/chart" uri="{C3380CC4-5D6E-409C-BE32-E72D297353CC}">
              <c16:uniqueId val="{00000004-7532-4A3B-9814-859FB4675FFE}"/>
            </c:ext>
          </c:extLst>
        </c:ser>
        <c:ser>
          <c:idx val="5"/>
          <c:order val="5"/>
          <c:tx>
            <c:strRef>
              <c:f>[jijio.xlsx]Sheet1!$A$7</c:f>
              <c:strCache>
                <c:ptCount val="1"/>
                <c:pt idx="0">
                  <c:v>Polska </c:v>
                </c:pt>
              </c:strCache>
            </c:strRef>
          </c:tx>
          <c:spPr>
            <a:ln w="28575" cap="rnd">
              <a:solidFill>
                <a:schemeClr val="accent6"/>
              </a:solidFill>
              <a:round/>
            </a:ln>
            <a:effectLst/>
          </c:spPr>
          <c:marker>
            <c:symbol val="none"/>
          </c:marker>
          <c:cat>
            <c:numRef>
              <c:f>[jijio.xlsx]Sheet1!$B$1:$L$1</c:f>
              <c:numCache>
                <c:formatCode>General</c:formatCode>
                <c:ptCount val="11"/>
                <c:pt idx="0">
                  <c:v>2009</c:v>
                </c:pt>
                <c:pt idx="1">
                  <c:v>2010</c:v>
                </c:pt>
                <c:pt idx="2">
                  <c:v>2011</c:v>
                </c:pt>
                <c:pt idx="3">
                  <c:v>2012</c:v>
                </c:pt>
                <c:pt idx="4">
                  <c:v>2013</c:v>
                </c:pt>
                <c:pt idx="5">
                  <c:v>2014</c:v>
                </c:pt>
                <c:pt idx="6">
                  <c:v>2015</c:v>
                </c:pt>
                <c:pt idx="7">
                  <c:v>2016</c:v>
                </c:pt>
                <c:pt idx="8">
                  <c:v>2017</c:v>
                </c:pt>
                <c:pt idx="9">
                  <c:v>2018</c:v>
                </c:pt>
                <c:pt idx="10">
                  <c:v>2019</c:v>
                </c:pt>
              </c:numCache>
            </c:numRef>
          </c:cat>
          <c:val>
            <c:numRef>
              <c:f>[jijio.xlsx]Sheet1!$B$7:$L$7</c:f>
              <c:numCache>
                <c:formatCode>General</c:formatCode>
                <c:ptCount val="11"/>
                <c:pt idx="0">
                  <c:v>223</c:v>
                </c:pt>
                <c:pt idx="1">
                  <c:v>223</c:v>
                </c:pt>
                <c:pt idx="2">
                  <c:v>224</c:v>
                </c:pt>
                <c:pt idx="3">
                  <c:v>223</c:v>
                </c:pt>
                <c:pt idx="4">
                  <c:v>226</c:v>
                </c:pt>
                <c:pt idx="5">
                  <c:v>230</c:v>
                </c:pt>
                <c:pt idx="6">
                  <c:v>232</c:v>
                </c:pt>
                <c:pt idx="7">
                  <c:v>240</c:v>
                </c:pt>
                <c:pt idx="8">
                  <c:v>247</c:v>
                </c:pt>
                <c:pt idx="9">
                  <c:v>251</c:v>
                </c:pt>
                <c:pt idx="10">
                  <c:v>255</c:v>
                </c:pt>
              </c:numCache>
            </c:numRef>
          </c:val>
          <c:smooth val="0"/>
          <c:extLst>
            <c:ext xmlns:c16="http://schemas.microsoft.com/office/drawing/2014/chart" uri="{C3380CC4-5D6E-409C-BE32-E72D297353CC}">
              <c16:uniqueId val="{00000005-7532-4A3B-9814-859FB4675FFE}"/>
            </c:ext>
          </c:extLst>
        </c:ser>
        <c:dLbls>
          <c:showLegendKey val="0"/>
          <c:showVal val="0"/>
          <c:showCatName val="0"/>
          <c:showSerName val="0"/>
          <c:showPercent val="0"/>
          <c:showBubbleSize val="0"/>
        </c:dLbls>
        <c:smooth val="0"/>
        <c:axId val="958178352"/>
        <c:axId val="958178768"/>
      </c:lineChart>
      <c:catAx>
        <c:axId val="9581783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pl-PL"/>
          </a:p>
        </c:txPr>
        <c:crossAx val="958178768"/>
        <c:crosses val="autoZero"/>
        <c:auto val="1"/>
        <c:lblAlgn val="ctr"/>
        <c:lblOffset val="100"/>
        <c:noMultiLvlLbl val="0"/>
      </c:catAx>
      <c:valAx>
        <c:axId val="958178768"/>
        <c:scaling>
          <c:orientation val="minMax"/>
          <c:max val="260"/>
          <c:min val="12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pl-PL"/>
          </a:p>
        </c:txPr>
        <c:crossAx val="958178352"/>
        <c:crosses val="autoZero"/>
        <c:crossBetween val="between"/>
      </c:valAx>
      <c:spPr>
        <a:noFill/>
        <a:ln>
          <a:noFill/>
        </a:ln>
        <a:effectLst/>
      </c:spPr>
    </c:plotArea>
    <c:legend>
      <c:legendPos val="b"/>
      <c:layout>
        <c:manualLayout>
          <c:xMode val="edge"/>
          <c:yMode val="edge"/>
          <c:x val="0.80637642919964825"/>
          <c:y val="0.10639933897151746"/>
          <c:w val="0.18979771328056289"/>
          <c:h val="0.69089287450179837"/>
        </c:manualLayout>
      </c:layout>
      <c:overlay val="0"/>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solidFill>
      <a:round/>
    </a:ln>
    <a:effectLst/>
  </c:spPr>
  <c:txPr>
    <a:bodyPr/>
    <a:lstStyle/>
    <a:p>
      <a:pPr>
        <a:defRPr/>
      </a:pPr>
      <a:endParaRPr lang="pl-PL"/>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7404109208571151"/>
          <c:y val="4.4715447154471545E-2"/>
          <c:w val="0.58305767334638725"/>
          <c:h val="0.76799436655783881"/>
        </c:manualLayout>
      </c:layout>
      <c:barChart>
        <c:barDir val="bar"/>
        <c:grouping val="clustered"/>
        <c:varyColors val="0"/>
        <c:ser>
          <c:idx val="0"/>
          <c:order val="0"/>
          <c:tx>
            <c:strRef>
              <c:f>Arkusz1!$C$1</c:f>
              <c:strCache>
                <c:ptCount val="1"/>
                <c:pt idx="0">
                  <c:v>Południowe Maury</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Arkusz1!$B$2:$B$6</c:f>
              <c:strCache>
                <c:ptCount val="5"/>
                <c:pt idx="0">
                  <c:v>Rolnictwo, leśnictwo, łowiectwo i rybactwo</c:v>
                </c:pt>
                <c:pt idx="1">
                  <c:v>Przemysł i budownictwo</c:v>
                </c:pt>
                <c:pt idx="2">
                  <c:v>Handel, naprawa pojazdów, transport, zakwaterowanie i gastronomia, informacja i komunikacja</c:v>
                </c:pt>
                <c:pt idx="3">
                  <c:v>Działalność finansowa i ubezpieczeniowa, obsługa rynku nieruchomości</c:v>
                </c:pt>
                <c:pt idx="4">
                  <c:v>Pozostałe</c:v>
                </c:pt>
              </c:strCache>
            </c:strRef>
          </c:cat>
          <c:val>
            <c:numRef>
              <c:f>Arkusz1!$C$2:$C$6</c:f>
              <c:numCache>
                <c:formatCode>0.00%</c:formatCode>
                <c:ptCount val="5"/>
                <c:pt idx="0">
                  <c:v>0.26424999999999998</c:v>
                </c:pt>
                <c:pt idx="1">
                  <c:v>0.32800000000000001</c:v>
                </c:pt>
                <c:pt idx="2">
                  <c:v>0.12425</c:v>
                </c:pt>
                <c:pt idx="3">
                  <c:v>1.6750000000000001E-2</c:v>
                </c:pt>
                <c:pt idx="4">
                  <c:v>0.26700000000000002</c:v>
                </c:pt>
              </c:numCache>
            </c:numRef>
          </c:val>
          <c:extLst>
            <c:ext xmlns:c16="http://schemas.microsoft.com/office/drawing/2014/chart" uri="{C3380CC4-5D6E-409C-BE32-E72D297353CC}">
              <c16:uniqueId val="{00000000-BAA3-4B81-870B-42C673CFFED7}"/>
            </c:ext>
          </c:extLst>
        </c:ser>
        <c:ser>
          <c:idx val="1"/>
          <c:order val="1"/>
          <c:tx>
            <c:strRef>
              <c:f>Arkusz1!$D$1</c:f>
              <c:strCache>
                <c:ptCount val="1"/>
                <c:pt idx="0">
                  <c:v>powiat działdowski</c:v>
                </c:pt>
              </c:strCache>
            </c:strRef>
          </c:tx>
          <c:spPr>
            <a:solidFill>
              <a:schemeClr val="accent2"/>
            </a:solidFill>
            <a:ln>
              <a:noFill/>
            </a:ln>
            <a:effectLst/>
          </c:spPr>
          <c:invertIfNegative val="0"/>
          <c:cat>
            <c:strRef>
              <c:f>Arkusz1!$B$2:$B$6</c:f>
              <c:strCache>
                <c:ptCount val="5"/>
                <c:pt idx="0">
                  <c:v>Rolnictwo, leśnictwo, łowiectwo i rybactwo</c:v>
                </c:pt>
                <c:pt idx="1">
                  <c:v>Przemysł i budownictwo</c:v>
                </c:pt>
                <c:pt idx="2">
                  <c:v>Handel, naprawa pojazdów, transport, zakwaterowanie i gastronomia, informacja i komunikacja</c:v>
                </c:pt>
                <c:pt idx="3">
                  <c:v>Działalność finansowa i ubezpieczeniowa, obsługa rynku nieruchomości</c:v>
                </c:pt>
                <c:pt idx="4">
                  <c:v>Pozostałe</c:v>
                </c:pt>
              </c:strCache>
            </c:strRef>
          </c:cat>
          <c:val>
            <c:numRef>
              <c:f>Arkusz1!$D$2:$D$6</c:f>
              <c:numCache>
                <c:formatCode>0.00%</c:formatCode>
                <c:ptCount val="5"/>
                <c:pt idx="0">
                  <c:v>0.245</c:v>
                </c:pt>
                <c:pt idx="1">
                  <c:v>0.36299999999999999</c:v>
                </c:pt>
                <c:pt idx="2">
                  <c:v>0.115</c:v>
                </c:pt>
                <c:pt idx="3">
                  <c:v>1.2E-2</c:v>
                </c:pt>
                <c:pt idx="4">
                  <c:v>0.26500000000000001</c:v>
                </c:pt>
              </c:numCache>
            </c:numRef>
          </c:val>
          <c:extLst>
            <c:ext xmlns:c16="http://schemas.microsoft.com/office/drawing/2014/chart" uri="{C3380CC4-5D6E-409C-BE32-E72D297353CC}">
              <c16:uniqueId val="{00000001-BAA3-4B81-870B-42C673CFFED7}"/>
            </c:ext>
          </c:extLst>
        </c:ser>
        <c:ser>
          <c:idx val="2"/>
          <c:order val="2"/>
          <c:tx>
            <c:strRef>
              <c:f>Arkusz1!$E$1</c:f>
              <c:strCache>
                <c:ptCount val="1"/>
                <c:pt idx="0">
                  <c:v>powiat piski</c:v>
                </c:pt>
              </c:strCache>
            </c:strRef>
          </c:tx>
          <c:spPr>
            <a:solidFill>
              <a:schemeClr val="accent3"/>
            </a:solidFill>
            <a:ln>
              <a:noFill/>
            </a:ln>
            <a:effectLst/>
          </c:spPr>
          <c:invertIfNegative val="0"/>
          <c:cat>
            <c:strRef>
              <c:f>Arkusz1!$B$2:$B$6</c:f>
              <c:strCache>
                <c:ptCount val="5"/>
                <c:pt idx="0">
                  <c:v>Rolnictwo, leśnictwo, łowiectwo i rybactwo</c:v>
                </c:pt>
                <c:pt idx="1">
                  <c:v>Przemysł i budownictwo</c:v>
                </c:pt>
                <c:pt idx="2">
                  <c:v>Handel, naprawa pojazdów, transport, zakwaterowanie i gastronomia, informacja i komunikacja</c:v>
                </c:pt>
                <c:pt idx="3">
                  <c:v>Działalność finansowa i ubezpieczeniowa, obsługa rynku nieruchomości</c:v>
                </c:pt>
                <c:pt idx="4">
                  <c:v>Pozostałe</c:v>
                </c:pt>
              </c:strCache>
            </c:strRef>
          </c:cat>
          <c:val>
            <c:numRef>
              <c:f>Arkusz1!$E$2:$E$6</c:f>
              <c:numCache>
                <c:formatCode>0.00%</c:formatCode>
                <c:ptCount val="5"/>
                <c:pt idx="0">
                  <c:v>0.29099999999999998</c:v>
                </c:pt>
                <c:pt idx="1">
                  <c:v>0.24399999999999999</c:v>
                </c:pt>
                <c:pt idx="2">
                  <c:v>0.14299999999999999</c:v>
                </c:pt>
                <c:pt idx="3">
                  <c:v>2.1000000000000001E-2</c:v>
                </c:pt>
                <c:pt idx="4">
                  <c:v>0.30099999999999999</c:v>
                </c:pt>
              </c:numCache>
            </c:numRef>
          </c:val>
          <c:extLst>
            <c:ext xmlns:c16="http://schemas.microsoft.com/office/drawing/2014/chart" uri="{C3380CC4-5D6E-409C-BE32-E72D297353CC}">
              <c16:uniqueId val="{00000002-BAA3-4B81-870B-42C673CFFED7}"/>
            </c:ext>
          </c:extLst>
        </c:ser>
        <c:ser>
          <c:idx val="3"/>
          <c:order val="3"/>
          <c:tx>
            <c:strRef>
              <c:f>Arkusz1!$F$1</c:f>
              <c:strCache>
                <c:ptCount val="1"/>
                <c:pt idx="0">
                  <c:v>powiat nidzicki </c:v>
                </c:pt>
              </c:strCache>
            </c:strRef>
          </c:tx>
          <c:spPr>
            <a:solidFill>
              <a:schemeClr val="accent4"/>
            </a:solidFill>
            <a:ln>
              <a:noFill/>
            </a:ln>
            <a:effectLst/>
          </c:spPr>
          <c:invertIfNegative val="0"/>
          <c:cat>
            <c:strRef>
              <c:f>Arkusz1!$B$2:$B$6</c:f>
              <c:strCache>
                <c:ptCount val="5"/>
                <c:pt idx="0">
                  <c:v>Rolnictwo, leśnictwo, łowiectwo i rybactwo</c:v>
                </c:pt>
                <c:pt idx="1">
                  <c:v>Przemysł i budownictwo</c:v>
                </c:pt>
                <c:pt idx="2">
                  <c:v>Handel, naprawa pojazdów, transport, zakwaterowanie i gastronomia, informacja i komunikacja</c:v>
                </c:pt>
                <c:pt idx="3">
                  <c:v>Działalność finansowa i ubezpieczeniowa, obsługa rynku nieruchomości</c:v>
                </c:pt>
                <c:pt idx="4">
                  <c:v>Pozostałe</c:v>
                </c:pt>
              </c:strCache>
            </c:strRef>
          </c:cat>
          <c:val>
            <c:numRef>
              <c:f>Arkusz1!$F$2:$F$6</c:f>
              <c:numCache>
                <c:formatCode>0.00%</c:formatCode>
                <c:ptCount val="5"/>
                <c:pt idx="0">
                  <c:v>0.219</c:v>
                </c:pt>
                <c:pt idx="1">
                  <c:v>0.38700000000000001</c:v>
                </c:pt>
                <c:pt idx="2">
                  <c:v>0.124</c:v>
                </c:pt>
                <c:pt idx="3">
                  <c:v>1.4E-2</c:v>
                </c:pt>
                <c:pt idx="4">
                  <c:v>0.25700000000000001</c:v>
                </c:pt>
              </c:numCache>
            </c:numRef>
          </c:val>
          <c:extLst>
            <c:ext xmlns:c16="http://schemas.microsoft.com/office/drawing/2014/chart" uri="{C3380CC4-5D6E-409C-BE32-E72D297353CC}">
              <c16:uniqueId val="{00000003-BAA3-4B81-870B-42C673CFFED7}"/>
            </c:ext>
          </c:extLst>
        </c:ser>
        <c:ser>
          <c:idx val="4"/>
          <c:order val="4"/>
          <c:tx>
            <c:strRef>
              <c:f>Arkusz1!$G$1</c:f>
              <c:strCache>
                <c:ptCount val="1"/>
                <c:pt idx="0">
                  <c:v>powiat szczycieński </c:v>
                </c:pt>
              </c:strCache>
            </c:strRef>
          </c:tx>
          <c:spPr>
            <a:solidFill>
              <a:schemeClr val="accent5"/>
            </a:solidFill>
            <a:ln>
              <a:noFill/>
            </a:ln>
            <a:effectLst/>
          </c:spPr>
          <c:invertIfNegative val="0"/>
          <c:cat>
            <c:strRef>
              <c:f>Arkusz1!$B$2:$B$6</c:f>
              <c:strCache>
                <c:ptCount val="5"/>
                <c:pt idx="0">
                  <c:v>Rolnictwo, leśnictwo, łowiectwo i rybactwo</c:v>
                </c:pt>
                <c:pt idx="1">
                  <c:v>Przemysł i budownictwo</c:v>
                </c:pt>
                <c:pt idx="2">
                  <c:v>Handel, naprawa pojazdów, transport, zakwaterowanie i gastronomia, informacja i komunikacja</c:v>
                </c:pt>
                <c:pt idx="3">
                  <c:v>Działalność finansowa i ubezpieczeniowa, obsługa rynku nieruchomości</c:v>
                </c:pt>
                <c:pt idx="4">
                  <c:v>Pozostałe</c:v>
                </c:pt>
              </c:strCache>
            </c:strRef>
          </c:cat>
          <c:val>
            <c:numRef>
              <c:f>Arkusz1!$G$2:$G$6</c:f>
              <c:numCache>
                <c:formatCode>0.00%</c:formatCode>
                <c:ptCount val="5"/>
                <c:pt idx="0">
                  <c:v>0.30199999999999999</c:v>
                </c:pt>
                <c:pt idx="1">
                  <c:v>0.318</c:v>
                </c:pt>
                <c:pt idx="2">
                  <c:v>0.115</c:v>
                </c:pt>
                <c:pt idx="3">
                  <c:v>0.02</c:v>
                </c:pt>
                <c:pt idx="4">
                  <c:v>0.245</c:v>
                </c:pt>
              </c:numCache>
            </c:numRef>
          </c:val>
          <c:extLst>
            <c:ext xmlns:c16="http://schemas.microsoft.com/office/drawing/2014/chart" uri="{C3380CC4-5D6E-409C-BE32-E72D297353CC}">
              <c16:uniqueId val="{00000004-BAA3-4B81-870B-42C673CFFED7}"/>
            </c:ext>
          </c:extLst>
        </c:ser>
        <c:dLbls>
          <c:showLegendKey val="0"/>
          <c:showVal val="0"/>
          <c:showCatName val="0"/>
          <c:showSerName val="0"/>
          <c:showPercent val="0"/>
          <c:showBubbleSize val="0"/>
        </c:dLbls>
        <c:gapWidth val="182"/>
        <c:axId val="2129912944"/>
        <c:axId val="2129915024"/>
      </c:barChart>
      <c:catAx>
        <c:axId val="21299129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2129915024"/>
        <c:crosses val="autoZero"/>
        <c:auto val="1"/>
        <c:lblAlgn val="l"/>
        <c:lblOffset val="100"/>
        <c:noMultiLvlLbl val="0"/>
      </c:catAx>
      <c:valAx>
        <c:axId val="2129915024"/>
        <c:scaling>
          <c:orientation val="minMax"/>
          <c:max val="0.4"/>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pl-PL"/>
          </a:p>
        </c:txPr>
        <c:crossAx val="21299129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2"/>
      </a:solidFill>
      <a:round/>
    </a:ln>
    <a:effectLst/>
  </c:spPr>
  <c:txPr>
    <a:bodyPr/>
    <a:lstStyle/>
    <a:p>
      <a:pPr>
        <a:defRPr/>
      </a:pPr>
      <a:endParaRPr lang="pl-PL"/>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4918980935766261E-2"/>
          <c:y val="3.7187288708586883E-2"/>
          <c:w val="0.90499929275307656"/>
          <c:h val="0.70187664041994746"/>
        </c:manualLayout>
      </c:layout>
      <c:barChart>
        <c:barDir val="col"/>
        <c:grouping val="clustered"/>
        <c:varyColors val="0"/>
        <c:ser>
          <c:idx val="0"/>
          <c:order val="0"/>
          <c:tx>
            <c:strRef>
              <c:f>'9. Relacja kwoty zadłużenia w d'!$B$1:$B$2</c:f>
              <c:strCache>
                <c:ptCount val="2"/>
                <c:pt idx="0">
                  <c:v> 2 010,00    </c:v>
                </c:pt>
              </c:strCache>
            </c:strRef>
          </c:tx>
          <c:spPr>
            <a:solidFill>
              <a:schemeClr val="accent1"/>
            </a:solidFill>
            <a:ln>
              <a:noFill/>
            </a:ln>
            <a:effectLst/>
          </c:spPr>
          <c:invertIfNegative val="0"/>
          <c:cat>
            <c:strRef>
              <c:f>'9. Relacja kwoty zadłużenia w d'!$A$3:$A$28</c:f>
              <c:strCache>
                <c:ptCount val="26"/>
                <c:pt idx="0">
                  <c:v> Biała Piska </c:v>
                </c:pt>
                <c:pt idx="1">
                  <c:v> Działdowo </c:v>
                </c:pt>
                <c:pt idx="2">
                  <c:v> Działdowo </c:v>
                </c:pt>
                <c:pt idx="3">
                  <c:v> Dźwierzuty </c:v>
                </c:pt>
                <c:pt idx="4">
                  <c:v> Iłowo-Osada </c:v>
                </c:pt>
                <c:pt idx="5">
                  <c:v> Janowiec Kościelny </c:v>
                </c:pt>
                <c:pt idx="6">
                  <c:v> Janowo </c:v>
                </c:pt>
                <c:pt idx="7">
                  <c:v> Jedwabno </c:v>
                </c:pt>
                <c:pt idx="8">
                  <c:v> Kozłowo </c:v>
                </c:pt>
                <c:pt idx="9">
                  <c:v> Lidzbark </c:v>
                </c:pt>
                <c:pt idx="10">
                  <c:v> Nidzica </c:v>
                </c:pt>
                <c:pt idx="11">
                  <c:v> Orzysz </c:v>
                </c:pt>
                <c:pt idx="12">
                  <c:v> Pasym </c:v>
                </c:pt>
                <c:pt idx="13">
                  <c:v> Pisz </c:v>
                </c:pt>
                <c:pt idx="14">
                  <c:v> Płośnica </c:v>
                </c:pt>
                <c:pt idx="15">
                  <c:v> Rozogi </c:v>
                </c:pt>
                <c:pt idx="16">
                  <c:v> Ruciane-Nida </c:v>
                </c:pt>
                <c:pt idx="17">
                  <c:v> Rybno </c:v>
                </c:pt>
                <c:pt idx="18">
                  <c:v> Szczytno </c:v>
                </c:pt>
                <c:pt idx="19">
                  <c:v> Szczytno </c:v>
                </c:pt>
                <c:pt idx="20">
                  <c:v> Wielbark </c:v>
                </c:pt>
                <c:pt idx="21">
                  <c:v> Świętajno </c:v>
                </c:pt>
                <c:pt idx="22">
                  <c:v> Powiat działdowski </c:v>
                </c:pt>
                <c:pt idx="23">
                  <c:v> Powiat szczycieński  </c:v>
                </c:pt>
                <c:pt idx="24">
                  <c:v> Powiat piski </c:v>
                </c:pt>
                <c:pt idx="25">
                  <c:v> Powiat nidzicki  </c:v>
                </c:pt>
              </c:strCache>
            </c:strRef>
          </c:cat>
          <c:val>
            <c:numRef>
              <c:f>'9. Relacja kwoty zadłużenia w d'!$B$3:$B$28</c:f>
            </c:numRef>
          </c:val>
          <c:extLst>
            <c:ext xmlns:c16="http://schemas.microsoft.com/office/drawing/2014/chart" uri="{C3380CC4-5D6E-409C-BE32-E72D297353CC}">
              <c16:uniqueId val="{00000000-70FA-4285-BBAB-B7880D3B48E3}"/>
            </c:ext>
          </c:extLst>
        </c:ser>
        <c:ser>
          <c:idx val="1"/>
          <c:order val="1"/>
          <c:tx>
            <c:strRef>
              <c:f>'9. Relacja kwoty zadłużenia w d'!$C$1:$C$2</c:f>
              <c:strCache>
                <c:ptCount val="2"/>
                <c:pt idx="0">
                  <c:v> 2 011,00    </c:v>
                </c:pt>
              </c:strCache>
            </c:strRef>
          </c:tx>
          <c:spPr>
            <a:solidFill>
              <a:schemeClr val="accent2"/>
            </a:solidFill>
            <a:ln>
              <a:noFill/>
            </a:ln>
            <a:effectLst/>
          </c:spPr>
          <c:invertIfNegative val="0"/>
          <c:cat>
            <c:strRef>
              <c:f>'9. Relacja kwoty zadłużenia w d'!$A$3:$A$28</c:f>
              <c:strCache>
                <c:ptCount val="26"/>
                <c:pt idx="0">
                  <c:v> Biała Piska </c:v>
                </c:pt>
                <c:pt idx="1">
                  <c:v> Działdowo </c:v>
                </c:pt>
                <c:pt idx="2">
                  <c:v> Działdowo </c:v>
                </c:pt>
                <c:pt idx="3">
                  <c:v> Dźwierzuty </c:v>
                </c:pt>
                <c:pt idx="4">
                  <c:v> Iłowo-Osada </c:v>
                </c:pt>
                <c:pt idx="5">
                  <c:v> Janowiec Kościelny </c:v>
                </c:pt>
                <c:pt idx="6">
                  <c:v> Janowo </c:v>
                </c:pt>
                <c:pt idx="7">
                  <c:v> Jedwabno </c:v>
                </c:pt>
                <c:pt idx="8">
                  <c:v> Kozłowo </c:v>
                </c:pt>
                <c:pt idx="9">
                  <c:v> Lidzbark </c:v>
                </c:pt>
                <c:pt idx="10">
                  <c:v> Nidzica </c:v>
                </c:pt>
                <c:pt idx="11">
                  <c:v> Orzysz </c:v>
                </c:pt>
                <c:pt idx="12">
                  <c:v> Pasym </c:v>
                </c:pt>
                <c:pt idx="13">
                  <c:v> Pisz </c:v>
                </c:pt>
                <c:pt idx="14">
                  <c:v> Płośnica </c:v>
                </c:pt>
                <c:pt idx="15">
                  <c:v> Rozogi </c:v>
                </c:pt>
                <c:pt idx="16">
                  <c:v> Ruciane-Nida </c:v>
                </c:pt>
                <c:pt idx="17">
                  <c:v> Rybno </c:v>
                </c:pt>
                <c:pt idx="18">
                  <c:v> Szczytno </c:v>
                </c:pt>
                <c:pt idx="19">
                  <c:v> Szczytno </c:v>
                </c:pt>
                <c:pt idx="20">
                  <c:v> Wielbark </c:v>
                </c:pt>
                <c:pt idx="21">
                  <c:v> Świętajno </c:v>
                </c:pt>
                <c:pt idx="22">
                  <c:v> Powiat działdowski </c:v>
                </c:pt>
                <c:pt idx="23">
                  <c:v> Powiat szczycieński  </c:v>
                </c:pt>
                <c:pt idx="24">
                  <c:v> Powiat piski </c:v>
                </c:pt>
                <c:pt idx="25">
                  <c:v> Powiat nidzicki  </c:v>
                </c:pt>
              </c:strCache>
            </c:strRef>
          </c:cat>
          <c:val>
            <c:numRef>
              <c:f>'9. Relacja kwoty zadłużenia w d'!$C$3:$C$28</c:f>
            </c:numRef>
          </c:val>
          <c:extLst>
            <c:ext xmlns:c16="http://schemas.microsoft.com/office/drawing/2014/chart" uri="{C3380CC4-5D6E-409C-BE32-E72D297353CC}">
              <c16:uniqueId val="{00000001-70FA-4285-BBAB-B7880D3B48E3}"/>
            </c:ext>
          </c:extLst>
        </c:ser>
        <c:ser>
          <c:idx val="2"/>
          <c:order val="2"/>
          <c:tx>
            <c:strRef>
              <c:f>'9. Relacja kwoty zadłużenia w d'!$D$1:$D$2</c:f>
              <c:strCache>
                <c:ptCount val="2"/>
                <c:pt idx="0">
                  <c:v> 2 012,00    </c:v>
                </c:pt>
              </c:strCache>
            </c:strRef>
          </c:tx>
          <c:spPr>
            <a:solidFill>
              <a:schemeClr val="accent3"/>
            </a:solidFill>
            <a:ln>
              <a:noFill/>
            </a:ln>
            <a:effectLst/>
          </c:spPr>
          <c:invertIfNegative val="0"/>
          <c:cat>
            <c:strRef>
              <c:f>'9. Relacja kwoty zadłużenia w d'!$A$3:$A$28</c:f>
              <c:strCache>
                <c:ptCount val="26"/>
                <c:pt idx="0">
                  <c:v> Biała Piska </c:v>
                </c:pt>
                <c:pt idx="1">
                  <c:v> Działdowo </c:v>
                </c:pt>
                <c:pt idx="2">
                  <c:v> Działdowo </c:v>
                </c:pt>
                <c:pt idx="3">
                  <c:v> Dźwierzuty </c:v>
                </c:pt>
                <c:pt idx="4">
                  <c:v> Iłowo-Osada </c:v>
                </c:pt>
                <c:pt idx="5">
                  <c:v> Janowiec Kościelny </c:v>
                </c:pt>
                <c:pt idx="6">
                  <c:v> Janowo </c:v>
                </c:pt>
                <c:pt idx="7">
                  <c:v> Jedwabno </c:v>
                </c:pt>
                <c:pt idx="8">
                  <c:v> Kozłowo </c:v>
                </c:pt>
                <c:pt idx="9">
                  <c:v> Lidzbark </c:v>
                </c:pt>
                <c:pt idx="10">
                  <c:v> Nidzica </c:v>
                </c:pt>
                <c:pt idx="11">
                  <c:v> Orzysz </c:v>
                </c:pt>
                <c:pt idx="12">
                  <c:v> Pasym </c:v>
                </c:pt>
                <c:pt idx="13">
                  <c:v> Pisz </c:v>
                </c:pt>
                <c:pt idx="14">
                  <c:v> Płośnica </c:v>
                </c:pt>
                <c:pt idx="15">
                  <c:v> Rozogi </c:v>
                </c:pt>
                <c:pt idx="16">
                  <c:v> Ruciane-Nida </c:v>
                </c:pt>
                <c:pt idx="17">
                  <c:v> Rybno </c:v>
                </c:pt>
                <c:pt idx="18">
                  <c:v> Szczytno </c:v>
                </c:pt>
                <c:pt idx="19">
                  <c:v> Szczytno </c:v>
                </c:pt>
                <c:pt idx="20">
                  <c:v> Wielbark </c:v>
                </c:pt>
                <c:pt idx="21">
                  <c:v> Świętajno </c:v>
                </c:pt>
                <c:pt idx="22">
                  <c:v> Powiat działdowski </c:v>
                </c:pt>
                <c:pt idx="23">
                  <c:v> Powiat szczycieński  </c:v>
                </c:pt>
                <c:pt idx="24">
                  <c:v> Powiat piski </c:v>
                </c:pt>
                <c:pt idx="25">
                  <c:v> Powiat nidzicki  </c:v>
                </c:pt>
              </c:strCache>
            </c:strRef>
          </c:cat>
          <c:val>
            <c:numRef>
              <c:f>'9. Relacja kwoty zadłużenia w d'!$D$3:$D$28</c:f>
            </c:numRef>
          </c:val>
          <c:extLst>
            <c:ext xmlns:c16="http://schemas.microsoft.com/office/drawing/2014/chart" uri="{C3380CC4-5D6E-409C-BE32-E72D297353CC}">
              <c16:uniqueId val="{00000002-70FA-4285-BBAB-B7880D3B48E3}"/>
            </c:ext>
          </c:extLst>
        </c:ser>
        <c:ser>
          <c:idx val="3"/>
          <c:order val="3"/>
          <c:tx>
            <c:strRef>
              <c:f>'9. Relacja kwoty zadłużenia w d'!$E$1:$E$2</c:f>
              <c:strCache>
                <c:ptCount val="2"/>
                <c:pt idx="0">
                  <c:v> 2 013,00    </c:v>
                </c:pt>
              </c:strCache>
            </c:strRef>
          </c:tx>
          <c:spPr>
            <a:solidFill>
              <a:schemeClr val="accent4"/>
            </a:solidFill>
            <a:ln>
              <a:noFill/>
            </a:ln>
            <a:effectLst/>
          </c:spPr>
          <c:invertIfNegative val="0"/>
          <c:cat>
            <c:strRef>
              <c:f>'9. Relacja kwoty zadłużenia w d'!$A$3:$A$28</c:f>
              <c:strCache>
                <c:ptCount val="26"/>
                <c:pt idx="0">
                  <c:v> Biała Piska </c:v>
                </c:pt>
                <c:pt idx="1">
                  <c:v> Działdowo </c:v>
                </c:pt>
                <c:pt idx="2">
                  <c:v> Działdowo </c:v>
                </c:pt>
                <c:pt idx="3">
                  <c:v> Dźwierzuty </c:v>
                </c:pt>
                <c:pt idx="4">
                  <c:v> Iłowo-Osada </c:v>
                </c:pt>
                <c:pt idx="5">
                  <c:v> Janowiec Kościelny </c:v>
                </c:pt>
                <c:pt idx="6">
                  <c:v> Janowo </c:v>
                </c:pt>
                <c:pt idx="7">
                  <c:v> Jedwabno </c:v>
                </c:pt>
                <c:pt idx="8">
                  <c:v> Kozłowo </c:v>
                </c:pt>
                <c:pt idx="9">
                  <c:v> Lidzbark </c:v>
                </c:pt>
                <c:pt idx="10">
                  <c:v> Nidzica </c:v>
                </c:pt>
                <c:pt idx="11">
                  <c:v> Orzysz </c:v>
                </c:pt>
                <c:pt idx="12">
                  <c:v> Pasym </c:v>
                </c:pt>
                <c:pt idx="13">
                  <c:v> Pisz </c:v>
                </c:pt>
                <c:pt idx="14">
                  <c:v> Płośnica </c:v>
                </c:pt>
                <c:pt idx="15">
                  <c:v> Rozogi </c:v>
                </c:pt>
                <c:pt idx="16">
                  <c:v> Ruciane-Nida </c:v>
                </c:pt>
                <c:pt idx="17">
                  <c:v> Rybno </c:v>
                </c:pt>
                <c:pt idx="18">
                  <c:v> Szczytno </c:v>
                </c:pt>
                <c:pt idx="19">
                  <c:v> Szczytno </c:v>
                </c:pt>
                <c:pt idx="20">
                  <c:v> Wielbark </c:v>
                </c:pt>
                <c:pt idx="21">
                  <c:v> Świętajno </c:v>
                </c:pt>
                <c:pt idx="22">
                  <c:v> Powiat działdowski </c:v>
                </c:pt>
                <c:pt idx="23">
                  <c:v> Powiat szczycieński  </c:v>
                </c:pt>
                <c:pt idx="24">
                  <c:v> Powiat piski </c:v>
                </c:pt>
                <c:pt idx="25">
                  <c:v> Powiat nidzicki  </c:v>
                </c:pt>
              </c:strCache>
            </c:strRef>
          </c:cat>
          <c:val>
            <c:numRef>
              <c:f>'9. Relacja kwoty zadłużenia w d'!$E$3:$E$28</c:f>
            </c:numRef>
          </c:val>
          <c:extLst>
            <c:ext xmlns:c16="http://schemas.microsoft.com/office/drawing/2014/chart" uri="{C3380CC4-5D6E-409C-BE32-E72D297353CC}">
              <c16:uniqueId val="{00000003-70FA-4285-BBAB-B7880D3B48E3}"/>
            </c:ext>
          </c:extLst>
        </c:ser>
        <c:ser>
          <c:idx val="4"/>
          <c:order val="4"/>
          <c:tx>
            <c:strRef>
              <c:f>'9. Relacja kwoty zadłużenia w d'!$F$1:$F$2</c:f>
              <c:strCache>
                <c:ptCount val="2"/>
                <c:pt idx="0">
                  <c:v> 2 014,00    </c:v>
                </c:pt>
              </c:strCache>
            </c:strRef>
          </c:tx>
          <c:spPr>
            <a:solidFill>
              <a:schemeClr val="accent5"/>
            </a:solidFill>
            <a:ln>
              <a:noFill/>
            </a:ln>
            <a:effectLst/>
          </c:spPr>
          <c:invertIfNegative val="0"/>
          <c:cat>
            <c:strRef>
              <c:f>'9. Relacja kwoty zadłużenia w d'!$A$3:$A$28</c:f>
              <c:strCache>
                <c:ptCount val="26"/>
                <c:pt idx="0">
                  <c:v> Biała Piska </c:v>
                </c:pt>
                <c:pt idx="1">
                  <c:v> Działdowo </c:v>
                </c:pt>
                <c:pt idx="2">
                  <c:v> Działdowo </c:v>
                </c:pt>
                <c:pt idx="3">
                  <c:v> Dźwierzuty </c:v>
                </c:pt>
                <c:pt idx="4">
                  <c:v> Iłowo-Osada </c:v>
                </c:pt>
                <c:pt idx="5">
                  <c:v> Janowiec Kościelny </c:v>
                </c:pt>
                <c:pt idx="6">
                  <c:v> Janowo </c:v>
                </c:pt>
                <c:pt idx="7">
                  <c:v> Jedwabno </c:v>
                </c:pt>
                <c:pt idx="8">
                  <c:v> Kozłowo </c:v>
                </c:pt>
                <c:pt idx="9">
                  <c:v> Lidzbark </c:v>
                </c:pt>
                <c:pt idx="10">
                  <c:v> Nidzica </c:v>
                </c:pt>
                <c:pt idx="11">
                  <c:v> Orzysz </c:v>
                </c:pt>
                <c:pt idx="12">
                  <c:v> Pasym </c:v>
                </c:pt>
                <c:pt idx="13">
                  <c:v> Pisz </c:v>
                </c:pt>
                <c:pt idx="14">
                  <c:v> Płośnica </c:v>
                </c:pt>
                <c:pt idx="15">
                  <c:v> Rozogi </c:v>
                </c:pt>
                <c:pt idx="16">
                  <c:v> Ruciane-Nida </c:v>
                </c:pt>
                <c:pt idx="17">
                  <c:v> Rybno </c:v>
                </c:pt>
                <c:pt idx="18">
                  <c:v> Szczytno </c:v>
                </c:pt>
                <c:pt idx="19">
                  <c:v> Szczytno </c:v>
                </c:pt>
                <c:pt idx="20">
                  <c:v> Wielbark </c:v>
                </c:pt>
                <c:pt idx="21">
                  <c:v> Świętajno </c:v>
                </c:pt>
                <c:pt idx="22">
                  <c:v> Powiat działdowski </c:v>
                </c:pt>
                <c:pt idx="23">
                  <c:v> Powiat szczycieński  </c:v>
                </c:pt>
                <c:pt idx="24">
                  <c:v> Powiat piski </c:v>
                </c:pt>
                <c:pt idx="25">
                  <c:v> Powiat nidzicki  </c:v>
                </c:pt>
              </c:strCache>
            </c:strRef>
          </c:cat>
          <c:val>
            <c:numRef>
              <c:f>'9. Relacja kwoty zadłużenia w d'!$F$3:$F$28</c:f>
            </c:numRef>
          </c:val>
          <c:extLst>
            <c:ext xmlns:c16="http://schemas.microsoft.com/office/drawing/2014/chart" uri="{C3380CC4-5D6E-409C-BE32-E72D297353CC}">
              <c16:uniqueId val="{00000004-70FA-4285-BBAB-B7880D3B48E3}"/>
            </c:ext>
          </c:extLst>
        </c:ser>
        <c:ser>
          <c:idx val="5"/>
          <c:order val="5"/>
          <c:tx>
            <c:strRef>
              <c:f>'9. Relacja kwoty zadłużenia w d'!$G$1:$G$2</c:f>
              <c:strCache>
                <c:ptCount val="2"/>
                <c:pt idx="0">
                  <c:v>2015</c:v>
                </c:pt>
              </c:strCache>
            </c:strRef>
          </c:tx>
          <c:spPr>
            <a:solidFill>
              <a:schemeClr val="accent6"/>
            </a:solidFill>
            <a:ln>
              <a:noFill/>
            </a:ln>
            <a:effectLst/>
          </c:spPr>
          <c:invertIfNegative val="0"/>
          <c:cat>
            <c:strRef>
              <c:f>'9. Relacja kwoty zadłużenia w d'!$A$3:$A$28</c:f>
              <c:strCache>
                <c:ptCount val="26"/>
                <c:pt idx="0">
                  <c:v> Biała Piska </c:v>
                </c:pt>
                <c:pt idx="1">
                  <c:v> Działdowo </c:v>
                </c:pt>
                <c:pt idx="2">
                  <c:v> Działdowo </c:v>
                </c:pt>
                <c:pt idx="3">
                  <c:v> Dźwierzuty </c:v>
                </c:pt>
                <c:pt idx="4">
                  <c:v> Iłowo-Osada </c:v>
                </c:pt>
                <c:pt idx="5">
                  <c:v> Janowiec Kościelny </c:v>
                </c:pt>
                <c:pt idx="6">
                  <c:v> Janowo </c:v>
                </c:pt>
                <c:pt idx="7">
                  <c:v> Jedwabno </c:v>
                </c:pt>
                <c:pt idx="8">
                  <c:v> Kozłowo </c:v>
                </c:pt>
                <c:pt idx="9">
                  <c:v> Lidzbark </c:v>
                </c:pt>
                <c:pt idx="10">
                  <c:v> Nidzica </c:v>
                </c:pt>
                <c:pt idx="11">
                  <c:v> Orzysz </c:v>
                </c:pt>
                <c:pt idx="12">
                  <c:v> Pasym </c:v>
                </c:pt>
                <c:pt idx="13">
                  <c:v> Pisz </c:v>
                </c:pt>
                <c:pt idx="14">
                  <c:v> Płośnica </c:v>
                </c:pt>
                <c:pt idx="15">
                  <c:v> Rozogi </c:v>
                </c:pt>
                <c:pt idx="16">
                  <c:v> Ruciane-Nida </c:v>
                </c:pt>
                <c:pt idx="17">
                  <c:v> Rybno </c:v>
                </c:pt>
                <c:pt idx="18">
                  <c:v> Szczytno </c:v>
                </c:pt>
                <c:pt idx="19">
                  <c:v> Szczytno </c:v>
                </c:pt>
                <c:pt idx="20">
                  <c:v> Wielbark </c:v>
                </c:pt>
                <c:pt idx="21">
                  <c:v> Świętajno </c:v>
                </c:pt>
                <c:pt idx="22">
                  <c:v> Powiat działdowski </c:v>
                </c:pt>
                <c:pt idx="23">
                  <c:v> Powiat szczycieński  </c:v>
                </c:pt>
                <c:pt idx="24">
                  <c:v> Powiat piski </c:v>
                </c:pt>
                <c:pt idx="25">
                  <c:v> Powiat nidzicki  </c:v>
                </c:pt>
              </c:strCache>
            </c:strRef>
          </c:cat>
          <c:val>
            <c:numRef>
              <c:f>'9. Relacja kwoty zadłużenia w d'!$G$3:$G$28</c:f>
              <c:numCache>
                <c:formatCode>_-* #\ ##0.00\ _z_ł_-;\-* #\ ##0.00\ _z_ł_-;_-* "-"??\ _z_ł_-;_-@_-</c:formatCode>
                <c:ptCount val="26"/>
                <c:pt idx="0">
                  <c:v>36.35</c:v>
                </c:pt>
                <c:pt idx="1">
                  <c:v>7.04</c:v>
                </c:pt>
                <c:pt idx="2">
                  <c:v>12.51</c:v>
                </c:pt>
                <c:pt idx="3">
                  <c:v>32.979999999999997</c:v>
                </c:pt>
                <c:pt idx="4">
                  <c:v>34.78</c:v>
                </c:pt>
                <c:pt idx="5">
                  <c:v>31.57</c:v>
                </c:pt>
                <c:pt idx="6">
                  <c:v>7.83</c:v>
                </c:pt>
                <c:pt idx="7">
                  <c:v>33.53</c:v>
                </c:pt>
                <c:pt idx="8">
                  <c:v>36.32</c:v>
                </c:pt>
                <c:pt idx="9">
                  <c:v>11.02</c:v>
                </c:pt>
                <c:pt idx="10">
                  <c:v>32.32</c:v>
                </c:pt>
                <c:pt idx="11">
                  <c:v>23.76</c:v>
                </c:pt>
                <c:pt idx="12">
                  <c:v>46.38</c:v>
                </c:pt>
                <c:pt idx="13">
                  <c:v>63.2</c:v>
                </c:pt>
                <c:pt idx="14">
                  <c:v>14.09</c:v>
                </c:pt>
                <c:pt idx="15">
                  <c:v>28.78</c:v>
                </c:pt>
                <c:pt idx="16">
                  <c:v>42.89</c:v>
                </c:pt>
                <c:pt idx="17">
                  <c:v>11.43</c:v>
                </c:pt>
                <c:pt idx="18">
                  <c:v>20.61</c:v>
                </c:pt>
                <c:pt idx="19">
                  <c:v>10.71</c:v>
                </c:pt>
                <c:pt idx="20">
                  <c:v>29.3</c:v>
                </c:pt>
                <c:pt idx="21">
                  <c:v>9.69</c:v>
                </c:pt>
                <c:pt idx="22">
                  <c:v>0.99</c:v>
                </c:pt>
                <c:pt idx="23">
                  <c:v>3.37</c:v>
                </c:pt>
                <c:pt idx="24">
                  <c:v>13.02</c:v>
                </c:pt>
                <c:pt idx="25">
                  <c:v>24.85</c:v>
                </c:pt>
              </c:numCache>
            </c:numRef>
          </c:val>
          <c:extLst>
            <c:ext xmlns:c16="http://schemas.microsoft.com/office/drawing/2014/chart" uri="{C3380CC4-5D6E-409C-BE32-E72D297353CC}">
              <c16:uniqueId val="{00000005-70FA-4285-BBAB-B7880D3B48E3}"/>
            </c:ext>
          </c:extLst>
        </c:ser>
        <c:ser>
          <c:idx val="6"/>
          <c:order val="6"/>
          <c:tx>
            <c:strRef>
              <c:f>'9. Relacja kwoty zadłużenia w d'!$H$1:$H$2</c:f>
              <c:strCache>
                <c:ptCount val="2"/>
                <c:pt idx="0">
                  <c:v>2016</c:v>
                </c:pt>
              </c:strCache>
            </c:strRef>
          </c:tx>
          <c:spPr>
            <a:solidFill>
              <a:schemeClr val="accent1">
                <a:lumMod val="60000"/>
              </a:schemeClr>
            </a:solidFill>
            <a:ln>
              <a:noFill/>
            </a:ln>
            <a:effectLst/>
          </c:spPr>
          <c:invertIfNegative val="0"/>
          <c:cat>
            <c:strRef>
              <c:f>'9. Relacja kwoty zadłużenia w d'!$A$3:$A$28</c:f>
              <c:strCache>
                <c:ptCount val="26"/>
                <c:pt idx="0">
                  <c:v> Biała Piska </c:v>
                </c:pt>
                <c:pt idx="1">
                  <c:v> Działdowo </c:v>
                </c:pt>
                <c:pt idx="2">
                  <c:v> Działdowo </c:v>
                </c:pt>
                <c:pt idx="3">
                  <c:v> Dźwierzuty </c:v>
                </c:pt>
                <c:pt idx="4">
                  <c:v> Iłowo-Osada </c:v>
                </c:pt>
                <c:pt idx="5">
                  <c:v> Janowiec Kościelny </c:v>
                </c:pt>
                <c:pt idx="6">
                  <c:v> Janowo </c:v>
                </c:pt>
                <c:pt idx="7">
                  <c:v> Jedwabno </c:v>
                </c:pt>
                <c:pt idx="8">
                  <c:v> Kozłowo </c:v>
                </c:pt>
                <c:pt idx="9">
                  <c:v> Lidzbark </c:v>
                </c:pt>
                <c:pt idx="10">
                  <c:v> Nidzica </c:v>
                </c:pt>
                <c:pt idx="11">
                  <c:v> Orzysz </c:v>
                </c:pt>
                <c:pt idx="12">
                  <c:v> Pasym </c:v>
                </c:pt>
                <c:pt idx="13">
                  <c:v> Pisz </c:v>
                </c:pt>
                <c:pt idx="14">
                  <c:v> Płośnica </c:v>
                </c:pt>
                <c:pt idx="15">
                  <c:v> Rozogi </c:v>
                </c:pt>
                <c:pt idx="16">
                  <c:v> Ruciane-Nida </c:v>
                </c:pt>
                <c:pt idx="17">
                  <c:v> Rybno </c:v>
                </c:pt>
                <c:pt idx="18">
                  <c:v> Szczytno </c:v>
                </c:pt>
                <c:pt idx="19">
                  <c:v> Szczytno </c:v>
                </c:pt>
                <c:pt idx="20">
                  <c:v> Wielbark </c:v>
                </c:pt>
                <c:pt idx="21">
                  <c:v> Świętajno </c:v>
                </c:pt>
                <c:pt idx="22">
                  <c:v> Powiat działdowski </c:v>
                </c:pt>
                <c:pt idx="23">
                  <c:v> Powiat szczycieński  </c:v>
                </c:pt>
                <c:pt idx="24">
                  <c:v> Powiat piski </c:v>
                </c:pt>
                <c:pt idx="25">
                  <c:v> Powiat nidzicki  </c:v>
                </c:pt>
              </c:strCache>
            </c:strRef>
          </c:cat>
          <c:val>
            <c:numRef>
              <c:f>'9. Relacja kwoty zadłużenia w d'!$H$3:$H$28</c:f>
              <c:numCache>
                <c:formatCode>_-* #\ ##0.00\ _z_ł_-;\-* #\ ##0.00\ _z_ł_-;_-* "-"??\ _z_ł_-;_-@_-</c:formatCode>
                <c:ptCount val="26"/>
                <c:pt idx="0">
                  <c:v>26.31</c:v>
                </c:pt>
                <c:pt idx="1">
                  <c:v>4.3099999999999996</c:v>
                </c:pt>
                <c:pt idx="2">
                  <c:v>9.14</c:v>
                </c:pt>
                <c:pt idx="3">
                  <c:v>22.37</c:v>
                </c:pt>
                <c:pt idx="4">
                  <c:v>23.8</c:v>
                </c:pt>
                <c:pt idx="5">
                  <c:v>26.23</c:v>
                </c:pt>
                <c:pt idx="6">
                  <c:v>12.47</c:v>
                </c:pt>
                <c:pt idx="7">
                  <c:v>37.18</c:v>
                </c:pt>
                <c:pt idx="8">
                  <c:v>23.7</c:v>
                </c:pt>
                <c:pt idx="9">
                  <c:v>6.8</c:v>
                </c:pt>
                <c:pt idx="10">
                  <c:v>27.42</c:v>
                </c:pt>
                <c:pt idx="11">
                  <c:v>19.21</c:v>
                </c:pt>
                <c:pt idx="12">
                  <c:v>35.28</c:v>
                </c:pt>
                <c:pt idx="13">
                  <c:v>40.08</c:v>
                </c:pt>
                <c:pt idx="14">
                  <c:v>9.9700000000000006</c:v>
                </c:pt>
                <c:pt idx="15">
                  <c:v>20.43</c:v>
                </c:pt>
                <c:pt idx="16">
                  <c:v>26.09</c:v>
                </c:pt>
                <c:pt idx="17">
                  <c:v>6.3</c:v>
                </c:pt>
                <c:pt idx="18">
                  <c:v>16.68</c:v>
                </c:pt>
                <c:pt idx="19">
                  <c:v>8.73</c:v>
                </c:pt>
                <c:pt idx="20">
                  <c:v>27.83</c:v>
                </c:pt>
                <c:pt idx="21">
                  <c:v>7.23</c:v>
                </c:pt>
                <c:pt idx="22">
                  <c:v>0.65</c:v>
                </c:pt>
                <c:pt idx="23">
                  <c:v>2.1800000000000002</c:v>
                </c:pt>
                <c:pt idx="24">
                  <c:v>9.24</c:v>
                </c:pt>
                <c:pt idx="25">
                  <c:v>21.28</c:v>
                </c:pt>
              </c:numCache>
            </c:numRef>
          </c:val>
          <c:extLst>
            <c:ext xmlns:c16="http://schemas.microsoft.com/office/drawing/2014/chart" uri="{C3380CC4-5D6E-409C-BE32-E72D297353CC}">
              <c16:uniqueId val="{00000006-70FA-4285-BBAB-B7880D3B48E3}"/>
            </c:ext>
          </c:extLst>
        </c:ser>
        <c:ser>
          <c:idx val="7"/>
          <c:order val="7"/>
          <c:tx>
            <c:strRef>
              <c:f>'9. Relacja kwoty zadłużenia w d'!$I$1:$I$2</c:f>
              <c:strCache>
                <c:ptCount val="2"/>
                <c:pt idx="0">
                  <c:v>2017</c:v>
                </c:pt>
              </c:strCache>
            </c:strRef>
          </c:tx>
          <c:spPr>
            <a:solidFill>
              <a:schemeClr val="accent2">
                <a:lumMod val="60000"/>
              </a:schemeClr>
            </a:solidFill>
            <a:ln>
              <a:noFill/>
            </a:ln>
            <a:effectLst/>
          </c:spPr>
          <c:invertIfNegative val="0"/>
          <c:cat>
            <c:strRef>
              <c:f>'9. Relacja kwoty zadłużenia w d'!$A$3:$A$28</c:f>
              <c:strCache>
                <c:ptCount val="26"/>
                <c:pt idx="0">
                  <c:v> Biała Piska </c:v>
                </c:pt>
                <c:pt idx="1">
                  <c:v> Działdowo </c:v>
                </c:pt>
                <c:pt idx="2">
                  <c:v> Działdowo </c:v>
                </c:pt>
                <c:pt idx="3">
                  <c:v> Dźwierzuty </c:v>
                </c:pt>
                <c:pt idx="4">
                  <c:v> Iłowo-Osada </c:v>
                </c:pt>
                <c:pt idx="5">
                  <c:v> Janowiec Kościelny </c:v>
                </c:pt>
                <c:pt idx="6">
                  <c:v> Janowo </c:v>
                </c:pt>
                <c:pt idx="7">
                  <c:v> Jedwabno </c:v>
                </c:pt>
                <c:pt idx="8">
                  <c:v> Kozłowo </c:v>
                </c:pt>
                <c:pt idx="9">
                  <c:v> Lidzbark </c:v>
                </c:pt>
                <c:pt idx="10">
                  <c:v> Nidzica </c:v>
                </c:pt>
                <c:pt idx="11">
                  <c:v> Orzysz </c:v>
                </c:pt>
                <c:pt idx="12">
                  <c:v> Pasym </c:v>
                </c:pt>
                <c:pt idx="13">
                  <c:v> Pisz </c:v>
                </c:pt>
                <c:pt idx="14">
                  <c:v> Płośnica </c:v>
                </c:pt>
                <c:pt idx="15">
                  <c:v> Rozogi </c:v>
                </c:pt>
                <c:pt idx="16">
                  <c:v> Ruciane-Nida </c:v>
                </c:pt>
                <c:pt idx="17">
                  <c:v> Rybno </c:v>
                </c:pt>
                <c:pt idx="18">
                  <c:v> Szczytno </c:v>
                </c:pt>
                <c:pt idx="19">
                  <c:v> Szczytno </c:v>
                </c:pt>
                <c:pt idx="20">
                  <c:v> Wielbark </c:v>
                </c:pt>
                <c:pt idx="21">
                  <c:v> Świętajno </c:v>
                </c:pt>
                <c:pt idx="22">
                  <c:v> Powiat działdowski </c:v>
                </c:pt>
                <c:pt idx="23">
                  <c:v> Powiat szczycieński  </c:v>
                </c:pt>
                <c:pt idx="24">
                  <c:v> Powiat piski </c:v>
                </c:pt>
                <c:pt idx="25">
                  <c:v> Powiat nidzicki  </c:v>
                </c:pt>
              </c:strCache>
            </c:strRef>
          </c:cat>
          <c:val>
            <c:numRef>
              <c:f>'9. Relacja kwoty zadłużenia w d'!$I$3:$I$28</c:f>
              <c:numCache>
                <c:formatCode>_-* #\ ##0.00\ _z_ł_-;\-* #\ ##0.00\ _z_ł_-;_-* "-"??\ _z_ł_-;_-@_-</c:formatCode>
                <c:ptCount val="26"/>
                <c:pt idx="0">
                  <c:v>31.14</c:v>
                </c:pt>
                <c:pt idx="1">
                  <c:v>5.96</c:v>
                </c:pt>
                <c:pt idx="2">
                  <c:v>11.58</c:v>
                </c:pt>
                <c:pt idx="3">
                  <c:v>21.84</c:v>
                </c:pt>
                <c:pt idx="4">
                  <c:v>22.7</c:v>
                </c:pt>
                <c:pt idx="5">
                  <c:v>23.86</c:v>
                </c:pt>
                <c:pt idx="6">
                  <c:v>7.8</c:v>
                </c:pt>
                <c:pt idx="7">
                  <c:v>40.78</c:v>
                </c:pt>
                <c:pt idx="8">
                  <c:v>20.010000000000002</c:v>
                </c:pt>
                <c:pt idx="9">
                  <c:v>5.88</c:v>
                </c:pt>
                <c:pt idx="10">
                  <c:v>31.71</c:v>
                </c:pt>
                <c:pt idx="11">
                  <c:v>13.96</c:v>
                </c:pt>
                <c:pt idx="12">
                  <c:v>28.44</c:v>
                </c:pt>
                <c:pt idx="13">
                  <c:v>29.88</c:v>
                </c:pt>
                <c:pt idx="14">
                  <c:v>7.82</c:v>
                </c:pt>
                <c:pt idx="15">
                  <c:v>14.98</c:v>
                </c:pt>
                <c:pt idx="16">
                  <c:v>24.8</c:v>
                </c:pt>
                <c:pt idx="17">
                  <c:v>9.4700000000000006</c:v>
                </c:pt>
                <c:pt idx="18">
                  <c:v>15.19</c:v>
                </c:pt>
                <c:pt idx="19">
                  <c:v>7.56</c:v>
                </c:pt>
                <c:pt idx="20">
                  <c:v>27.21</c:v>
                </c:pt>
                <c:pt idx="21">
                  <c:v>13.62</c:v>
                </c:pt>
                <c:pt idx="22">
                  <c:v>0.3</c:v>
                </c:pt>
                <c:pt idx="23">
                  <c:v>9.11</c:v>
                </c:pt>
                <c:pt idx="24">
                  <c:v>11.4</c:v>
                </c:pt>
                <c:pt idx="25">
                  <c:v>18.79</c:v>
                </c:pt>
              </c:numCache>
            </c:numRef>
          </c:val>
          <c:extLst>
            <c:ext xmlns:c16="http://schemas.microsoft.com/office/drawing/2014/chart" uri="{C3380CC4-5D6E-409C-BE32-E72D297353CC}">
              <c16:uniqueId val="{00000007-70FA-4285-BBAB-B7880D3B48E3}"/>
            </c:ext>
          </c:extLst>
        </c:ser>
        <c:ser>
          <c:idx val="8"/>
          <c:order val="8"/>
          <c:tx>
            <c:strRef>
              <c:f>'9. Relacja kwoty zadłużenia w d'!$J$1:$J$2</c:f>
              <c:strCache>
                <c:ptCount val="2"/>
                <c:pt idx="0">
                  <c:v>2018</c:v>
                </c:pt>
              </c:strCache>
            </c:strRef>
          </c:tx>
          <c:spPr>
            <a:solidFill>
              <a:schemeClr val="accent3">
                <a:lumMod val="60000"/>
              </a:schemeClr>
            </a:solidFill>
            <a:ln>
              <a:noFill/>
            </a:ln>
            <a:effectLst/>
          </c:spPr>
          <c:invertIfNegative val="0"/>
          <c:cat>
            <c:strRef>
              <c:f>'9. Relacja kwoty zadłużenia w d'!$A$3:$A$28</c:f>
              <c:strCache>
                <c:ptCount val="26"/>
                <c:pt idx="0">
                  <c:v> Biała Piska </c:v>
                </c:pt>
                <c:pt idx="1">
                  <c:v> Działdowo </c:v>
                </c:pt>
                <c:pt idx="2">
                  <c:v> Działdowo </c:v>
                </c:pt>
                <c:pt idx="3">
                  <c:v> Dźwierzuty </c:v>
                </c:pt>
                <c:pt idx="4">
                  <c:v> Iłowo-Osada </c:v>
                </c:pt>
                <c:pt idx="5">
                  <c:v> Janowiec Kościelny </c:v>
                </c:pt>
                <c:pt idx="6">
                  <c:v> Janowo </c:v>
                </c:pt>
                <c:pt idx="7">
                  <c:v> Jedwabno </c:v>
                </c:pt>
                <c:pt idx="8">
                  <c:v> Kozłowo </c:v>
                </c:pt>
                <c:pt idx="9">
                  <c:v> Lidzbark </c:v>
                </c:pt>
                <c:pt idx="10">
                  <c:v> Nidzica </c:v>
                </c:pt>
                <c:pt idx="11">
                  <c:v> Orzysz </c:v>
                </c:pt>
                <c:pt idx="12">
                  <c:v> Pasym </c:v>
                </c:pt>
                <c:pt idx="13">
                  <c:v> Pisz </c:v>
                </c:pt>
                <c:pt idx="14">
                  <c:v> Płośnica </c:v>
                </c:pt>
                <c:pt idx="15">
                  <c:v> Rozogi </c:v>
                </c:pt>
                <c:pt idx="16">
                  <c:v> Ruciane-Nida </c:v>
                </c:pt>
                <c:pt idx="17">
                  <c:v> Rybno </c:v>
                </c:pt>
                <c:pt idx="18">
                  <c:v> Szczytno </c:v>
                </c:pt>
                <c:pt idx="19">
                  <c:v> Szczytno </c:v>
                </c:pt>
                <c:pt idx="20">
                  <c:v> Wielbark </c:v>
                </c:pt>
                <c:pt idx="21">
                  <c:v> Świętajno </c:v>
                </c:pt>
                <c:pt idx="22">
                  <c:v> Powiat działdowski </c:v>
                </c:pt>
                <c:pt idx="23">
                  <c:v> Powiat szczycieński  </c:v>
                </c:pt>
                <c:pt idx="24">
                  <c:v> Powiat piski </c:v>
                </c:pt>
                <c:pt idx="25">
                  <c:v> Powiat nidzicki  </c:v>
                </c:pt>
              </c:strCache>
            </c:strRef>
          </c:cat>
          <c:val>
            <c:numRef>
              <c:f>'9. Relacja kwoty zadłużenia w d'!$J$3:$J$28</c:f>
              <c:numCache>
                <c:formatCode>_-* #\ ##0.00\ _z_ł_-;\-* #\ ##0.00\ _z_ł_-;_-* "-"??\ _z_ł_-;_-@_-</c:formatCode>
                <c:ptCount val="26"/>
                <c:pt idx="0">
                  <c:v>34.51</c:v>
                </c:pt>
                <c:pt idx="1">
                  <c:v>12.76</c:v>
                </c:pt>
                <c:pt idx="2">
                  <c:v>17.18</c:v>
                </c:pt>
                <c:pt idx="3">
                  <c:v>22.53</c:v>
                </c:pt>
                <c:pt idx="4">
                  <c:v>23.99</c:v>
                </c:pt>
                <c:pt idx="5">
                  <c:v>16.989999999999998</c:v>
                </c:pt>
                <c:pt idx="6">
                  <c:v>13.59</c:v>
                </c:pt>
                <c:pt idx="7">
                  <c:v>39.22</c:v>
                </c:pt>
                <c:pt idx="8">
                  <c:v>19.510000000000002</c:v>
                </c:pt>
                <c:pt idx="9">
                  <c:v>11.49</c:v>
                </c:pt>
                <c:pt idx="10">
                  <c:v>43.61</c:v>
                </c:pt>
                <c:pt idx="11">
                  <c:v>19.760000000000002</c:v>
                </c:pt>
                <c:pt idx="12">
                  <c:v>65.319999999999993</c:v>
                </c:pt>
                <c:pt idx="13">
                  <c:v>18.170000000000002</c:v>
                </c:pt>
                <c:pt idx="14">
                  <c:v>17.12</c:v>
                </c:pt>
                <c:pt idx="15">
                  <c:v>16.489999999999998</c:v>
                </c:pt>
                <c:pt idx="16">
                  <c:v>21.8</c:v>
                </c:pt>
                <c:pt idx="17">
                  <c:v>15.61</c:v>
                </c:pt>
                <c:pt idx="18">
                  <c:v>15.37</c:v>
                </c:pt>
                <c:pt idx="19">
                  <c:v>13.4</c:v>
                </c:pt>
                <c:pt idx="20">
                  <c:v>24.15</c:v>
                </c:pt>
                <c:pt idx="21">
                  <c:v>24.46</c:v>
                </c:pt>
                <c:pt idx="22">
                  <c:v>0</c:v>
                </c:pt>
                <c:pt idx="23">
                  <c:v>19.510000000000002</c:v>
                </c:pt>
                <c:pt idx="24">
                  <c:v>13.59</c:v>
                </c:pt>
                <c:pt idx="25">
                  <c:v>17.73</c:v>
                </c:pt>
              </c:numCache>
            </c:numRef>
          </c:val>
          <c:extLst>
            <c:ext xmlns:c16="http://schemas.microsoft.com/office/drawing/2014/chart" uri="{C3380CC4-5D6E-409C-BE32-E72D297353CC}">
              <c16:uniqueId val="{00000008-70FA-4285-BBAB-B7880D3B48E3}"/>
            </c:ext>
          </c:extLst>
        </c:ser>
        <c:ser>
          <c:idx val="9"/>
          <c:order val="9"/>
          <c:tx>
            <c:strRef>
              <c:f>'9. Relacja kwoty zadłużenia w d'!$K$1:$K$2</c:f>
              <c:strCache>
                <c:ptCount val="2"/>
                <c:pt idx="0">
                  <c:v>2019</c:v>
                </c:pt>
              </c:strCache>
            </c:strRef>
          </c:tx>
          <c:spPr>
            <a:solidFill>
              <a:schemeClr val="accent4">
                <a:lumMod val="60000"/>
              </a:schemeClr>
            </a:solidFill>
            <a:ln>
              <a:noFill/>
            </a:ln>
            <a:effectLst/>
          </c:spPr>
          <c:invertIfNegative val="0"/>
          <c:cat>
            <c:strRef>
              <c:f>'9. Relacja kwoty zadłużenia w d'!$A$3:$A$28</c:f>
              <c:strCache>
                <c:ptCount val="26"/>
                <c:pt idx="0">
                  <c:v> Biała Piska </c:v>
                </c:pt>
                <c:pt idx="1">
                  <c:v> Działdowo </c:v>
                </c:pt>
                <c:pt idx="2">
                  <c:v> Działdowo </c:v>
                </c:pt>
                <c:pt idx="3">
                  <c:v> Dźwierzuty </c:v>
                </c:pt>
                <c:pt idx="4">
                  <c:v> Iłowo-Osada </c:v>
                </c:pt>
                <c:pt idx="5">
                  <c:v> Janowiec Kościelny </c:v>
                </c:pt>
                <c:pt idx="6">
                  <c:v> Janowo </c:v>
                </c:pt>
                <c:pt idx="7">
                  <c:v> Jedwabno </c:v>
                </c:pt>
                <c:pt idx="8">
                  <c:v> Kozłowo </c:v>
                </c:pt>
                <c:pt idx="9">
                  <c:v> Lidzbark </c:v>
                </c:pt>
                <c:pt idx="10">
                  <c:v> Nidzica </c:v>
                </c:pt>
                <c:pt idx="11">
                  <c:v> Orzysz </c:v>
                </c:pt>
                <c:pt idx="12">
                  <c:v> Pasym </c:v>
                </c:pt>
                <c:pt idx="13">
                  <c:v> Pisz </c:v>
                </c:pt>
                <c:pt idx="14">
                  <c:v> Płośnica </c:v>
                </c:pt>
                <c:pt idx="15">
                  <c:v> Rozogi </c:v>
                </c:pt>
                <c:pt idx="16">
                  <c:v> Ruciane-Nida </c:v>
                </c:pt>
                <c:pt idx="17">
                  <c:v> Rybno </c:v>
                </c:pt>
                <c:pt idx="18">
                  <c:v> Szczytno </c:v>
                </c:pt>
                <c:pt idx="19">
                  <c:v> Szczytno </c:v>
                </c:pt>
                <c:pt idx="20">
                  <c:v> Wielbark </c:v>
                </c:pt>
                <c:pt idx="21">
                  <c:v> Świętajno </c:v>
                </c:pt>
                <c:pt idx="22">
                  <c:v> Powiat działdowski </c:v>
                </c:pt>
                <c:pt idx="23">
                  <c:v> Powiat szczycieński  </c:v>
                </c:pt>
                <c:pt idx="24">
                  <c:v> Powiat piski </c:v>
                </c:pt>
                <c:pt idx="25">
                  <c:v> Powiat nidzicki  </c:v>
                </c:pt>
              </c:strCache>
            </c:strRef>
          </c:cat>
          <c:val>
            <c:numRef>
              <c:f>'9. Relacja kwoty zadłużenia w d'!$K$3:$K$28</c:f>
              <c:numCache>
                <c:formatCode>_-* #\ ##0.00\ _z_ł_-;\-* #\ ##0.00\ _z_ł_-;_-* "-"??\ _z_ł_-;_-@_-</c:formatCode>
                <c:ptCount val="26"/>
                <c:pt idx="0">
                  <c:v>28.23</c:v>
                </c:pt>
                <c:pt idx="1">
                  <c:v>11.06</c:v>
                </c:pt>
                <c:pt idx="2">
                  <c:v>12.88</c:v>
                </c:pt>
                <c:pt idx="3">
                  <c:v>15.95</c:v>
                </c:pt>
                <c:pt idx="4">
                  <c:v>19.86</c:v>
                </c:pt>
                <c:pt idx="5">
                  <c:v>16.25</c:v>
                </c:pt>
                <c:pt idx="6">
                  <c:v>14.77</c:v>
                </c:pt>
                <c:pt idx="7">
                  <c:v>32.840000000000003</c:v>
                </c:pt>
                <c:pt idx="8">
                  <c:v>16.579999999999998</c:v>
                </c:pt>
                <c:pt idx="9">
                  <c:v>14.95</c:v>
                </c:pt>
                <c:pt idx="10">
                  <c:v>42.52</c:v>
                </c:pt>
                <c:pt idx="11">
                  <c:v>16.25</c:v>
                </c:pt>
                <c:pt idx="12">
                  <c:v>21.21</c:v>
                </c:pt>
                <c:pt idx="13">
                  <c:v>8.58</c:v>
                </c:pt>
                <c:pt idx="14">
                  <c:v>8.1999999999999993</c:v>
                </c:pt>
                <c:pt idx="15">
                  <c:v>16.420000000000002</c:v>
                </c:pt>
                <c:pt idx="16">
                  <c:v>27.21</c:v>
                </c:pt>
                <c:pt idx="17">
                  <c:v>18.190000000000001</c:v>
                </c:pt>
                <c:pt idx="18">
                  <c:v>15.52</c:v>
                </c:pt>
                <c:pt idx="19">
                  <c:v>8.58</c:v>
                </c:pt>
                <c:pt idx="20">
                  <c:v>20.57</c:v>
                </c:pt>
                <c:pt idx="21">
                  <c:v>28.69</c:v>
                </c:pt>
                <c:pt idx="22">
                  <c:v>0</c:v>
                </c:pt>
                <c:pt idx="23">
                  <c:v>34.82</c:v>
                </c:pt>
                <c:pt idx="24">
                  <c:v>10.35</c:v>
                </c:pt>
                <c:pt idx="25">
                  <c:v>17.04</c:v>
                </c:pt>
              </c:numCache>
            </c:numRef>
          </c:val>
          <c:extLst>
            <c:ext xmlns:c16="http://schemas.microsoft.com/office/drawing/2014/chart" uri="{C3380CC4-5D6E-409C-BE32-E72D297353CC}">
              <c16:uniqueId val="{00000009-70FA-4285-BBAB-B7880D3B48E3}"/>
            </c:ext>
          </c:extLst>
        </c:ser>
        <c:dLbls>
          <c:showLegendKey val="0"/>
          <c:showVal val="0"/>
          <c:showCatName val="0"/>
          <c:showSerName val="0"/>
          <c:showPercent val="0"/>
          <c:showBubbleSize val="0"/>
        </c:dLbls>
        <c:gapWidth val="219"/>
        <c:overlap val="-27"/>
        <c:axId val="2133145232"/>
        <c:axId val="2133148976"/>
      </c:barChart>
      <c:catAx>
        <c:axId val="21331452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133148976"/>
        <c:crosses val="autoZero"/>
        <c:auto val="1"/>
        <c:lblAlgn val="ctr"/>
        <c:lblOffset val="100"/>
        <c:noMultiLvlLbl val="0"/>
      </c:catAx>
      <c:valAx>
        <c:axId val="2133148976"/>
        <c:scaling>
          <c:orientation val="minMax"/>
        </c:scaling>
        <c:delete val="0"/>
        <c:axPos val="l"/>
        <c:majorGridlines>
          <c:spPr>
            <a:ln w="9525" cap="flat" cmpd="sng" algn="ctr">
              <a:solidFill>
                <a:schemeClr val="tx1">
                  <a:lumMod val="15000"/>
                  <a:lumOff val="85000"/>
                </a:schemeClr>
              </a:solidFill>
              <a:round/>
            </a:ln>
            <a:effectLst/>
          </c:spPr>
        </c:majorGridlines>
        <c:numFmt formatCode="_-* #\ ##0.00\ _z_ł_-;\-* #\ ##0.00\ _z_ł_-;_-* &quot;-&quot;??\ _z_ł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1331452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2"/>
      </a:solidFill>
      <a:round/>
    </a:ln>
    <a:effectLst/>
  </c:spPr>
  <c:txPr>
    <a:bodyPr/>
    <a:lstStyle/>
    <a:p>
      <a:pPr>
        <a:defRPr/>
      </a:pPr>
      <a:endParaRPr lang="pl-PL"/>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Arkusz6!$B$1:$B$2</c:f>
              <c:strCache>
                <c:ptCount val="2"/>
                <c:pt idx="0">
                  <c:v>2015</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Arkusz6!$A$3:$A$28</c:f>
              <c:strCache>
                <c:ptCount val="26"/>
                <c:pt idx="0">
                  <c:v>Biała Piska</c:v>
                </c:pt>
                <c:pt idx="1">
                  <c:v>Działdowo</c:v>
                </c:pt>
                <c:pt idx="2">
                  <c:v>Działdowo</c:v>
                </c:pt>
                <c:pt idx="3">
                  <c:v>Dźwierzuty</c:v>
                </c:pt>
                <c:pt idx="4">
                  <c:v>Iłowo-Osada</c:v>
                </c:pt>
                <c:pt idx="5">
                  <c:v>Janowiec Kościelny</c:v>
                </c:pt>
                <c:pt idx="6">
                  <c:v>Janowo</c:v>
                </c:pt>
                <c:pt idx="7">
                  <c:v>Jedwabno</c:v>
                </c:pt>
                <c:pt idx="8">
                  <c:v>Kozłowo</c:v>
                </c:pt>
                <c:pt idx="9">
                  <c:v>Lidzbark</c:v>
                </c:pt>
                <c:pt idx="10">
                  <c:v>Nidzica</c:v>
                </c:pt>
                <c:pt idx="11">
                  <c:v>Orzysz</c:v>
                </c:pt>
                <c:pt idx="12">
                  <c:v>Pasym</c:v>
                </c:pt>
                <c:pt idx="13">
                  <c:v>Pisz</c:v>
                </c:pt>
                <c:pt idx="14">
                  <c:v>Płośnica</c:v>
                </c:pt>
                <c:pt idx="15">
                  <c:v>Rozogi</c:v>
                </c:pt>
                <c:pt idx="16">
                  <c:v>Ruciane-Nida</c:v>
                </c:pt>
                <c:pt idx="17">
                  <c:v>Rybno</c:v>
                </c:pt>
                <c:pt idx="18">
                  <c:v>Szczytno</c:v>
                </c:pt>
                <c:pt idx="19">
                  <c:v>Szczytno</c:v>
                </c:pt>
                <c:pt idx="20">
                  <c:v>Wielbark</c:v>
                </c:pt>
                <c:pt idx="21">
                  <c:v>Świętajno</c:v>
                </c:pt>
                <c:pt idx="22">
                  <c:v>Powiat działdowski </c:v>
                </c:pt>
                <c:pt idx="23">
                  <c:v>Powiat szczycieński </c:v>
                </c:pt>
                <c:pt idx="24">
                  <c:v>Powiat piski</c:v>
                </c:pt>
                <c:pt idx="25">
                  <c:v>Powiat nidzicki </c:v>
                </c:pt>
              </c:strCache>
            </c:strRef>
          </c:cat>
          <c:val>
            <c:numRef>
              <c:f>Arkusz6!$B$3:$B$28</c:f>
            </c:numRef>
          </c:val>
          <c:smooth val="0"/>
          <c:extLst>
            <c:ext xmlns:c16="http://schemas.microsoft.com/office/drawing/2014/chart" uri="{C3380CC4-5D6E-409C-BE32-E72D297353CC}">
              <c16:uniqueId val="{00000000-B904-4A6C-9FF4-5E3081814372}"/>
            </c:ext>
          </c:extLst>
        </c:ser>
        <c:ser>
          <c:idx val="1"/>
          <c:order val="1"/>
          <c:tx>
            <c:strRef>
              <c:f>Arkusz6!$C$1:$C$2</c:f>
              <c:strCache>
                <c:ptCount val="2"/>
                <c:pt idx="0">
                  <c:v>2016</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Arkusz6!$A$3:$A$28</c:f>
              <c:strCache>
                <c:ptCount val="26"/>
                <c:pt idx="0">
                  <c:v>Biała Piska</c:v>
                </c:pt>
                <c:pt idx="1">
                  <c:v>Działdowo</c:v>
                </c:pt>
                <c:pt idx="2">
                  <c:v>Działdowo</c:v>
                </c:pt>
                <c:pt idx="3">
                  <c:v>Dźwierzuty</c:v>
                </c:pt>
                <c:pt idx="4">
                  <c:v>Iłowo-Osada</c:v>
                </c:pt>
                <c:pt idx="5">
                  <c:v>Janowiec Kościelny</c:v>
                </c:pt>
                <c:pt idx="6">
                  <c:v>Janowo</c:v>
                </c:pt>
                <c:pt idx="7">
                  <c:v>Jedwabno</c:v>
                </c:pt>
                <c:pt idx="8">
                  <c:v>Kozłowo</c:v>
                </c:pt>
                <c:pt idx="9">
                  <c:v>Lidzbark</c:v>
                </c:pt>
                <c:pt idx="10">
                  <c:v>Nidzica</c:v>
                </c:pt>
                <c:pt idx="11">
                  <c:v>Orzysz</c:v>
                </c:pt>
                <c:pt idx="12">
                  <c:v>Pasym</c:v>
                </c:pt>
                <c:pt idx="13">
                  <c:v>Pisz</c:v>
                </c:pt>
                <c:pt idx="14">
                  <c:v>Płośnica</c:v>
                </c:pt>
                <c:pt idx="15">
                  <c:v>Rozogi</c:v>
                </c:pt>
                <c:pt idx="16">
                  <c:v>Ruciane-Nida</c:v>
                </c:pt>
                <c:pt idx="17">
                  <c:v>Rybno</c:v>
                </c:pt>
                <c:pt idx="18">
                  <c:v>Szczytno</c:v>
                </c:pt>
                <c:pt idx="19">
                  <c:v>Szczytno</c:v>
                </c:pt>
                <c:pt idx="20">
                  <c:v>Wielbark</c:v>
                </c:pt>
                <c:pt idx="21">
                  <c:v>Świętajno</c:v>
                </c:pt>
                <c:pt idx="22">
                  <c:v>Powiat działdowski </c:v>
                </c:pt>
                <c:pt idx="23">
                  <c:v>Powiat szczycieński </c:v>
                </c:pt>
                <c:pt idx="24">
                  <c:v>Powiat piski</c:v>
                </c:pt>
                <c:pt idx="25">
                  <c:v>Powiat nidzicki </c:v>
                </c:pt>
              </c:strCache>
            </c:strRef>
          </c:cat>
          <c:val>
            <c:numRef>
              <c:f>Arkusz6!$C$3:$C$28</c:f>
            </c:numRef>
          </c:val>
          <c:smooth val="0"/>
          <c:extLst>
            <c:ext xmlns:c16="http://schemas.microsoft.com/office/drawing/2014/chart" uri="{C3380CC4-5D6E-409C-BE32-E72D297353CC}">
              <c16:uniqueId val="{00000001-B904-4A6C-9FF4-5E3081814372}"/>
            </c:ext>
          </c:extLst>
        </c:ser>
        <c:ser>
          <c:idx val="2"/>
          <c:order val="2"/>
          <c:tx>
            <c:strRef>
              <c:f>Arkusz6!$D$1:$D$2</c:f>
              <c:strCache>
                <c:ptCount val="2"/>
                <c:pt idx="0">
                  <c:v>2017</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Arkusz6!$A$3:$A$28</c:f>
              <c:strCache>
                <c:ptCount val="26"/>
                <c:pt idx="0">
                  <c:v>Biała Piska</c:v>
                </c:pt>
                <c:pt idx="1">
                  <c:v>Działdowo</c:v>
                </c:pt>
                <c:pt idx="2">
                  <c:v>Działdowo</c:v>
                </c:pt>
                <c:pt idx="3">
                  <c:v>Dźwierzuty</c:v>
                </c:pt>
                <c:pt idx="4">
                  <c:v>Iłowo-Osada</c:v>
                </c:pt>
                <c:pt idx="5">
                  <c:v>Janowiec Kościelny</c:v>
                </c:pt>
                <c:pt idx="6">
                  <c:v>Janowo</c:v>
                </c:pt>
                <c:pt idx="7">
                  <c:v>Jedwabno</c:v>
                </c:pt>
                <c:pt idx="8">
                  <c:v>Kozłowo</c:v>
                </c:pt>
                <c:pt idx="9">
                  <c:v>Lidzbark</c:v>
                </c:pt>
                <c:pt idx="10">
                  <c:v>Nidzica</c:v>
                </c:pt>
                <c:pt idx="11">
                  <c:v>Orzysz</c:v>
                </c:pt>
                <c:pt idx="12">
                  <c:v>Pasym</c:v>
                </c:pt>
                <c:pt idx="13">
                  <c:v>Pisz</c:v>
                </c:pt>
                <c:pt idx="14">
                  <c:v>Płośnica</c:v>
                </c:pt>
                <c:pt idx="15">
                  <c:v>Rozogi</c:v>
                </c:pt>
                <c:pt idx="16">
                  <c:v>Ruciane-Nida</c:v>
                </c:pt>
                <c:pt idx="17">
                  <c:v>Rybno</c:v>
                </c:pt>
                <c:pt idx="18">
                  <c:v>Szczytno</c:v>
                </c:pt>
                <c:pt idx="19">
                  <c:v>Szczytno</c:v>
                </c:pt>
                <c:pt idx="20">
                  <c:v>Wielbark</c:v>
                </c:pt>
                <c:pt idx="21">
                  <c:v>Świętajno</c:v>
                </c:pt>
                <c:pt idx="22">
                  <c:v>Powiat działdowski </c:v>
                </c:pt>
                <c:pt idx="23">
                  <c:v>Powiat szczycieński </c:v>
                </c:pt>
                <c:pt idx="24">
                  <c:v>Powiat piski</c:v>
                </c:pt>
                <c:pt idx="25">
                  <c:v>Powiat nidzicki </c:v>
                </c:pt>
              </c:strCache>
            </c:strRef>
          </c:cat>
          <c:val>
            <c:numRef>
              <c:f>Arkusz6!$D$3:$D$28</c:f>
            </c:numRef>
          </c:val>
          <c:smooth val="0"/>
          <c:extLst>
            <c:ext xmlns:c16="http://schemas.microsoft.com/office/drawing/2014/chart" uri="{C3380CC4-5D6E-409C-BE32-E72D297353CC}">
              <c16:uniqueId val="{00000002-B904-4A6C-9FF4-5E3081814372}"/>
            </c:ext>
          </c:extLst>
        </c:ser>
        <c:ser>
          <c:idx val="3"/>
          <c:order val="3"/>
          <c:tx>
            <c:strRef>
              <c:f>Arkusz6!$E$1:$E$2</c:f>
              <c:strCache>
                <c:ptCount val="2"/>
                <c:pt idx="0">
                  <c:v>2018</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f>Arkusz6!$A$3:$A$28</c:f>
              <c:strCache>
                <c:ptCount val="26"/>
                <c:pt idx="0">
                  <c:v>Biała Piska</c:v>
                </c:pt>
                <c:pt idx="1">
                  <c:v>Działdowo</c:v>
                </c:pt>
                <c:pt idx="2">
                  <c:v>Działdowo</c:v>
                </c:pt>
                <c:pt idx="3">
                  <c:v>Dźwierzuty</c:v>
                </c:pt>
                <c:pt idx="4">
                  <c:v>Iłowo-Osada</c:v>
                </c:pt>
                <c:pt idx="5">
                  <c:v>Janowiec Kościelny</c:v>
                </c:pt>
                <c:pt idx="6">
                  <c:v>Janowo</c:v>
                </c:pt>
                <c:pt idx="7">
                  <c:v>Jedwabno</c:v>
                </c:pt>
                <c:pt idx="8">
                  <c:v>Kozłowo</c:v>
                </c:pt>
                <c:pt idx="9">
                  <c:v>Lidzbark</c:v>
                </c:pt>
                <c:pt idx="10">
                  <c:v>Nidzica</c:v>
                </c:pt>
                <c:pt idx="11">
                  <c:v>Orzysz</c:v>
                </c:pt>
                <c:pt idx="12">
                  <c:v>Pasym</c:v>
                </c:pt>
                <c:pt idx="13">
                  <c:v>Pisz</c:v>
                </c:pt>
                <c:pt idx="14">
                  <c:v>Płośnica</c:v>
                </c:pt>
                <c:pt idx="15">
                  <c:v>Rozogi</c:v>
                </c:pt>
                <c:pt idx="16">
                  <c:v>Ruciane-Nida</c:v>
                </c:pt>
                <c:pt idx="17">
                  <c:v>Rybno</c:v>
                </c:pt>
                <c:pt idx="18">
                  <c:v>Szczytno</c:v>
                </c:pt>
                <c:pt idx="19">
                  <c:v>Szczytno</c:v>
                </c:pt>
                <c:pt idx="20">
                  <c:v>Wielbark</c:v>
                </c:pt>
                <c:pt idx="21">
                  <c:v>Świętajno</c:v>
                </c:pt>
                <c:pt idx="22">
                  <c:v>Powiat działdowski </c:v>
                </c:pt>
                <c:pt idx="23">
                  <c:v>Powiat szczycieński </c:v>
                </c:pt>
                <c:pt idx="24">
                  <c:v>Powiat piski</c:v>
                </c:pt>
                <c:pt idx="25">
                  <c:v>Powiat nidzicki </c:v>
                </c:pt>
              </c:strCache>
            </c:strRef>
          </c:cat>
          <c:val>
            <c:numRef>
              <c:f>Arkusz6!$E$3:$E$28</c:f>
            </c:numRef>
          </c:val>
          <c:smooth val="0"/>
          <c:extLst>
            <c:ext xmlns:c16="http://schemas.microsoft.com/office/drawing/2014/chart" uri="{C3380CC4-5D6E-409C-BE32-E72D297353CC}">
              <c16:uniqueId val="{00000003-B904-4A6C-9FF4-5E3081814372}"/>
            </c:ext>
          </c:extLst>
        </c:ser>
        <c:ser>
          <c:idx val="4"/>
          <c:order val="4"/>
          <c:tx>
            <c:strRef>
              <c:f>Arkusz6!$F$1:$F$2</c:f>
              <c:strCache>
                <c:ptCount val="2"/>
                <c:pt idx="0">
                  <c:v>2019</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strRef>
              <c:f>Arkusz6!$A$3:$A$28</c:f>
              <c:strCache>
                <c:ptCount val="26"/>
                <c:pt idx="0">
                  <c:v>Biała Piska</c:v>
                </c:pt>
                <c:pt idx="1">
                  <c:v>Działdowo</c:v>
                </c:pt>
                <c:pt idx="2">
                  <c:v>Działdowo</c:v>
                </c:pt>
                <c:pt idx="3">
                  <c:v>Dźwierzuty</c:v>
                </c:pt>
                <c:pt idx="4">
                  <c:v>Iłowo-Osada</c:v>
                </c:pt>
                <c:pt idx="5">
                  <c:v>Janowiec Kościelny</c:v>
                </c:pt>
                <c:pt idx="6">
                  <c:v>Janowo</c:v>
                </c:pt>
                <c:pt idx="7">
                  <c:v>Jedwabno</c:v>
                </c:pt>
                <c:pt idx="8">
                  <c:v>Kozłowo</c:v>
                </c:pt>
                <c:pt idx="9">
                  <c:v>Lidzbark</c:v>
                </c:pt>
                <c:pt idx="10">
                  <c:v>Nidzica</c:v>
                </c:pt>
                <c:pt idx="11">
                  <c:v>Orzysz</c:v>
                </c:pt>
                <c:pt idx="12">
                  <c:v>Pasym</c:v>
                </c:pt>
                <c:pt idx="13">
                  <c:v>Pisz</c:v>
                </c:pt>
                <c:pt idx="14">
                  <c:v>Płośnica</c:v>
                </c:pt>
                <c:pt idx="15">
                  <c:v>Rozogi</c:v>
                </c:pt>
                <c:pt idx="16">
                  <c:v>Ruciane-Nida</c:v>
                </c:pt>
                <c:pt idx="17">
                  <c:v>Rybno</c:v>
                </c:pt>
                <c:pt idx="18">
                  <c:v>Szczytno</c:v>
                </c:pt>
                <c:pt idx="19">
                  <c:v>Szczytno</c:v>
                </c:pt>
                <c:pt idx="20">
                  <c:v>Wielbark</c:v>
                </c:pt>
                <c:pt idx="21">
                  <c:v>Świętajno</c:v>
                </c:pt>
                <c:pt idx="22">
                  <c:v>Powiat działdowski </c:v>
                </c:pt>
                <c:pt idx="23">
                  <c:v>Powiat szczycieński </c:v>
                </c:pt>
                <c:pt idx="24">
                  <c:v>Powiat piski</c:v>
                </c:pt>
                <c:pt idx="25">
                  <c:v>Powiat nidzicki </c:v>
                </c:pt>
              </c:strCache>
            </c:strRef>
          </c:cat>
          <c:val>
            <c:numRef>
              <c:f>Arkusz6!$F$3:$F$28</c:f>
            </c:numRef>
          </c:val>
          <c:smooth val="0"/>
          <c:extLst>
            <c:ext xmlns:c16="http://schemas.microsoft.com/office/drawing/2014/chart" uri="{C3380CC4-5D6E-409C-BE32-E72D297353CC}">
              <c16:uniqueId val="{00000004-B904-4A6C-9FF4-5E3081814372}"/>
            </c:ext>
          </c:extLst>
        </c:ser>
        <c:ser>
          <c:idx val="5"/>
          <c:order val="5"/>
          <c:tx>
            <c:strRef>
              <c:f>Arkusz6!$G$1:$G$2</c:f>
              <c:strCache>
                <c:ptCount val="2"/>
                <c:pt idx="0">
                  <c:v>2019</c:v>
                </c:pt>
                <c:pt idx="1">
                  <c:v>nadwyżka operacyjna  pomniejszona o spłatę zobowiązań </c:v>
                </c:pt>
              </c:strCache>
            </c:strRef>
          </c:tx>
          <c:spPr>
            <a:ln w="28575" cap="rnd">
              <a:solidFill>
                <a:schemeClr val="accent6"/>
              </a:solidFill>
              <a:round/>
            </a:ln>
            <a:effectLst/>
          </c:spPr>
          <c:marker>
            <c:symbol val="none"/>
          </c:marker>
          <c:cat>
            <c:strRef>
              <c:f>Arkusz6!$A$3:$A$28</c:f>
              <c:strCache>
                <c:ptCount val="26"/>
                <c:pt idx="0">
                  <c:v>Biała Piska</c:v>
                </c:pt>
                <c:pt idx="1">
                  <c:v>Działdowo</c:v>
                </c:pt>
                <c:pt idx="2">
                  <c:v>Działdowo</c:v>
                </c:pt>
                <c:pt idx="3">
                  <c:v>Dźwierzuty</c:v>
                </c:pt>
                <c:pt idx="4">
                  <c:v>Iłowo-Osada</c:v>
                </c:pt>
                <c:pt idx="5">
                  <c:v>Janowiec Kościelny</c:v>
                </c:pt>
                <c:pt idx="6">
                  <c:v>Janowo</c:v>
                </c:pt>
                <c:pt idx="7">
                  <c:v>Jedwabno</c:v>
                </c:pt>
                <c:pt idx="8">
                  <c:v>Kozłowo</c:v>
                </c:pt>
                <c:pt idx="9">
                  <c:v>Lidzbark</c:v>
                </c:pt>
                <c:pt idx="10">
                  <c:v>Nidzica</c:v>
                </c:pt>
                <c:pt idx="11">
                  <c:v>Orzysz</c:v>
                </c:pt>
                <c:pt idx="12">
                  <c:v>Pasym</c:v>
                </c:pt>
                <c:pt idx="13">
                  <c:v>Pisz</c:v>
                </c:pt>
                <c:pt idx="14">
                  <c:v>Płośnica</c:v>
                </c:pt>
                <c:pt idx="15">
                  <c:v>Rozogi</c:v>
                </c:pt>
                <c:pt idx="16">
                  <c:v>Ruciane-Nida</c:v>
                </c:pt>
                <c:pt idx="17">
                  <c:v>Rybno</c:v>
                </c:pt>
                <c:pt idx="18">
                  <c:v>Szczytno</c:v>
                </c:pt>
                <c:pt idx="19">
                  <c:v>Szczytno</c:v>
                </c:pt>
                <c:pt idx="20">
                  <c:v>Wielbark</c:v>
                </c:pt>
                <c:pt idx="21">
                  <c:v>Świętajno</c:v>
                </c:pt>
                <c:pt idx="22">
                  <c:v>Powiat działdowski </c:v>
                </c:pt>
                <c:pt idx="23">
                  <c:v>Powiat szczycieński </c:v>
                </c:pt>
                <c:pt idx="24">
                  <c:v>Powiat piski</c:v>
                </c:pt>
                <c:pt idx="25">
                  <c:v>Powiat nidzicki </c:v>
                </c:pt>
              </c:strCache>
            </c:strRef>
          </c:cat>
          <c:val>
            <c:numRef>
              <c:f>Arkusz6!$G$3:$G$28</c:f>
              <c:numCache>
                <c:formatCode>0.00</c:formatCode>
                <c:ptCount val="26"/>
                <c:pt idx="0">
                  <c:v>0.11800000000000006</c:v>
                </c:pt>
                <c:pt idx="1">
                  <c:v>9.6940000000000008</c:v>
                </c:pt>
                <c:pt idx="2">
                  <c:v>5.3439999999999994</c:v>
                </c:pt>
                <c:pt idx="3">
                  <c:v>4.1420000000000003</c:v>
                </c:pt>
                <c:pt idx="4">
                  <c:v>5.2520000000000007</c:v>
                </c:pt>
                <c:pt idx="5">
                  <c:v>3.8180000000000001</c:v>
                </c:pt>
                <c:pt idx="6">
                  <c:v>0.31399999999999989</c:v>
                </c:pt>
                <c:pt idx="7">
                  <c:v>2.5479999999999996</c:v>
                </c:pt>
                <c:pt idx="8">
                  <c:v>1.784</c:v>
                </c:pt>
                <c:pt idx="9">
                  <c:v>7.4159999999999995</c:v>
                </c:pt>
                <c:pt idx="10">
                  <c:v>4.3680000000000003</c:v>
                </c:pt>
                <c:pt idx="11">
                  <c:v>1.948</c:v>
                </c:pt>
                <c:pt idx="12">
                  <c:v>7.0000000000000284E-2</c:v>
                </c:pt>
                <c:pt idx="13">
                  <c:v>2.3899999999999997</c:v>
                </c:pt>
                <c:pt idx="14">
                  <c:v>13.857999999999999</c:v>
                </c:pt>
                <c:pt idx="15">
                  <c:v>2.1139999999999999</c:v>
                </c:pt>
                <c:pt idx="16">
                  <c:v>8.8039999999999985</c:v>
                </c:pt>
                <c:pt idx="17">
                  <c:v>3.2920000000000003</c:v>
                </c:pt>
                <c:pt idx="18">
                  <c:v>3.2519999999999998</c:v>
                </c:pt>
                <c:pt idx="19">
                  <c:v>7.6879999999999997</c:v>
                </c:pt>
                <c:pt idx="20">
                  <c:v>8.4239999999999995</c:v>
                </c:pt>
                <c:pt idx="21">
                  <c:v>3.4779999999999993</c:v>
                </c:pt>
                <c:pt idx="22">
                  <c:v>13.319999999999999</c:v>
                </c:pt>
                <c:pt idx="23">
                  <c:v>4.82</c:v>
                </c:pt>
                <c:pt idx="24">
                  <c:v>4.7460000000000004</c:v>
                </c:pt>
                <c:pt idx="25">
                  <c:v>3.242</c:v>
                </c:pt>
              </c:numCache>
            </c:numRef>
          </c:val>
          <c:smooth val="0"/>
          <c:extLst>
            <c:ext xmlns:c16="http://schemas.microsoft.com/office/drawing/2014/chart" uri="{C3380CC4-5D6E-409C-BE32-E72D297353CC}">
              <c16:uniqueId val="{00000005-B904-4A6C-9FF4-5E3081814372}"/>
            </c:ext>
          </c:extLst>
        </c:ser>
        <c:ser>
          <c:idx val="6"/>
          <c:order val="6"/>
          <c:tx>
            <c:strRef>
              <c:f>Arkusz6!$H$1:$H$2</c:f>
              <c:strCache>
                <c:ptCount val="2"/>
                <c:pt idx="0">
                  <c:v>2019</c:v>
                </c:pt>
                <c:pt idx="1">
                  <c:v>nadwyżka operacyjna </c:v>
                </c:pt>
              </c:strCache>
            </c:strRef>
          </c:tx>
          <c:spPr>
            <a:ln w="28575" cap="rnd">
              <a:solidFill>
                <a:schemeClr val="accent1">
                  <a:lumMod val="60000"/>
                </a:schemeClr>
              </a:solidFill>
              <a:round/>
            </a:ln>
            <a:effectLst/>
          </c:spPr>
          <c:marker>
            <c:symbol val="none"/>
          </c:marker>
          <c:cat>
            <c:strRef>
              <c:f>Arkusz6!$A$3:$A$28</c:f>
              <c:strCache>
                <c:ptCount val="26"/>
                <c:pt idx="0">
                  <c:v>Biała Piska</c:v>
                </c:pt>
                <c:pt idx="1">
                  <c:v>Działdowo</c:v>
                </c:pt>
                <c:pt idx="2">
                  <c:v>Działdowo</c:v>
                </c:pt>
                <c:pt idx="3">
                  <c:v>Dźwierzuty</c:v>
                </c:pt>
                <c:pt idx="4">
                  <c:v>Iłowo-Osada</c:v>
                </c:pt>
                <c:pt idx="5">
                  <c:v>Janowiec Kościelny</c:v>
                </c:pt>
                <c:pt idx="6">
                  <c:v>Janowo</c:v>
                </c:pt>
                <c:pt idx="7">
                  <c:v>Jedwabno</c:v>
                </c:pt>
                <c:pt idx="8">
                  <c:v>Kozłowo</c:v>
                </c:pt>
                <c:pt idx="9">
                  <c:v>Lidzbark</c:v>
                </c:pt>
                <c:pt idx="10">
                  <c:v>Nidzica</c:v>
                </c:pt>
                <c:pt idx="11">
                  <c:v>Orzysz</c:v>
                </c:pt>
                <c:pt idx="12">
                  <c:v>Pasym</c:v>
                </c:pt>
                <c:pt idx="13">
                  <c:v>Pisz</c:v>
                </c:pt>
                <c:pt idx="14">
                  <c:v>Płośnica</c:v>
                </c:pt>
                <c:pt idx="15">
                  <c:v>Rozogi</c:v>
                </c:pt>
                <c:pt idx="16">
                  <c:v>Ruciane-Nida</c:v>
                </c:pt>
                <c:pt idx="17">
                  <c:v>Rybno</c:v>
                </c:pt>
                <c:pt idx="18">
                  <c:v>Szczytno</c:v>
                </c:pt>
                <c:pt idx="19">
                  <c:v>Szczytno</c:v>
                </c:pt>
                <c:pt idx="20">
                  <c:v>Wielbark</c:v>
                </c:pt>
                <c:pt idx="21">
                  <c:v>Świętajno</c:v>
                </c:pt>
                <c:pt idx="22">
                  <c:v>Powiat działdowski </c:v>
                </c:pt>
                <c:pt idx="23">
                  <c:v>Powiat szczycieński </c:v>
                </c:pt>
                <c:pt idx="24">
                  <c:v>Powiat piski</c:v>
                </c:pt>
                <c:pt idx="25">
                  <c:v>Powiat nidzicki </c:v>
                </c:pt>
              </c:strCache>
            </c:strRef>
          </c:cat>
          <c:val>
            <c:numRef>
              <c:f>Arkusz6!$H$3:$H$28</c:f>
              <c:numCache>
                <c:formatCode>General</c:formatCode>
                <c:ptCount val="26"/>
                <c:pt idx="0">
                  <c:v>4.6100000000000003</c:v>
                </c:pt>
                <c:pt idx="1">
                  <c:v>11.56</c:v>
                </c:pt>
                <c:pt idx="2">
                  <c:v>8.59</c:v>
                </c:pt>
                <c:pt idx="3">
                  <c:v>8.3000000000000007</c:v>
                </c:pt>
                <c:pt idx="4">
                  <c:v>8.44</c:v>
                </c:pt>
                <c:pt idx="5">
                  <c:v>6.25</c:v>
                </c:pt>
                <c:pt idx="6">
                  <c:v>3.93</c:v>
                </c:pt>
                <c:pt idx="7">
                  <c:v>7.84</c:v>
                </c:pt>
                <c:pt idx="8">
                  <c:v>5.77</c:v>
                </c:pt>
                <c:pt idx="9">
                  <c:v>9.5500000000000007</c:v>
                </c:pt>
                <c:pt idx="10">
                  <c:v>7.85</c:v>
                </c:pt>
                <c:pt idx="11">
                  <c:v>5.28</c:v>
                </c:pt>
                <c:pt idx="12">
                  <c:v>8.0500000000000007</c:v>
                </c:pt>
                <c:pt idx="13">
                  <c:v>13.2</c:v>
                </c:pt>
                <c:pt idx="14">
                  <c:v>16.84</c:v>
                </c:pt>
                <c:pt idx="15">
                  <c:v>6.97</c:v>
                </c:pt>
                <c:pt idx="16">
                  <c:v>14.11</c:v>
                </c:pt>
                <c:pt idx="17">
                  <c:v>6.21</c:v>
                </c:pt>
                <c:pt idx="18">
                  <c:v>6.66</c:v>
                </c:pt>
                <c:pt idx="19">
                  <c:v>11.99</c:v>
                </c:pt>
                <c:pt idx="20">
                  <c:v>13.62</c:v>
                </c:pt>
                <c:pt idx="21">
                  <c:v>7.27</c:v>
                </c:pt>
                <c:pt idx="22">
                  <c:v>11.87</c:v>
                </c:pt>
                <c:pt idx="23">
                  <c:v>8.42</c:v>
                </c:pt>
                <c:pt idx="24">
                  <c:v>10.55</c:v>
                </c:pt>
                <c:pt idx="25">
                  <c:v>7.64</c:v>
                </c:pt>
              </c:numCache>
            </c:numRef>
          </c:val>
          <c:smooth val="0"/>
          <c:extLst>
            <c:ext xmlns:c16="http://schemas.microsoft.com/office/drawing/2014/chart" uri="{C3380CC4-5D6E-409C-BE32-E72D297353CC}">
              <c16:uniqueId val="{00000006-B904-4A6C-9FF4-5E3081814372}"/>
            </c:ext>
          </c:extLst>
        </c:ser>
        <c:dLbls>
          <c:showLegendKey val="0"/>
          <c:showVal val="0"/>
          <c:showCatName val="0"/>
          <c:showSerName val="0"/>
          <c:showPercent val="0"/>
          <c:showBubbleSize val="0"/>
        </c:dLbls>
        <c:smooth val="0"/>
        <c:axId val="268328800"/>
        <c:axId val="268332128"/>
      </c:lineChart>
      <c:catAx>
        <c:axId val="2683288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68332128"/>
        <c:crosses val="autoZero"/>
        <c:auto val="1"/>
        <c:lblAlgn val="ctr"/>
        <c:lblOffset val="100"/>
        <c:noMultiLvlLbl val="0"/>
      </c:catAx>
      <c:valAx>
        <c:axId val="26833212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68328800"/>
        <c:crosses val="autoZero"/>
        <c:crossBetween val="between"/>
      </c:valAx>
      <c:spPr>
        <a:noFill/>
        <a:ln>
          <a:noFill/>
        </a:ln>
        <a:effectLst/>
      </c:spPr>
    </c:plotArea>
    <c:legend>
      <c:legendPos val="b"/>
      <c:layout>
        <c:manualLayout>
          <c:xMode val="edge"/>
          <c:yMode val="edge"/>
          <c:x val="5.6821282401091397E-2"/>
          <c:y val="0.89409667541557303"/>
          <c:w val="0.9"/>
          <c:h val="7.3242700131233601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solidFill>
      <a:round/>
    </a:ln>
    <a:effectLst/>
  </c:spPr>
  <c:txPr>
    <a:bodyPr/>
    <a:lstStyle/>
    <a:p>
      <a:pPr>
        <a:defRPr/>
      </a:pPr>
      <a:endParaRPr lang="pl-PL"/>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576517291448951"/>
          <c:y val="4.788007268322228E-2"/>
          <c:w val="0.3832129640168172"/>
          <c:h val="0.93539751929002191"/>
        </c:manualLayout>
      </c:layout>
      <c:doughnut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F26B-4DB4-9998-2601E1DFCFC5}"/>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F26B-4DB4-9998-2601E1DFCFC5}"/>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F26B-4DB4-9998-2601E1DFCFC5}"/>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F26B-4DB4-9998-2601E1DFCFC5}"/>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F26B-4DB4-9998-2601E1DFCFC5}"/>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F26B-4DB4-9998-2601E1DFCFC5}"/>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F26B-4DB4-9998-2601E1DFCFC5}"/>
              </c:ext>
            </c:extLst>
          </c:dPt>
          <c:dLbls>
            <c:dLbl>
              <c:idx val="0"/>
              <c:tx>
                <c:rich>
                  <a:bodyPr/>
                  <a:lstStyle/>
                  <a:p>
                    <a:fld id="{6AFCE579-5DFB-4652-99B2-D6A3BA92B229}" type="PERCENTAGE">
                      <a:rPr lang="en-US" baseline="0"/>
                      <a:pPr/>
                      <a:t>[PROCENTOWE]</a:t>
                    </a:fld>
                    <a:endParaRPr lang="pl-PL"/>
                  </a:p>
                </c:rich>
              </c:tx>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F26B-4DB4-9998-2601E1DFCFC5}"/>
                </c:ext>
              </c:extLst>
            </c:dLbl>
            <c:dLbl>
              <c:idx val="1"/>
              <c:tx>
                <c:rich>
                  <a:bodyPr/>
                  <a:lstStyle/>
                  <a:p>
                    <a:fld id="{1D761CC7-B0B0-4642-9350-FF4F9E69D936}" type="PERCENTAGE">
                      <a:rPr lang="en-US" baseline="0"/>
                      <a:pPr/>
                      <a:t>[PROCENTOWE]</a:t>
                    </a:fld>
                    <a:endParaRPr lang="pl-PL"/>
                  </a:p>
                </c:rich>
              </c:tx>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F26B-4DB4-9998-2601E1DFCFC5}"/>
                </c:ext>
              </c:extLst>
            </c:dLbl>
            <c:dLbl>
              <c:idx val="2"/>
              <c:layout>
                <c:manualLayout>
                  <c:x val="-2.0017793594306051E-2"/>
                  <c:y val="-5.1169590643274879E-2"/>
                </c:manualLayout>
              </c:layout>
              <c:tx>
                <c:rich>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fld id="{DEF63FAB-B92D-4C88-A098-3D477BCEBD8E}" type="PERCENTAGE">
                      <a:rPr lang="en-US" b="1" baseline="0"/>
                      <a:pPr>
                        <a:defRPr b="1"/>
                      </a:pPr>
                      <a:t>[PROCENTOWE]</a:t>
                    </a:fld>
                    <a:endParaRPr lang="pl-PL"/>
                  </a:p>
                </c:rich>
              </c:tx>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1"/>
              <c:showBubbleSize val="0"/>
              <c:extLst>
                <c:ext xmlns:c15="http://schemas.microsoft.com/office/drawing/2012/chart" uri="{CE6537A1-D6FC-4f65-9D91-7224C49458BB}">
                  <c15:layout>
                    <c:manualLayout>
                      <c:w val="7.2964770084344446E-2"/>
                      <c:h val="0.10713956808030575"/>
                    </c:manualLayout>
                  </c15:layout>
                  <c15:dlblFieldTable/>
                  <c15:showDataLabelsRange val="0"/>
                </c:ext>
                <c:ext xmlns:c16="http://schemas.microsoft.com/office/drawing/2014/chart" uri="{C3380CC4-5D6E-409C-BE32-E72D297353CC}">
                  <c16:uniqueId val="{00000005-F26B-4DB4-9998-2601E1DFCFC5}"/>
                </c:ext>
              </c:extLst>
            </c:dLbl>
            <c:dLbl>
              <c:idx val="3"/>
              <c:tx>
                <c:rich>
                  <a:bodyPr/>
                  <a:lstStyle/>
                  <a:p>
                    <a:fld id="{38277F36-2351-4885-BC65-D419C59DE671}" type="PERCENTAGE">
                      <a:rPr lang="en-US" baseline="0"/>
                      <a:pPr/>
                      <a:t>[PROCENTOWE]</a:t>
                    </a:fld>
                    <a:endParaRPr lang="pl-PL"/>
                  </a:p>
                </c:rich>
              </c:tx>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F26B-4DB4-9998-2601E1DFCFC5}"/>
                </c:ext>
              </c:extLst>
            </c:dLbl>
            <c:dLbl>
              <c:idx val="4"/>
              <c:delete val="1"/>
              <c:extLst>
                <c:ext xmlns:c15="http://schemas.microsoft.com/office/drawing/2012/chart" uri="{CE6537A1-D6FC-4f65-9D91-7224C49458BB}"/>
                <c:ext xmlns:c16="http://schemas.microsoft.com/office/drawing/2014/chart" uri="{C3380CC4-5D6E-409C-BE32-E72D297353CC}">
                  <c16:uniqueId val="{00000009-F26B-4DB4-9998-2601E1DFCFC5}"/>
                </c:ext>
              </c:extLst>
            </c:dLbl>
            <c:dLbl>
              <c:idx val="5"/>
              <c:layout>
                <c:manualLayout>
                  <c:x val="-2.2241992882562687E-3"/>
                  <c:y val="-0.10721247563352829"/>
                </c:manualLayout>
              </c:layout>
              <c:tx>
                <c:rich>
                  <a:bodyPr/>
                  <a:lstStyle/>
                  <a:p>
                    <a:fld id="{1A0D50F8-CF60-4F29-A502-3EBAC4394A38}" type="PERCENTAGE">
                      <a:rPr lang="en-US" baseline="0"/>
                      <a:pPr/>
                      <a:t>[PROCENTOWE]</a:t>
                    </a:fld>
                    <a:endParaRPr lang="pl-PL"/>
                  </a:p>
                </c:rich>
              </c:tx>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B-F26B-4DB4-9998-2601E1DFCFC5}"/>
                </c:ext>
              </c:extLst>
            </c:dLbl>
            <c:dLbl>
              <c:idx val="6"/>
              <c:delete val="1"/>
              <c:extLst>
                <c:ext xmlns:c15="http://schemas.microsoft.com/office/drawing/2012/chart" uri="{CE6537A1-D6FC-4f65-9D91-7224C49458BB}">
                  <c15:layout>
                    <c:manualLayout>
                      <c:w val="7.2964770084344446E-2"/>
                      <c:h val="7.7899801998434409E-2"/>
                    </c:manualLayout>
                  </c15:layout>
                </c:ext>
                <c:ext xmlns:c16="http://schemas.microsoft.com/office/drawing/2014/chart" uri="{C3380CC4-5D6E-409C-BE32-E72D297353CC}">
                  <c16:uniqueId val="{0000000D-F26B-4DB4-9998-2601E1DFCFC5}"/>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'2014'!$A$1:$A$7</c:f>
              <c:strCache>
                <c:ptCount val="7"/>
                <c:pt idx="0">
                  <c:v>użytki rolne razem</c:v>
                </c:pt>
                <c:pt idx="1">
                  <c:v>grunty leśne oraz zadrzewione i zakrzewione razem</c:v>
                </c:pt>
                <c:pt idx="2">
                  <c:v>grunty pod wodami razem</c:v>
                </c:pt>
                <c:pt idx="3">
                  <c:v>grunty zabudowane i zurbanizowane razem</c:v>
                </c:pt>
                <c:pt idx="4">
                  <c:v>użytki ekologiczne</c:v>
                </c:pt>
                <c:pt idx="5">
                  <c:v>grunty rolne - nieużytki</c:v>
                </c:pt>
                <c:pt idx="6">
                  <c:v>tereny różne</c:v>
                </c:pt>
              </c:strCache>
            </c:strRef>
          </c:cat>
          <c:val>
            <c:numRef>
              <c:f>'2014'!$B$1:$B$7</c:f>
              <c:numCache>
                <c:formatCode>#,##0.0</c:formatCode>
                <c:ptCount val="7"/>
                <c:pt idx="0">
                  <c:v>42.542989065090104</c:v>
                </c:pt>
                <c:pt idx="1">
                  <c:v>46.433170412424673</c:v>
                </c:pt>
                <c:pt idx="2">
                  <c:v>5.128451397633734</c:v>
                </c:pt>
                <c:pt idx="3">
                  <c:v>3.0627707937592041</c:v>
                </c:pt>
                <c:pt idx="4">
                  <c:v>0.1341073855107108</c:v>
                </c:pt>
                <c:pt idx="5">
                  <c:v>2.3177100007825895</c:v>
                </c:pt>
                <c:pt idx="6">
                  <c:v>0.38080094479898119</c:v>
                </c:pt>
              </c:numCache>
            </c:numRef>
          </c:val>
          <c:extLst>
            <c:ext xmlns:c16="http://schemas.microsoft.com/office/drawing/2014/chart" uri="{C3380CC4-5D6E-409C-BE32-E72D297353CC}">
              <c16:uniqueId val="{0000000E-F26B-4DB4-9998-2601E1DFCFC5}"/>
            </c:ext>
          </c:extLst>
        </c:ser>
        <c:dLbls>
          <c:showLegendKey val="0"/>
          <c:showVal val="0"/>
          <c:showCatName val="0"/>
          <c:showSerName val="0"/>
          <c:showPercent val="1"/>
          <c:showBubbleSize val="0"/>
          <c:showLeaderLines val="1"/>
        </c:dLbls>
        <c:firstSliceAng val="0"/>
        <c:holeSize val="33"/>
      </c:doughnutChart>
      <c:spPr>
        <a:noFill/>
        <a:ln>
          <a:noFill/>
        </a:ln>
        <a:effectLst/>
      </c:spPr>
    </c:plotArea>
    <c:legend>
      <c:legendPos val="r"/>
      <c:layout>
        <c:manualLayout>
          <c:xMode val="edge"/>
          <c:yMode val="edge"/>
          <c:x val="0.5742404489189179"/>
          <c:y val="4.3266707046234615E-2"/>
          <c:w val="0.37020393804256729"/>
          <c:h val="0.904421123780932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solidFill>
      <a:round/>
    </a:ln>
    <a:effectLst/>
  </c:spPr>
  <c:txPr>
    <a:bodyPr/>
    <a:lstStyle/>
    <a:p>
      <a:pPr>
        <a:defRPr/>
      </a:pPr>
      <a:endParaRPr lang="pl-PL"/>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9065236402105535"/>
          <c:y val="9.3352890404503064E-2"/>
          <c:w val="0.41700971692705174"/>
          <c:h val="0.83921316900604814"/>
        </c:manualLayout>
      </c:layout>
      <c:radarChart>
        <c:radarStyle val="marker"/>
        <c:varyColors val="0"/>
        <c:ser>
          <c:idx val="0"/>
          <c:order val="0"/>
          <c:tx>
            <c:v>Export usługi</c:v>
          </c:tx>
          <c:spPr>
            <a:ln w="19050" cap="rnd">
              <a:solidFill>
                <a:schemeClr val="accent1"/>
              </a:solidFill>
              <a:round/>
            </a:ln>
            <a:effectLst/>
          </c:spPr>
          <c:marker>
            <c:symbol val="none"/>
          </c:marker>
          <c:cat>
            <c:strRef>
              <c:f>'Bilans-Zbiorczy'!$V$6:$AR$6</c:f>
              <c:strCache>
                <c:ptCount val="23"/>
                <c:pt idx="0">
                  <c:v>Szczytno (miasto)</c:v>
                </c:pt>
                <c:pt idx="1">
                  <c:v>Biała Piska</c:v>
                </c:pt>
                <c:pt idx="2">
                  <c:v>Lidzbark</c:v>
                </c:pt>
                <c:pt idx="3">
                  <c:v>Nidzica</c:v>
                </c:pt>
                <c:pt idx="4">
                  <c:v>Orzysz</c:v>
                </c:pt>
                <c:pt idx="5">
                  <c:v>Pasym</c:v>
                </c:pt>
                <c:pt idx="6">
                  <c:v>Pisz</c:v>
                </c:pt>
                <c:pt idx="7">
                  <c:v>Ruciane-Nida</c:v>
                </c:pt>
                <c:pt idx="8">
                  <c:v>Wielbark</c:v>
                </c:pt>
                <c:pt idx="9">
                  <c:v>Działdowo (miasto)</c:v>
                </c:pt>
                <c:pt idx="10">
                  <c:v>Działdowo (gmina)</c:v>
                </c:pt>
                <c:pt idx="11">
                  <c:v>Dźwierzuty</c:v>
                </c:pt>
                <c:pt idx="12">
                  <c:v>Iłowo-Osada</c:v>
                </c:pt>
                <c:pt idx="13">
                  <c:v>Janowiec Kościelny</c:v>
                </c:pt>
                <c:pt idx="14">
                  <c:v>Janowo</c:v>
                </c:pt>
                <c:pt idx="15">
                  <c:v>Jedwabno</c:v>
                </c:pt>
                <c:pt idx="16">
                  <c:v>Kozłowo</c:v>
                </c:pt>
                <c:pt idx="17">
                  <c:v>Płośnica</c:v>
                </c:pt>
                <c:pt idx="18">
                  <c:v>Rozogi</c:v>
                </c:pt>
                <c:pt idx="19">
                  <c:v>Rybno</c:v>
                </c:pt>
                <c:pt idx="20">
                  <c:v>Szczytno (gmina)</c:v>
                </c:pt>
                <c:pt idx="21">
                  <c:v>Świętajno</c:v>
                </c:pt>
                <c:pt idx="22">
                  <c:v>Poza partnerstwem</c:v>
                </c:pt>
              </c:strCache>
            </c:strRef>
          </c:cat>
          <c:val>
            <c:numRef>
              <c:f>'Bilans-Zbiorczy'!$V$30:$AR$30</c:f>
              <c:numCache>
                <c:formatCode>0.00</c:formatCode>
                <c:ptCount val="23"/>
                <c:pt idx="0">
                  <c:v>0.44806202937715595</c:v>
                </c:pt>
                <c:pt idx="1">
                  <c:v>0</c:v>
                </c:pt>
                <c:pt idx="2">
                  <c:v>0.12160692953688253</c:v>
                </c:pt>
                <c:pt idx="3">
                  <c:v>0</c:v>
                </c:pt>
                <c:pt idx="4">
                  <c:v>0</c:v>
                </c:pt>
                <c:pt idx="5">
                  <c:v>0</c:v>
                </c:pt>
                <c:pt idx="6">
                  <c:v>0.10725838564340268</c:v>
                </c:pt>
                <c:pt idx="7">
                  <c:v>0.12375003914866201</c:v>
                </c:pt>
                <c:pt idx="8">
                  <c:v>0.18794042244761908</c:v>
                </c:pt>
                <c:pt idx="9">
                  <c:v>0.31067930758320772</c:v>
                </c:pt>
                <c:pt idx="10">
                  <c:v>0</c:v>
                </c:pt>
                <c:pt idx="11">
                  <c:v>0</c:v>
                </c:pt>
                <c:pt idx="12">
                  <c:v>0</c:v>
                </c:pt>
                <c:pt idx="13">
                  <c:v>0.37588084489523815</c:v>
                </c:pt>
                <c:pt idx="14">
                  <c:v>0</c:v>
                </c:pt>
                <c:pt idx="15">
                  <c:v>0</c:v>
                </c:pt>
                <c:pt idx="16">
                  <c:v>0.2819106336714286</c:v>
                </c:pt>
                <c:pt idx="17">
                  <c:v>0</c:v>
                </c:pt>
                <c:pt idx="18">
                  <c:v>0</c:v>
                </c:pt>
                <c:pt idx="19">
                  <c:v>0</c:v>
                </c:pt>
                <c:pt idx="20">
                  <c:v>0</c:v>
                </c:pt>
                <c:pt idx="21">
                  <c:v>0</c:v>
                </c:pt>
                <c:pt idx="22">
                  <c:v>1.6832090270103399</c:v>
                </c:pt>
              </c:numCache>
            </c:numRef>
          </c:val>
          <c:extLst>
            <c:ext xmlns:c16="http://schemas.microsoft.com/office/drawing/2014/chart" uri="{C3380CC4-5D6E-409C-BE32-E72D297353CC}">
              <c16:uniqueId val="{00000000-A566-47FD-BA81-697750D90C15}"/>
            </c:ext>
          </c:extLst>
        </c:ser>
        <c:ser>
          <c:idx val="1"/>
          <c:order val="1"/>
          <c:tx>
            <c:v>Import usługi</c:v>
          </c:tx>
          <c:spPr>
            <a:ln w="19050" cap="rnd">
              <a:solidFill>
                <a:schemeClr val="accent2"/>
              </a:solidFill>
              <a:round/>
            </a:ln>
            <a:effectLst/>
          </c:spPr>
          <c:marker>
            <c:symbol val="none"/>
          </c:marker>
          <c:cat>
            <c:strRef>
              <c:f>'Bilans-Zbiorczy'!$V$6:$AR$6</c:f>
              <c:strCache>
                <c:ptCount val="23"/>
                <c:pt idx="0">
                  <c:v>Szczytno (miasto)</c:v>
                </c:pt>
                <c:pt idx="1">
                  <c:v>Biała Piska</c:v>
                </c:pt>
                <c:pt idx="2">
                  <c:v>Lidzbark</c:v>
                </c:pt>
                <c:pt idx="3">
                  <c:v>Nidzica</c:v>
                </c:pt>
                <c:pt idx="4">
                  <c:v>Orzysz</c:v>
                </c:pt>
                <c:pt idx="5">
                  <c:v>Pasym</c:v>
                </c:pt>
                <c:pt idx="6">
                  <c:v>Pisz</c:v>
                </c:pt>
                <c:pt idx="7">
                  <c:v>Ruciane-Nida</c:v>
                </c:pt>
                <c:pt idx="8">
                  <c:v>Wielbark</c:v>
                </c:pt>
                <c:pt idx="9">
                  <c:v>Działdowo (miasto)</c:v>
                </c:pt>
                <c:pt idx="10">
                  <c:v>Działdowo (gmina)</c:v>
                </c:pt>
                <c:pt idx="11">
                  <c:v>Dźwierzuty</c:v>
                </c:pt>
                <c:pt idx="12">
                  <c:v>Iłowo-Osada</c:v>
                </c:pt>
                <c:pt idx="13">
                  <c:v>Janowiec Kościelny</c:v>
                </c:pt>
                <c:pt idx="14">
                  <c:v>Janowo</c:v>
                </c:pt>
                <c:pt idx="15">
                  <c:v>Jedwabno</c:v>
                </c:pt>
                <c:pt idx="16">
                  <c:v>Kozłowo</c:v>
                </c:pt>
                <c:pt idx="17">
                  <c:v>Płośnica</c:v>
                </c:pt>
                <c:pt idx="18">
                  <c:v>Rozogi</c:v>
                </c:pt>
                <c:pt idx="19">
                  <c:v>Rybno</c:v>
                </c:pt>
                <c:pt idx="20">
                  <c:v>Szczytno (gmina)</c:v>
                </c:pt>
                <c:pt idx="21">
                  <c:v>Świętajno</c:v>
                </c:pt>
                <c:pt idx="22">
                  <c:v>Poza partnerstwem</c:v>
                </c:pt>
              </c:strCache>
            </c:strRef>
          </c:cat>
          <c:val>
            <c:numRef>
              <c:f>'Bilans-Zbiorczy'!$BB$132:$BX$132</c:f>
              <c:numCache>
                <c:formatCode>0.00</c:formatCode>
                <c:ptCount val="23"/>
                <c:pt idx="0">
                  <c:v>-9.4341564246309961E-2</c:v>
                </c:pt>
                <c:pt idx="1">
                  <c:v>-0.12375003914866201</c:v>
                </c:pt>
                <c:pt idx="2">
                  <c:v>-2.507304021797975E-2</c:v>
                </c:pt>
                <c:pt idx="3">
                  <c:v>0</c:v>
                </c:pt>
                <c:pt idx="4">
                  <c:v>0</c:v>
                </c:pt>
                <c:pt idx="5">
                  <c:v>-4.8736728603578409E-2</c:v>
                </c:pt>
                <c:pt idx="6">
                  <c:v>-0.19525562957759712</c:v>
                </c:pt>
                <c:pt idx="7">
                  <c:v>0</c:v>
                </c:pt>
                <c:pt idx="8">
                  <c:v>-3.2491152402385606E-2</c:v>
                </c:pt>
                <c:pt idx="9">
                  <c:v>0</c:v>
                </c:pt>
                <c:pt idx="10">
                  <c:v>-5.01460804359595E-2</c:v>
                </c:pt>
                <c:pt idx="11">
                  <c:v>0</c:v>
                </c:pt>
                <c:pt idx="12">
                  <c:v>0</c:v>
                </c:pt>
                <c:pt idx="13">
                  <c:v>0</c:v>
                </c:pt>
                <c:pt idx="14">
                  <c:v>-0.2819106336714286</c:v>
                </c:pt>
                <c:pt idx="15">
                  <c:v>0</c:v>
                </c:pt>
                <c:pt idx="16">
                  <c:v>-0.46985105611904771</c:v>
                </c:pt>
                <c:pt idx="17">
                  <c:v>0</c:v>
                </c:pt>
                <c:pt idx="18">
                  <c:v>-2.5833642794185416E-2</c:v>
                </c:pt>
                <c:pt idx="19">
                  <c:v>0</c:v>
                </c:pt>
                <c:pt idx="20">
                  <c:v>-1.6245576201192803E-2</c:v>
                </c:pt>
                <c:pt idx="21">
                  <c:v>0</c:v>
                </c:pt>
                <c:pt idx="22">
                  <c:v>-0.41915018321573821</c:v>
                </c:pt>
              </c:numCache>
            </c:numRef>
          </c:val>
          <c:extLst>
            <c:ext xmlns:c16="http://schemas.microsoft.com/office/drawing/2014/chart" uri="{C3380CC4-5D6E-409C-BE32-E72D297353CC}">
              <c16:uniqueId val="{00000001-A566-47FD-BA81-697750D90C15}"/>
            </c:ext>
          </c:extLst>
        </c:ser>
        <c:dLbls>
          <c:showLegendKey val="0"/>
          <c:showVal val="0"/>
          <c:showCatName val="0"/>
          <c:showSerName val="0"/>
          <c:showPercent val="0"/>
          <c:showBubbleSize val="0"/>
        </c:dLbls>
        <c:axId val="1804947263"/>
        <c:axId val="1569326143"/>
      </c:radarChart>
      <c:catAx>
        <c:axId val="1804947263"/>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pl-PL"/>
          </a:p>
        </c:txPr>
        <c:crossAx val="1569326143"/>
        <c:crosses val="autoZero"/>
        <c:auto val="1"/>
        <c:lblAlgn val="ctr"/>
        <c:lblOffset val="100"/>
        <c:noMultiLvlLbl val="0"/>
      </c:catAx>
      <c:valAx>
        <c:axId val="1569326143"/>
        <c:scaling>
          <c:orientation val="minMax"/>
          <c:max val="3.5"/>
          <c:min val="-2.5"/>
        </c:scaling>
        <c:delete val="0"/>
        <c:axPos val="l"/>
        <c:majorGridlines>
          <c:spPr>
            <a:ln w="9525" cap="flat" cmpd="sng" algn="ctr">
              <a:solidFill>
                <a:schemeClr val="tx1">
                  <a:lumMod val="15000"/>
                  <a:lumOff val="85000"/>
                </a:schemeClr>
              </a:solidFill>
              <a:round/>
            </a:ln>
            <a:effectLst/>
          </c:spPr>
        </c:majorGridlines>
        <c:numFmt formatCode="0_ ;[Red]\-0\ " sourceLinked="0"/>
        <c:majorTickMark val="cross"/>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pl-PL"/>
          </a:p>
        </c:txPr>
        <c:crossAx val="1804947263"/>
        <c:crosses val="autoZero"/>
        <c:crossBetween val="between"/>
        <c:majorUnit val="1"/>
      </c:valAx>
      <c:spPr>
        <a:noFill/>
        <a:ln>
          <a:noFill/>
        </a:ln>
        <a:effectLst/>
      </c:spPr>
    </c:plotArea>
    <c:legend>
      <c:legendPos val="b"/>
      <c:layout>
        <c:manualLayout>
          <c:xMode val="edge"/>
          <c:yMode val="edge"/>
          <c:x val="1.537992125984252E-2"/>
          <c:y val="0.83391149023038769"/>
          <c:w val="0.21924015748031497"/>
          <c:h val="0.1197922134733158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solidFill>
      <a:round/>
    </a:ln>
    <a:effectLst/>
  </c:spPr>
  <c:txPr>
    <a:bodyPr/>
    <a:lstStyle/>
    <a:p>
      <a:pPr>
        <a:defRPr/>
      </a:pPr>
      <a:endParaRPr lang="pl-PL"/>
    </a:p>
  </c:txPr>
  <c:externalData r:id="rId3">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barChart>
        <c:barDir val="col"/>
        <c:grouping val="clustered"/>
        <c:varyColors val="0"/>
        <c:ser>
          <c:idx val="0"/>
          <c:order val="0"/>
          <c:tx>
            <c:strRef>
              <c:f>Arkusz1!$A$2</c:f>
              <c:strCache>
                <c:ptCount val="1"/>
                <c:pt idx="0">
                  <c:v>Mazury Południowe</c:v>
                </c:pt>
              </c:strCache>
            </c:strRef>
          </c:tx>
          <c:spPr>
            <a:solidFill>
              <a:schemeClr val="accent3"/>
            </a:solidFill>
            <a:ln>
              <a:noFill/>
            </a:ln>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Arkusz1!$B$1:$I$1</c:f>
              <c:numCache>
                <c:formatCode>General</c:formatCode>
                <c:ptCount val="8"/>
                <c:pt idx="0">
                  <c:v>2012</c:v>
                </c:pt>
                <c:pt idx="1">
                  <c:v>2013</c:v>
                </c:pt>
                <c:pt idx="2">
                  <c:v>2014</c:v>
                </c:pt>
                <c:pt idx="3">
                  <c:v>2015</c:v>
                </c:pt>
                <c:pt idx="4">
                  <c:v>2016</c:v>
                </c:pt>
                <c:pt idx="5">
                  <c:v>2017</c:v>
                </c:pt>
                <c:pt idx="6">
                  <c:v>2018</c:v>
                </c:pt>
                <c:pt idx="7">
                  <c:v>2019</c:v>
                </c:pt>
              </c:numCache>
            </c:numRef>
          </c:cat>
          <c:val>
            <c:numRef>
              <c:f>Arkusz1!$B$2:$I$2</c:f>
              <c:numCache>
                <c:formatCode>General</c:formatCode>
                <c:ptCount val="8"/>
                <c:pt idx="0">
                  <c:v>193156</c:v>
                </c:pt>
                <c:pt idx="1">
                  <c:v>218165</c:v>
                </c:pt>
                <c:pt idx="2">
                  <c:v>208867</c:v>
                </c:pt>
                <c:pt idx="3">
                  <c:v>173464</c:v>
                </c:pt>
                <c:pt idx="4">
                  <c:v>207759</c:v>
                </c:pt>
                <c:pt idx="5">
                  <c:v>236399</c:v>
                </c:pt>
                <c:pt idx="6">
                  <c:v>219040</c:v>
                </c:pt>
                <c:pt idx="7">
                  <c:v>200354</c:v>
                </c:pt>
              </c:numCache>
            </c:numRef>
          </c:val>
          <c:extLst>
            <c:ext xmlns:c16="http://schemas.microsoft.com/office/drawing/2014/chart" uri="{C3380CC4-5D6E-409C-BE32-E72D297353CC}">
              <c16:uniqueId val="{00000000-6042-4171-B045-62941AC99AEA}"/>
            </c:ext>
          </c:extLst>
        </c:ser>
        <c:dLbls>
          <c:showLegendKey val="0"/>
          <c:showVal val="1"/>
          <c:showCatName val="0"/>
          <c:showSerName val="0"/>
          <c:showPercent val="0"/>
          <c:showBubbleSize val="0"/>
        </c:dLbls>
        <c:gapWidth val="150"/>
        <c:overlap val="-25"/>
        <c:axId val="875167480"/>
        <c:axId val="875169048"/>
      </c:barChart>
      <c:catAx>
        <c:axId val="8751674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pl-PL"/>
          </a:p>
        </c:txPr>
        <c:crossAx val="875169048"/>
        <c:crosses val="autoZero"/>
        <c:auto val="1"/>
        <c:lblAlgn val="ctr"/>
        <c:lblOffset val="100"/>
        <c:noMultiLvlLbl val="0"/>
      </c:catAx>
      <c:valAx>
        <c:axId val="875169048"/>
        <c:scaling>
          <c:orientation val="minMax"/>
        </c:scaling>
        <c:delete val="1"/>
        <c:axPos val="l"/>
        <c:numFmt formatCode="General" sourceLinked="1"/>
        <c:majorTickMark val="none"/>
        <c:minorTickMark val="none"/>
        <c:tickLblPos val="nextTo"/>
        <c:crossAx val="87516748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2"/>
      </a:solidFill>
      <a:round/>
    </a:ln>
    <a:effectLst/>
  </c:spPr>
  <c:txPr>
    <a:bodyPr/>
    <a:lstStyle/>
    <a:p>
      <a:pPr>
        <a:defRPr/>
      </a:pPr>
      <a:endParaRPr lang="pl-PL"/>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manualLayout>
          <c:layoutTarget val="inner"/>
          <c:xMode val="edge"/>
          <c:yMode val="edge"/>
          <c:x val="2.4255788313120176E-2"/>
          <c:y val="2.6709401709401708E-2"/>
          <c:w val="0.95148842337375961"/>
          <c:h val="0.84936822800996037"/>
        </c:manualLayout>
      </c:layout>
      <c:barChart>
        <c:barDir val="col"/>
        <c:grouping val="clustered"/>
        <c:varyColors val="0"/>
        <c:ser>
          <c:idx val="0"/>
          <c:order val="0"/>
          <c:tx>
            <c:strRef>
              <c:f>Arkusz1!$A$2</c:f>
              <c:strCache>
                <c:ptCount val="1"/>
                <c:pt idx="0">
                  <c:v>Południowe Mazury</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Arkusz1!$B$1:$I$1</c:f>
              <c:numCache>
                <c:formatCode>General</c:formatCode>
                <c:ptCount val="8"/>
                <c:pt idx="0">
                  <c:v>2012</c:v>
                </c:pt>
                <c:pt idx="1">
                  <c:v>2013</c:v>
                </c:pt>
                <c:pt idx="2">
                  <c:v>2014</c:v>
                </c:pt>
                <c:pt idx="3">
                  <c:v>2015</c:v>
                </c:pt>
                <c:pt idx="4">
                  <c:v>2016</c:v>
                </c:pt>
                <c:pt idx="5">
                  <c:v>2017</c:v>
                </c:pt>
                <c:pt idx="6">
                  <c:v>2018</c:v>
                </c:pt>
                <c:pt idx="7">
                  <c:v>2019</c:v>
                </c:pt>
              </c:numCache>
            </c:numRef>
          </c:cat>
          <c:val>
            <c:numRef>
              <c:f>Arkusz1!$B$2:$I$2</c:f>
              <c:numCache>
                <c:formatCode>General</c:formatCode>
                <c:ptCount val="8"/>
                <c:pt idx="0">
                  <c:v>170</c:v>
                </c:pt>
                <c:pt idx="1">
                  <c:v>217</c:v>
                </c:pt>
                <c:pt idx="2">
                  <c:v>197</c:v>
                </c:pt>
                <c:pt idx="3">
                  <c:v>202</c:v>
                </c:pt>
                <c:pt idx="4">
                  <c:v>166</c:v>
                </c:pt>
                <c:pt idx="5">
                  <c:v>129</c:v>
                </c:pt>
                <c:pt idx="6">
                  <c:v>117</c:v>
                </c:pt>
                <c:pt idx="7">
                  <c:v>103</c:v>
                </c:pt>
              </c:numCache>
            </c:numRef>
          </c:val>
          <c:extLst>
            <c:ext xmlns:c16="http://schemas.microsoft.com/office/drawing/2014/chart" uri="{C3380CC4-5D6E-409C-BE32-E72D297353CC}">
              <c16:uniqueId val="{00000000-C2E1-482A-B2EC-0CCE185BE895}"/>
            </c:ext>
          </c:extLst>
        </c:ser>
        <c:dLbls>
          <c:showLegendKey val="0"/>
          <c:showVal val="1"/>
          <c:showCatName val="0"/>
          <c:showSerName val="0"/>
          <c:showPercent val="0"/>
          <c:showBubbleSize val="0"/>
        </c:dLbls>
        <c:gapWidth val="75"/>
        <c:axId val="875170224"/>
        <c:axId val="875166696"/>
      </c:barChart>
      <c:catAx>
        <c:axId val="8751702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pl-PL"/>
          </a:p>
        </c:txPr>
        <c:crossAx val="875166696"/>
        <c:crosses val="autoZero"/>
        <c:auto val="1"/>
        <c:lblAlgn val="ctr"/>
        <c:lblOffset val="100"/>
        <c:noMultiLvlLbl val="0"/>
      </c:catAx>
      <c:valAx>
        <c:axId val="875166696"/>
        <c:scaling>
          <c:orientation val="minMax"/>
        </c:scaling>
        <c:delete val="1"/>
        <c:axPos val="l"/>
        <c:numFmt formatCode="General" sourceLinked="1"/>
        <c:majorTickMark val="none"/>
        <c:minorTickMark val="none"/>
        <c:tickLblPos val="nextTo"/>
        <c:crossAx val="87517022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2"/>
      </a:solidFill>
      <a:round/>
    </a:ln>
    <a:effectLst/>
  </c:spPr>
  <c:txPr>
    <a:bodyPr/>
    <a:lstStyle/>
    <a:p>
      <a:pPr>
        <a:defRPr/>
      </a:pPr>
      <a:endParaRPr lang="pl-PL"/>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cat>
            <c:strRef>
              <c:f>'[do strategii.xlsx]Sheet1'!$A$2:$A$8</c:f>
              <c:strCache>
                <c:ptCount val="7"/>
                <c:pt idx="0">
                  <c:v>rozwój turystyki </c:v>
                </c:pt>
                <c:pt idx="1">
                  <c:v>rozwój przedsiębiorczości </c:v>
                </c:pt>
                <c:pt idx="2">
                  <c:v>poprawa dostępności lub jakości usług zdrowotnych </c:v>
                </c:pt>
                <c:pt idx="3">
                  <c:v>dostosowanie oferty edukacyjnej do potrzeb rynku pracy </c:v>
                </c:pt>
                <c:pt idx="4">
                  <c:v>ochrona środowiska naturalnego </c:v>
                </c:pt>
                <c:pt idx="5">
                  <c:v>rozwój infrastruktury wypoczynkowo- rekreacyjnej </c:v>
                </c:pt>
                <c:pt idx="6">
                  <c:v>poprawa dostępności komunikacyjnej </c:v>
                </c:pt>
              </c:strCache>
            </c:strRef>
          </c:cat>
          <c:val>
            <c:numRef>
              <c:f>'[do strategii.xlsx]Sheet1'!$B$2:$B$8</c:f>
            </c:numRef>
          </c:val>
          <c:extLst>
            <c:ext xmlns:c16="http://schemas.microsoft.com/office/drawing/2014/chart" uri="{C3380CC4-5D6E-409C-BE32-E72D297353CC}">
              <c16:uniqueId val="{00000000-8669-40CB-BB15-3683EF405279}"/>
            </c:ext>
          </c:extLst>
        </c:ser>
        <c:ser>
          <c:idx val="1"/>
          <c:order val="1"/>
          <c:spPr>
            <a:solidFill>
              <a:schemeClr val="accent2"/>
            </a:solidFill>
            <a:ln>
              <a:noFill/>
            </a:ln>
            <a:effectLst/>
          </c:spPr>
          <c:invertIfNegative val="0"/>
          <c:cat>
            <c:strRef>
              <c:f>'[do strategii.xlsx]Sheet1'!$A$2:$A$8</c:f>
              <c:strCache>
                <c:ptCount val="7"/>
                <c:pt idx="0">
                  <c:v>rozwój turystyki </c:v>
                </c:pt>
                <c:pt idx="1">
                  <c:v>rozwój przedsiębiorczości </c:v>
                </c:pt>
                <c:pt idx="2">
                  <c:v>poprawa dostępności lub jakości usług zdrowotnych </c:v>
                </c:pt>
                <c:pt idx="3">
                  <c:v>dostosowanie oferty edukacyjnej do potrzeb rynku pracy </c:v>
                </c:pt>
                <c:pt idx="4">
                  <c:v>ochrona środowiska naturalnego </c:v>
                </c:pt>
                <c:pt idx="5">
                  <c:v>rozwój infrastruktury wypoczynkowo- rekreacyjnej </c:v>
                </c:pt>
                <c:pt idx="6">
                  <c:v>poprawa dostępności komunikacyjnej </c:v>
                </c:pt>
              </c:strCache>
            </c:strRef>
          </c:cat>
          <c:val>
            <c:numRef>
              <c:f>'[do strategii.xlsx]Sheet1'!$C$2:$C$8</c:f>
            </c:numRef>
          </c:val>
          <c:extLst>
            <c:ext xmlns:c16="http://schemas.microsoft.com/office/drawing/2014/chart" uri="{C3380CC4-5D6E-409C-BE32-E72D297353CC}">
              <c16:uniqueId val="{00000001-8669-40CB-BB15-3683EF405279}"/>
            </c:ext>
          </c:extLst>
        </c:ser>
        <c:ser>
          <c:idx val="2"/>
          <c:order val="2"/>
          <c:spPr>
            <a:solidFill>
              <a:schemeClr val="accent1">
                <a:lumMod val="60000"/>
                <a:lumOff val="40000"/>
              </a:schemeClr>
            </a:solidFill>
            <a:ln>
              <a:solidFill>
                <a:schemeClr val="tx2"/>
              </a:solidFill>
            </a:ln>
            <a:effectLst/>
          </c:spPr>
          <c:invertIfNegative val="0"/>
          <c:dPt>
            <c:idx val="0"/>
            <c:invertIfNegative val="0"/>
            <c:bubble3D val="0"/>
            <c:spPr>
              <a:solidFill>
                <a:srgbClr val="FFC000"/>
              </a:solidFill>
              <a:ln>
                <a:solidFill>
                  <a:schemeClr val="tx2"/>
                </a:solidFill>
              </a:ln>
              <a:effectLst/>
            </c:spPr>
            <c:extLst>
              <c:ext xmlns:c16="http://schemas.microsoft.com/office/drawing/2014/chart" uri="{C3380CC4-5D6E-409C-BE32-E72D297353CC}">
                <c16:uniqueId val="{00000003-8669-40CB-BB15-3683EF405279}"/>
              </c:ext>
            </c:extLst>
          </c:dPt>
          <c:dPt>
            <c:idx val="1"/>
            <c:invertIfNegative val="0"/>
            <c:bubble3D val="0"/>
            <c:spPr>
              <a:solidFill>
                <a:srgbClr val="FFC000"/>
              </a:solidFill>
              <a:ln>
                <a:solidFill>
                  <a:schemeClr val="tx2"/>
                </a:solidFill>
              </a:ln>
              <a:effectLst/>
            </c:spPr>
            <c:extLst>
              <c:ext xmlns:c16="http://schemas.microsoft.com/office/drawing/2014/chart" uri="{C3380CC4-5D6E-409C-BE32-E72D297353CC}">
                <c16:uniqueId val="{00000005-8669-40CB-BB15-3683EF405279}"/>
              </c:ext>
            </c:extLst>
          </c:dPt>
          <c:dPt>
            <c:idx val="2"/>
            <c:invertIfNegative val="0"/>
            <c:bubble3D val="0"/>
            <c:spPr>
              <a:solidFill>
                <a:srgbClr val="FFC000"/>
              </a:solidFill>
              <a:ln>
                <a:solidFill>
                  <a:schemeClr val="tx2"/>
                </a:solidFill>
              </a:ln>
              <a:effectLst/>
            </c:spPr>
            <c:extLst>
              <c:ext xmlns:c16="http://schemas.microsoft.com/office/drawing/2014/chart" uri="{C3380CC4-5D6E-409C-BE32-E72D297353CC}">
                <c16:uniqueId val="{00000007-8669-40CB-BB15-3683EF405279}"/>
              </c:ext>
            </c:extLst>
          </c:dPt>
          <c:dPt>
            <c:idx val="3"/>
            <c:invertIfNegative val="0"/>
            <c:bubble3D val="0"/>
            <c:spPr>
              <a:solidFill>
                <a:srgbClr val="FFC000"/>
              </a:solidFill>
              <a:ln>
                <a:solidFill>
                  <a:schemeClr val="tx2"/>
                </a:solidFill>
              </a:ln>
              <a:effectLst/>
            </c:spPr>
            <c:extLst>
              <c:ext xmlns:c16="http://schemas.microsoft.com/office/drawing/2014/chart" uri="{C3380CC4-5D6E-409C-BE32-E72D297353CC}">
                <c16:uniqueId val="{00000009-8669-40CB-BB15-3683EF405279}"/>
              </c:ext>
            </c:extLst>
          </c:dPt>
          <c:dPt>
            <c:idx val="4"/>
            <c:invertIfNegative val="0"/>
            <c:bubble3D val="0"/>
            <c:spPr>
              <a:solidFill>
                <a:srgbClr val="FFC000"/>
              </a:solidFill>
              <a:ln>
                <a:solidFill>
                  <a:schemeClr val="tx2"/>
                </a:solidFill>
              </a:ln>
              <a:effectLst/>
            </c:spPr>
            <c:extLst>
              <c:ext xmlns:c16="http://schemas.microsoft.com/office/drawing/2014/chart" uri="{C3380CC4-5D6E-409C-BE32-E72D297353CC}">
                <c16:uniqueId val="{0000000B-8669-40CB-BB15-3683EF405279}"/>
              </c:ext>
            </c:extLst>
          </c:dPt>
          <c:dPt>
            <c:idx val="5"/>
            <c:invertIfNegative val="0"/>
            <c:bubble3D val="0"/>
            <c:spPr>
              <a:solidFill>
                <a:srgbClr val="FFC000"/>
              </a:solidFill>
              <a:ln>
                <a:solidFill>
                  <a:schemeClr val="tx2"/>
                </a:solidFill>
              </a:ln>
              <a:effectLst/>
            </c:spPr>
            <c:extLst>
              <c:ext xmlns:c16="http://schemas.microsoft.com/office/drawing/2014/chart" uri="{C3380CC4-5D6E-409C-BE32-E72D297353CC}">
                <c16:uniqueId val="{0000000D-8669-40CB-BB15-3683EF405279}"/>
              </c:ext>
            </c:extLst>
          </c:dPt>
          <c:dPt>
            <c:idx val="6"/>
            <c:invertIfNegative val="0"/>
            <c:bubble3D val="0"/>
            <c:spPr>
              <a:solidFill>
                <a:srgbClr val="FFC000"/>
              </a:solidFill>
              <a:ln>
                <a:solidFill>
                  <a:schemeClr val="tx2"/>
                </a:solidFill>
              </a:ln>
              <a:effectLst/>
            </c:spPr>
            <c:extLst>
              <c:ext xmlns:c16="http://schemas.microsoft.com/office/drawing/2014/chart" uri="{C3380CC4-5D6E-409C-BE32-E72D297353CC}">
                <c16:uniqueId val="{0000000F-8669-40CB-BB15-3683EF405279}"/>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'[do strategii.xlsx]Sheet1'!$A$2:$A$8</c:f>
              <c:strCache>
                <c:ptCount val="7"/>
                <c:pt idx="0">
                  <c:v>rozwój turystyki </c:v>
                </c:pt>
                <c:pt idx="1">
                  <c:v>rozwój przedsiębiorczości </c:v>
                </c:pt>
                <c:pt idx="2">
                  <c:v>poprawa dostępności lub jakości usług zdrowotnych </c:v>
                </c:pt>
                <c:pt idx="3">
                  <c:v>dostosowanie oferty edukacyjnej do potrzeb rynku pracy </c:v>
                </c:pt>
                <c:pt idx="4">
                  <c:v>ochrona środowiska naturalnego </c:v>
                </c:pt>
                <c:pt idx="5">
                  <c:v>rozwój infrastruktury wypoczynkowo- rekreacyjnej </c:v>
                </c:pt>
                <c:pt idx="6">
                  <c:v>poprawa dostępności komunikacyjnej </c:v>
                </c:pt>
              </c:strCache>
            </c:strRef>
          </c:cat>
          <c:val>
            <c:numRef>
              <c:f>'[do strategii.xlsx]Sheet1'!$D$2:$D$8</c:f>
              <c:numCache>
                <c:formatCode>0%</c:formatCode>
                <c:ptCount val="7"/>
                <c:pt idx="0">
                  <c:v>1</c:v>
                </c:pt>
                <c:pt idx="1">
                  <c:v>0.9</c:v>
                </c:pt>
                <c:pt idx="2">
                  <c:v>0.8</c:v>
                </c:pt>
                <c:pt idx="3">
                  <c:v>0.85</c:v>
                </c:pt>
                <c:pt idx="4">
                  <c:v>1</c:v>
                </c:pt>
                <c:pt idx="5">
                  <c:v>0.9</c:v>
                </c:pt>
                <c:pt idx="6">
                  <c:v>0.9</c:v>
                </c:pt>
              </c:numCache>
            </c:numRef>
          </c:val>
          <c:extLst>
            <c:ext xmlns:c16="http://schemas.microsoft.com/office/drawing/2014/chart" uri="{C3380CC4-5D6E-409C-BE32-E72D297353CC}">
              <c16:uniqueId val="{00000010-8669-40CB-BB15-3683EF405279}"/>
            </c:ext>
          </c:extLst>
        </c:ser>
        <c:dLbls>
          <c:showLegendKey val="0"/>
          <c:showVal val="0"/>
          <c:showCatName val="0"/>
          <c:showSerName val="0"/>
          <c:showPercent val="0"/>
          <c:showBubbleSize val="0"/>
        </c:dLbls>
        <c:gapWidth val="182"/>
        <c:axId val="567100111"/>
        <c:axId val="567100527"/>
      </c:barChart>
      <c:catAx>
        <c:axId val="56710011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567100527"/>
        <c:crosses val="autoZero"/>
        <c:auto val="1"/>
        <c:lblAlgn val="ctr"/>
        <c:lblOffset val="100"/>
        <c:noMultiLvlLbl val="0"/>
      </c:catAx>
      <c:valAx>
        <c:axId val="567100527"/>
        <c:scaling>
          <c:orientation val="minMax"/>
        </c:scaling>
        <c:delete val="1"/>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56710011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solidFill>
      <a:round/>
    </a:ln>
    <a:effectLst/>
  </c:spPr>
  <c:txPr>
    <a:bodyPr/>
    <a:lstStyle/>
    <a:p>
      <a:pPr>
        <a:defRPr/>
      </a:pPr>
      <a:endParaRPr lang="pl-PL"/>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4769400699912509"/>
          <c:y val="6.0185185185185182E-2"/>
          <c:w val="0.50492410323709536"/>
          <c:h val="0.73577136191309422"/>
        </c:manualLayout>
      </c:layout>
      <c:barChart>
        <c:barDir val="bar"/>
        <c:grouping val="stacked"/>
        <c:varyColors val="0"/>
        <c:ser>
          <c:idx val="0"/>
          <c:order val="0"/>
          <c:tx>
            <c:strRef>
              <c:f>Sheet1!$I$1</c:f>
              <c:strCache>
                <c:ptCount val="1"/>
                <c:pt idx="0">
                  <c:v>tak</c:v>
                </c:pt>
              </c:strCache>
            </c:strRef>
          </c:tx>
          <c:spPr>
            <a:solidFill>
              <a:schemeClr val="accent1">
                <a:lumMod val="60000"/>
                <a:lumOff val="40000"/>
              </a:schemeClr>
            </a:solidFill>
            <a:ln>
              <a:solidFill>
                <a:schemeClr val="tx2"/>
              </a:solidFill>
            </a:ln>
            <a:effectLst/>
          </c:spPr>
          <c:invertIfNegative val="0"/>
          <c:cat>
            <c:strRef>
              <c:f>Sheet1!$H$2:$H$8</c:f>
              <c:strCache>
                <c:ptCount val="7"/>
                <c:pt idx="0">
                  <c:v>rozwój turystyki </c:v>
                </c:pt>
                <c:pt idx="1">
                  <c:v>rozwój przedsiębiorczości </c:v>
                </c:pt>
                <c:pt idx="2">
                  <c:v>poprawa dostępności lub jakości usług zdrowotnych </c:v>
                </c:pt>
                <c:pt idx="3">
                  <c:v>dostosowanie oferty edukacyjnej do potrzeb rynku pracy </c:v>
                </c:pt>
                <c:pt idx="4">
                  <c:v>ochrona środowiska naturalnego </c:v>
                </c:pt>
                <c:pt idx="5">
                  <c:v>rozwój infrastruktury wypoczynkowo- rekreacyjnej </c:v>
                </c:pt>
                <c:pt idx="6">
                  <c:v>poprawa dostępności komunikacyjnej </c:v>
                </c:pt>
              </c:strCache>
            </c:strRef>
          </c:cat>
          <c:val>
            <c:numRef>
              <c:f>Sheet1!$I$2:$I$8</c:f>
              <c:numCache>
                <c:formatCode>0%</c:formatCode>
                <c:ptCount val="7"/>
                <c:pt idx="0">
                  <c:v>0.2</c:v>
                </c:pt>
                <c:pt idx="1">
                  <c:v>0.15</c:v>
                </c:pt>
                <c:pt idx="2">
                  <c:v>0.25</c:v>
                </c:pt>
                <c:pt idx="3">
                  <c:v>0.2</c:v>
                </c:pt>
                <c:pt idx="4">
                  <c:v>0.3</c:v>
                </c:pt>
                <c:pt idx="5">
                  <c:v>0.25</c:v>
                </c:pt>
                <c:pt idx="6">
                  <c:v>0.23809523809523808</c:v>
                </c:pt>
              </c:numCache>
            </c:numRef>
          </c:val>
          <c:extLst>
            <c:ext xmlns:c16="http://schemas.microsoft.com/office/drawing/2014/chart" uri="{C3380CC4-5D6E-409C-BE32-E72D297353CC}">
              <c16:uniqueId val="{00000000-8598-4843-A031-DE85CC131FEC}"/>
            </c:ext>
          </c:extLst>
        </c:ser>
        <c:ser>
          <c:idx val="1"/>
          <c:order val="1"/>
          <c:tx>
            <c:strRef>
              <c:f>Sheet1!$J$1</c:f>
              <c:strCache>
                <c:ptCount val="1"/>
                <c:pt idx="0">
                  <c:v>nie </c:v>
                </c:pt>
              </c:strCache>
            </c:strRef>
          </c:tx>
          <c:spPr>
            <a:solidFill>
              <a:schemeClr val="accent2">
                <a:lumMod val="60000"/>
                <a:lumOff val="40000"/>
              </a:schemeClr>
            </a:solidFill>
            <a:ln>
              <a:solidFill>
                <a:schemeClr val="tx2"/>
              </a:solidFill>
            </a:ln>
            <a:effectLst/>
          </c:spPr>
          <c:invertIfNegative val="0"/>
          <c:cat>
            <c:strRef>
              <c:f>Sheet1!$H$2:$H$8</c:f>
              <c:strCache>
                <c:ptCount val="7"/>
                <c:pt idx="0">
                  <c:v>rozwój turystyki </c:v>
                </c:pt>
                <c:pt idx="1">
                  <c:v>rozwój przedsiębiorczości </c:v>
                </c:pt>
                <c:pt idx="2">
                  <c:v>poprawa dostępności lub jakości usług zdrowotnych </c:v>
                </c:pt>
                <c:pt idx="3">
                  <c:v>dostosowanie oferty edukacyjnej do potrzeb rynku pracy </c:v>
                </c:pt>
                <c:pt idx="4">
                  <c:v>ochrona środowiska naturalnego </c:v>
                </c:pt>
                <c:pt idx="5">
                  <c:v>rozwój infrastruktury wypoczynkowo- rekreacyjnej </c:v>
                </c:pt>
                <c:pt idx="6">
                  <c:v>poprawa dostępności komunikacyjnej </c:v>
                </c:pt>
              </c:strCache>
            </c:strRef>
          </c:cat>
          <c:val>
            <c:numRef>
              <c:f>Sheet1!$J$2:$J$8</c:f>
              <c:numCache>
                <c:formatCode>0%</c:formatCode>
                <c:ptCount val="7"/>
                <c:pt idx="0">
                  <c:v>0.1</c:v>
                </c:pt>
                <c:pt idx="1">
                  <c:v>0.05</c:v>
                </c:pt>
                <c:pt idx="2">
                  <c:v>0</c:v>
                </c:pt>
                <c:pt idx="3">
                  <c:v>0</c:v>
                </c:pt>
                <c:pt idx="4">
                  <c:v>0</c:v>
                </c:pt>
                <c:pt idx="5">
                  <c:v>0.05</c:v>
                </c:pt>
                <c:pt idx="6">
                  <c:v>9.5238095238095233E-2</c:v>
                </c:pt>
              </c:numCache>
            </c:numRef>
          </c:val>
          <c:extLst>
            <c:ext xmlns:c16="http://schemas.microsoft.com/office/drawing/2014/chart" uri="{C3380CC4-5D6E-409C-BE32-E72D297353CC}">
              <c16:uniqueId val="{00000001-8598-4843-A031-DE85CC131FEC}"/>
            </c:ext>
          </c:extLst>
        </c:ser>
        <c:ser>
          <c:idx val="2"/>
          <c:order val="2"/>
          <c:tx>
            <c:strRef>
              <c:f>Sheet1!$K$1</c:f>
              <c:strCache>
                <c:ptCount val="1"/>
                <c:pt idx="0">
                  <c:v>nie w pełni </c:v>
                </c:pt>
              </c:strCache>
            </c:strRef>
          </c:tx>
          <c:spPr>
            <a:solidFill>
              <a:schemeClr val="accent3"/>
            </a:solidFill>
            <a:ln>
              <a:solidFill>
                <a:schemeClr val="tx2"/>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Sheet1!$H$2:$H$8</c:f>
              <c:strCache>
                <c:ptCount val="7"/>
                <c:pt idx="0">
                  <c:v>rozwój turystyki </c:v>
                </c:pt>
                <c:pt idx="1">
                  <c:v>rozwój przedsiębiorczości </c:v>
                </c:pt>
                <c:pt idx="2">
                  <c:v>poprawa dostępności lub jakości usług zdrowotnych </c:v>
                </c:pt>
                <c:pt idx="3">
                  <c:v>dostosowanie oferty edukacyjnej do potrzeb rynku pracy </c:v>
                </c:pt>
                <c:pt idx="4">
                  <c:v>ochrona środowiska naturalnego </c:v>
                </c:pt>
                <c:pt idx="5">
                  <c:v>rozwój infrastruktury wypoczynkowo- rekreacyjnej </c:v>
                </c:pt>
                <c:pt idx="6">
                  <c:v>poprawa dostępności komunikacyjnej </c:v>
                </c:pt>
              </c:strCache>
            </c:strRef>
          </c:cat>
          <c:val>
            <c:numRef>
              <c:f>Sheet1!$K$2:$K$8</c:f>
              <c:numCache>
                <c:formatCode>0%</c:formatCode>
                <c:ptCount val="7"/>
                <c:pt idx="0">
                  <c:v>0.65</c:v>
                </c:pt>
                <c:pt idx="1">
                  <c:v>0.8</c:v>
                </c:pt>
                <c:pt idx="2">
                  <c:v>0.6</c:v>
                </c:pt>
                <c:pt idx="3">
                  <c:v>0.65</c:v>
                </c:pt>
                <c:pt idx="4">
                  <c:v>0.7</c:v>
                </c:pt>
                <c:pt idx="5">
                  <c:v>0.65</c:v>
                </c:pt>
                <c:pt idx="6">
                  <c:v>0.66666666666666663</c:v>
                </c:pt>
              </c:numCache>
            </c:numRef>
          </c:val>
          <c:extLst>
            <c:ext xmlns:c16="http://schemas.microsoft.com/office/drawing/2014/chart" uri="{C3380CC4-5D6E-409C-BE32-E72D297353CC}">
              <c16:uniqueId val="{00000002-8598-4843-A031-DE85CC131FEC}"/>
            </c:ext>
          </c:extLst>
        </c:ser>
        <c:ser>
          <c:idx val="3"/>
          <c:order val="3"/>
          <c:tx>
            <c:strRef>
              <c:f>Sheet1!$L$1</c:f>
              <c:strCache>
                <c:ptCount val="1"/>
                <c:pt idx="0">
                  <c:v>nie dotyczy </c:v>
                </c:pt>
              </c:strCache>
            </c:strRef>
          </c:tx>
          <c:spPr>
            <a:solidFill>
              <a:schemeClr val="accent4"/>
            </a:solidFill>
            <a:ln>
              <a:solidFill>
                <a:schemeClr val="tx2"/>
              </a:solidFill>
            </a:ln>
            <a:effectLst/>
          </c:spPr>
          <c:invertIfNegative val="0"/>
          <c:cat>
            <c:strRef>
              <c:f>Sheet1!$H$2:$H$8</c:f>
              <c:strCache>
                <c:ptCount val="7"/>
                <c:pt idx="0">
                  <c:v>rozwój turystyki </c:v>
                </c:pt>
                <c:pt idx="1">
                  <c:v>rozwój przedsiębiorczości </c:v>
                </c:pt>
                <c:pt idx="2">
                  <c:v>poprawa dostępności lub jakości usług zdrowotnych </c:v>
                </c:pt>
                <c:pt idx="3">
                  <c:v>dostosowanie oferty edukacyjnej do potrzeb rynku pracy </c:v>
                </c:pt>
                <c:pt idx="4">
                  <c:v>ochrona środowiska naturalnego </c:v>
                </c:pt>
                <c:pt idx="5">
                  <c:v>rozwój infrastruktury wypoczynkowo- rekreacyjnej </c:v>
                </c:pt>
                <c:pt idx="6">
                  <c:v>poprawa dostępności komunikacyjnej </c:v>
                </c:pt>
              </c:strCache>
            </c:strRef>
          </c:cat>
          <c:val>
            <c:numRef>
              <c:f>Sheet1!$L$2:$L$8</c:f>
              <c:numCache>
                <c:formatCode>0%</c:formatCode>
                <c:ptCount val="7"/>
                <c:pt idx="0">
                  <c:v>0.05</c:v>
                </c:pt>
                <c:pt idx="1">
                  <c:v>0</c:v>
                </c:pt>
                <c:pt idx="2">
                  <c:v>0.15</c:v>
                </c:pt>
                <c:pt idx="3">
                  <c:v>0.15</c:v>
                </c:pt>
                <c:pt idx="4">
                  <c:v>0</c:v>
                </c:pt>
                <c:pt idx="5">
                  <c:v>0.05</c:v>
                </c:pt>
                <c:pt idx="6">
                  <c:v>0</c:v>
                </c:pt>
              </c:numCache>
            </c:numRef>
          </c:val>
          <c:extLst>
            <c:ext xmlns:c16="http://schemas.microsoft.com/office/drawing/2014/chart" uri="{C3380CC4-5D6E-409C-BE32-E72D297353CC}">
              <c16:uniqueId val="{00000003-8598-4843-A031-DE85CC131FEC}"/>
            </c:ext>
          </c:extLst>
        </c:ser>
        <c:dLbls>
          <c:showLegendKey val="0"/>
          <c:showVal val="0"/>
          <c:showCatName val="0"/>
          <c:showSerName val="0"/>
          <c:showPercent val="0"/>
          <c:showBubbleSize val="0"/>
        </c:dLbls>
        <c:gapWidth val="150"/>
        <c:overlap val="100"/>
        <c:axId val="578598527"/>
        <c:axId val="578596447"/>
      </c:barChart>
      <c:catAx>
        <c:axId val="57859852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578596447"/>
        <c:crosses val="autoZero"/>
        <c:auto val="1"/>
        <c:lblAlgn val="ctr"/>
        <c:lblOffset val="100"/>
        <c:noMultiLvlLbl val="0"/>
      </c:catAx>
      <c:valAx>
        <c:axId val="578596447"/>
        <c:scaling>
          <c:orientation val="minMax"/>
          <c:max val="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57859852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2"/>
      </a:solidFill>
      <a:round/>
    </a:ln>
    <a:effectLst/>
  </c:spPr>
  <c:txPr>
    <a:bodyPr/>
    <a:lstStyle/>
    <a:p>
      <a:pPr>
        <a:defRPr/>
      </a:pPr>
      <a:endParaRPr lang="pl-PL"/>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2017180621346634"/>
          <c:y val="6.6848135081037721E-2"/>
          <c:w val="0.3921350468641619"/>
          <c:h val="0.87619492667274157"/>
        </c:manualLayout>
      </c:layout>
      <c:radarChart>
        <c:radarStyle val="marker"/>
        <c:varyColors val="0"/>
        <c:ser>
          <c:idx val="0"/>
          <c:order val="0"/>
          <c:tx>
            <c:v>Export usługi</c:v>
          </c:tx>
          <c:spPr>
            <a:ln w="19050" cap="rnd">
              <a:solidFill>
                <a:schemeClr val="accent1"/>
              </a:solidFill>
              <a:round/>
            </a:ln>
            <a:effectLst/>
          </c:spPr>
          <c:marker>
            <c:symbol val="none"/>
          </c:marker>
          <c:cat>
            <c:strRef>
              <c:f>'Bilans-Zbiorczy'!$V$6:$AR$6</c:f>
              <c:strCache>
                <c:ptCount val="23"/>
                <c:pt idx="0">
                  <c:v>Szczytno (miasto)</c:v>
                </c:pt>
                <c:pt idx="1">
                  <c:v>Biała Piska</c:v>
                </c:pt>
                <c:pt idx="2">
                  <c:v>Lidzbark</c:v>
                </c:pt>
                <c:pt idx="3">
                  <c:v>Nidzica</c:v>
                </c:pt>
                <c:pt idx="4">
                  <c:v>Orzysz</c:v>
                </c:pt>
                <c:pt idx="5">
                  <c:v>Pasym</c:v>
                </c:pt>
                <c:pt idx="6">
                  <c:v>Pisz</c:v>
                </c:pt>
                <c:pt idx="7">
                  <c:v>Ruciane-Nida</c:v>
                </c:pt>
                <c:pt idx="8">
                  <c:v>Wielbark</c:v>
                </c:pt>
                <c:pt idx="9">
                  <c:v>Działdowo (miasto)</c:v>
                </c:pt>
                <c:pt idx="10">
                  <c:v>Działdowo (gmina)</c:v>
                </c:pt>
                <c:pt idx="11">
                  <c:v>Dźwierzuty</c:v>
                </c:pt>
                <c:pt idx="12">
                  <c:v>Iłowo-Osada</c:v>
                </c:pt>
                <c:pt idx="13">
                  <c:v>Janowiec Kościelny</c:v>
                </c:pt>
                <c:pt idx="14">
                  <c:v>Janowo</c:v>
                </c:pt>
                <c:pt idx="15">
                  <c:v>Jedwabno</c:v>
                </c:pt>
                <c:pt idx="16">
                  <c:v>Kozłowo</c:v>
                </c:pt>
                <c:pt idx="17">
                  <c:v>Płośnica</c:v>
                </c:pt>
                <c:pt idx="18">
                  <c:v>Rozogi</c:v>
                </c:pt>
                <c:pt idx="19">
                  <c:v>Rybno</c:v>
                </c:pt>
                <c:pt idx="20">
                  <c:v>Szczytno (gmina)</c:v>
                </c:pt>
                <c:pt idx="21">
                  <c:v>Świętajno</c:v>
                </c:pt>
                <c:pt idx="22">
                  <c:v>Poza partnerstwem</c:v>
                </c:pt>
              </c:strCache>
            </c:strRef>
          </c:cat>
          <c:val>
            <c:numRef>
              <c:f>'Bilans-Zbiorczy'!$V$18:$AR$18</c:f>
              <c:numCache>
                <c:formatCode>0.00</c:formatCode>
                <c:ptCount val="23"/>
                <c:pt idx="0">
                  <c:v>0.44025466763904486</c:v>
                </c:pt>
                <c:pt idx="1">
                  <c:v>0</c:v>
                </c:pt>
                <c:pt idx="2">
                  <c:v>0</c:v>
                </c:pt>
                <c:pt idx="3">
                  <c:v>0</c:v>
                </c:pt>
                <c:pt idx="4">
                  <c:v>0</c:v>
                </c:pt>
                <c:pt idx="5">
                  <c:v>0</c:v>
                </c:pt>
                <c:pt idx="6">
                  <c:v>0</c:v>
                </c:pt>
                <c:pt idx="7">
                  <c:v>0</c:v>
                </c:pt>
                <c:pt idx="8">
                  <c:v>0</c:v>
                </c:pt>
                <c:pt idx="9">
                  <c:v>0.17265231066588518</c:v>
                </c:pt>
                <c:pt idx="10">
                  <c:v>0</c:v>
                </c:pt>
                <c:pt idx="11">
                  <c:v>0</c:v>
                </c:pt>
                <c:pt idx="12">
                  <c:v>0</c:v>
                </c:pt>
                <c:pt idx="13">
                  <c:v>0</c:v>
                </c:pt>
                <c:pt idx="14">
                  <c:v>0</c:v>
                </c:pt>
                <c:pt idx="15">
                  <c:v>0</c:v>
                </c:pt>
                <c:pt idx="16">
                  <c:v>0</c:v>
                </c:pt>
                <c:pt idx="17">
                  <c:v>0</c:v>
                </c:pt>
                <c:pt idx="18">
                  <c:v>0</c:v>
                </c:pt>
                <c:pt idx="19">
                  <c:v>0</c:v>
                </c:pt>
                <c:pt idx="20">
                  <c:v>0</c:v>
                </c:pt>
                <c:pt idx="21">
                  <c:v>0</c:v>
                </c:pt>
                <c:pt idx="22">
                  <c:v>3.5457860380211805</c:v>
                </c:pt>
              </c:numCache>
            </c:numRef>
          </c:val>
          <c:extLst>
            <c:ext xmlns:c16="http://schemas.microsoft.com/office/drawing/2014/chart" uri="{C3380CC4-5D6E-409C-BE32-E72D297353CC}">
              <c16:uniqueId val="{00000000-A87B-4BA6-ADE9-67B6B492B080}"/>
            </c:ext>
          </c:extLst>
        </c:ser>
        <c:ser>
          <c:idx val="1"/>
          <c:order val="1"/>
          <c:tx>
            <c:v>Import usługi</c:v>
          </c:tx>
          <c:spPr>
            <a:ln w="19050" cap="rnd">
              <a:solidFill>
                <a:schemeClr val="accent2"/>
              </a:solidFill>
              <a:round/>
            </a:ln>
            <a:effectLst/>
          </c:spPr>
          <c:marker>
            <c:symbol val="none"/>
          </c:marker>
          <c:cat>
            <c:strRef>
              <c:f>'Bilans-Zbiorczy'!$V$6:$AR$6</c:f>
              <c:strCache>
                <c:ptCount val="23"/>
                <c:pt idx="0">
                  <c:v>Szczytno (miasto)</c:v>
                </c:pt>
                <c:pt idx="1">
                  <c:v>Biała Piska</c:v>
                </c:pt>
                <c:pt idx="2">
                  <c:v>Lidzbark</c:v>
                </c:pt>
                <c:pt idx="3">
                  <c:v>Nidzica</c:v>
                </c:pt>
                <c:pt idx="4">
                  <c:v>Orzysz</c:v>
                </c:pt>
                <c:pt idx="5">
                  <c:v>Pasym</c:v>
                </c:pt>
                <c:pt idx="6">
                  <c:v>Pisz</c:v>
                </c:pt>
                <c:pt idx="7">
                  <c:v>Ruciane-Nida</c:v>
                </c:pt>
                <c:pt idx="8">
                  <c:v>Wielbark</c:v>
                </c:pt>
                <c:pt idx="9">
                  <c:v>Działdowo (miasto)</c:v>
                </c:pt>
                <c:pt idx="10">
                  <c:v>Działdowo (gmina)</c:v>
                </c:pt>
                <c:pt idx="11">
                  <c:v>Dźwierzuty</c:v>
                </c:pt>
                <c:pt idx="12">
                  <c:v>Iłowo-Osada</c:v>
                </c:pt>
                <c:pt idx="13">
                  <c:v>Janowiec Kościelny</c:v>
                </c:pt>
                <c:pt idx="14">
                  <c:v>Janowo</c:v>
                </c:pt>
                <c:pt idx="15">
                  <c:v>Jedwabno</c:v>
                </c:pt>
                <c:pt idx="16">
                  <c:v>Kozłowo</c:v>
                </c:pt>
                <c:pt idx="17">
                  <c:v>Płośnica</c:v>
                </c:pt>
                <c:pt idx="18">
                  <c:v>Rozogi</c:v>
                </c:pt>
                <c:pt idx="19">
                  <c:v>Rybno</c:v>
                </c:pt>
                <c:pt idx="20">
                  <c:v>Szczytno (gmina)</c:v>
                </c:pt>
                <c:pt idx="21">
                  <c:v>Świętajno</c:v>
                </c:pt>
                <c:pt idx="22">
                  <c:v>Poza partnerstwem</c:v>
                </c:pt>
              </c:strCache>
            </c:strRef>
          </c:cat>
          <c:val>
            <c:numRef>
              <c:f>'Bilans-Zbiorczy'!$BB$120:$BX$120</c:f>
              <c:numCache>
                <c:formatCode>0.00</c:formatCode>
                <c:ptCount val="23"/>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-9.3970211223809538E-2</c:v>
                </c:pt>
              </c:numCache>
            </c:numRef>
          </c:val>
          <c:extLst>
            <c:ext xmlns:c16="http://schemas.microsoft.com/office/drawing/2014/chart" uri="{C3380CC4-5D6E-409C-BE32-E72D297353CC}">
              <c16:uniqueId val="{00000001-A87B-4BA6-ADE9-67B6B492B080}"/>
            </c:ext>
          </c:extLst>
        </c:ser>
        <c:dLbls>
          <c:showLegendKey val="0"/>
          <c:showVal val="0"/>
          <c:showCatName val="0"/>
          <c:showSerName val="0"/>
          <c:showPercent val="0"/>
          <c:showBubbleSize val="0"/>
        </c:dLbls>
        <c:axId val="1804947263"/>
        <c:axId val="1569326143"/>
      </c:radarChart>
      <c:catAx>
        <c:axId val="1804947263"/>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pl-PL"/>
          </a:p>
        </c:txPr>
        <c:crossAx val="1569326143"/>
        <c:crosses val="autoZero"/>
        <c:auto val="1"/>
        <c:lblAlgn val="ctr"/>
        <c:lblOffset val="100"/>
        <c:noMultiLvlLbl val="0"/>
      </c:catAx>
      <c:valAx>
        <c:axId val="1569326143"/>
        <c:scaling>
          <c:orientation val="minMax"/>
          <c:max val="3.5"/>
          <c:min val="-2.5"/>
        </c:scaling>
        <c:delete val="0"/>
        <c:axPos val="l"/>
        <c:majorGridlines>
          <c:spPr>
            <a:ln w="9525" cap="flat" cmpd="sng" algn="ctr">
              <a:solidFill>
                <a:schemeClr val="tx1">
                  <a:lumMod val="15000"/>
                  <a:lumOff val="85000"/>
                </a:schemeClr>
              </a:solidFill>
              <a:round/>
            </a:ln>
            <a:effectLst/>
          </c:spPr>
        </c:majorGridlines>
        <c:numFmt formatCode="0_ ;[Red]\-0\ " sourceLinked="0"/>
        <c:majorTickMark val="cross"/>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pl-PL"/>
          </a:p>
        </c:txPr>
        <c:crossAx val="1804947263"/>
        <c:crosses val="autoZero"/>
        <c:crossBetween val="between"/>
        <c:majorUnit val="1"/>
      </c:valAx>
      <c:spPr>
        <a:noFill/>
        <a:ln>
          <a:noFill/>
        </a:ln>
        <a:effectLst/>
      </c:spPr>
    </c:plotArea>
    <c:legend>
      <c:legendPos val="b"/>
      <c:layout>
        <c:manualLayout>
          <c:xMode val="edge"/>
          <c:yMode val="edge"/>
          <c:x val="1.537992125984252E-2"/>
          <c:y val="0.83391149023038769"/>
          <c:w val="0.21924015748031497"/>
          <c:h val="0.1197922134733158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solidFill>
      <a:round/>
    </a:ln>
    <a:effectLst/>
  </c:spPr>
  <c:txPr>
    <a:bodyPr/>
    <a:lstStyle/>
    <a:p>
      <a:pPr>
        <a:defRPr/>
      </a:pPr>
      <a:endParaRPr lang="pl-PL"/>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1016937226010286"/>
          <c:y val="0.11009211382637116"/>
          <c:w val="0.45739294342640269"/>
          <c:h val="0.778329363113335"/>
        </c:manualLayout>
      </c:layout>
      <c:radarChart>
        <c:radarStyle val="marker"/>
        <c:varyColors val="0"/>
        <c:ser>
          <c:idx val="0"/>
          <c:order val="0"/>
          <c:tx>
            <c:v>Export usługi</c:v>
          </c:tx>
          <c:spPr>
            <a:ln w="19050" cap="rnd">
              <a:solidFill>
                <a:schemeClr val="accent1"/>
              </a:solidFill>
              <a:round/>
            </a:ln>
            <a:effectLst/>
          </c:spPr>
          <c:marker>
            <c:symbol val="none"/>
          </c:marker>
          <c:cat>
            <c:strRef>
              <c:f>'[Matryca bilansu usług Mazury południowe ver10 (2).xlsx]Bilans-Zbiorczy'!$V$6:$AR$6</c:f>
              <c:strCache>
                <c:ptCount val="23"/>
                <c:pt idx="0">
                  <c:v>Szczytno (miasto)</c:v>
                </c:pt>
                <c:pt idx="1">
                  <c:v>Biała Piska</c:v>
                </c:pt>
                <c:pt idx="2">
                  <c:v>Lidzbark</c:v>
                </c:pt>
                <c:pt idx="3">
                  <c:v>Nidzica</c:v>
                </c:pt>
                <c:pt idx="4">
                  <c:v>Orzysz</c:v>
                </c:pt>
                <c:pt idx="5">
                  <c:v>Pasym</c:v>
                </c:pt>
                <c:pt idx="6">
                  <c:v>Pisz</c:v>
                </c:pt>
                <c:pt idx="7">
                  <c:v>Ruciane-Nida</c:v>
                </c:pt>
                <c:pt idx="8">
                  <c:v>Wielbark</c:v>
                </c:pt>
                <c:pt idx="9">
                  <c:v>Działdowo (miasto)</c:v>
                </c:pt>
                <c:pt idx="10">
                  <c:v>Działdowo (gmina)</c:v>
                </c:pt>
                <c:pt idx="11">
                  <c:v>Dźwierzuty</c:v>
                </c:pt>
                <c:pt idx="12">
                  <c:v>Iłowo-Osada</c:v>
                </c:pt>
                <c:pt idx="13">
                  <c:v>Janowiec Kościelny</c:v>
                </c:pt>
                <c:pt idx="14">
                  <c:v>Janowo</c:v>
                </c:pt>
                <c:pt idx="15">
                  <c:v>Jedwabno</c:v>
                </c:pt>
                <c:pt idx="16">
                  <c:v>Kozłowo</c:v>
                </c:pt>
                <c:pt idx="17">
                  <c:v>Płośnica</c:v>
                </c:pt>
                <c:pt idx="18">
                  <c:v>Rozogi</c:v>
                </c:pt>
                <c:pt idx="19">
                  <c:v>Rybno</c:v>
                </c:pt>
                <c:pt idx="20">
                  <c:v>Szczytno (gmina)</c:v>
                </c:pt>
                <c:pt idx="21">
                  <c:v>Świętajno</c:v>
                </c:pt>
                <c:pt idx="22">
                  <c:v>Poza partnerstwem</c:v>
                </c:pt>
              </c:strCache>
            </c:strRef>
          </c:cat>
          <c:val>
            <c:numRef>
              <c:f>'[Matryca bilansu usług Mazury południowe ver10 (2).xlsx]Bilans-Zbiorczy'!$V$29:$AR$29</c:f>
              <c:numCache>
                <c:formatCode>0.00</c:formatCode>
                <c:ptCount val="23"/>
                <c:pt idx="0">
                  <c:v>0.36002451824775061</c:v>
                </c:pt>
                <c:pt idx="1">
                  <c:v>0.12375003914866201</c:v>
                </c:pt>
                <c:pt idx="2">
                  <c:v>0</c:v>
                </c:pt>
                <c:pt idx="3">
                  <c:v>0</c:v>
                </c:pt>
                <c:pt idx="4">
                  <c:v>0</c:v>
                </c:pt>
                <c:pt idx="5">
                  <c:v>0</c:v>
                </c:pt>
                <c:pt idx="6">
                  <c:v>0.26676122000653224</c:v>
                </c:pt>
                <c:pt idx="7">
                  <c:v>0</c:v>
                </c:pt>
                <c:pt idx="8">
                  <c:v>0</c:v>
                </c:pt>
                <c:pt idx="9">
                  <c:v>0.44847364959486724</c:v>
                </c:pt>
                <c:pt idx="10">
                  <c:v>0</c:v>
                </c:pt>
                <c:pt idx="11">
                  <c:v>0</c:v>
                </c:pt>
                <c:pt idx="12">
                  <c:v>0</c:v>
                </c:pt>
                <c:pt idx="13">
                  <c:v>0</c:v>
                </c:pt>
                <c:pt idx="14">
                  <c:v>0</c:v>
                </c:pt>
                <c:pt idx="15">
                  <c:v>0</c:v>
                </c:pt>
                <c:pt idx="16">
                  <c:v>0</c:v>
                </c:pt>
                <c:pt idx="17">
                  <c:v>0</c:v>
                </c:pt>
                <c:pt idx="18">
                  <c:v>0</c:v>
                </c:pt>
                <c:pt idx="19">
                  <c:v>0</c:v>
                </c:pt>
                <c:pt idx="20">
                  <c:v>0</c:v>
                </c:pt>
                <c:pt idx="21">
                  <c:v>0</c:v>
                </c:pt>
                <c:pt idx="22">
                  <c:v>2.395996545969477</c:v>
                </c:pt>
              </c:numCache>
            </c:numRef>
          </c:val>
          <c:extLst>
            <c:ext xmlns:c16="http://schemas.microsoft.com/office/drawing/2014/chart" uri="{C3380CC4-5D6E-409C-BE32-E72D297353CC}">
              <c16:uniqueId val="{00000000-A4CF-447D-AD8C-6503D2B307E0}"/>
            </c:ext>
          </c:extLst>
        </c:ser>
        <c:ser>
          <c:idx val="1"/>
          <c:order val="1"/>
          <c:tx>
            <c:v>Import usługi</c:v>
          </c:tx>
          <c:spPr>
            <a:ln w="19050" cap="rnd">
              <a:solidFill>
                <a:schemeClr val="accent2"/>
              </a:solidFill>
              <a:round/>
            </a:ln>
            <a:effectLst/>
          </c:spPr>
          <c:marker>
            <c:symbol val="none"/>
          </c:marker>
          <c:cat>
            <c:strRef>
              <c:f>'[Matryca bilansu usług Mazury południowe ver10 (2).xlsx]Bilans-Zbiorczy'!$V$6:$AR$6</c:f>
              <c:strCache>
                <c:ptCount val="23"/>
                <c:pt idx="0">
                  <c:v>Szczytno (miasto)</c:v>
                </c:pt>
                <c:pt idx="1">
                  <c:v>Biała Piska</c:v>
                </c:pt>
                <c:pt idx="2">
                  <c:v>Lidzbark</c:v>
                </c:pt>
                <c:pt idx="3">
                  <c:v>Nidzica</c:v>
                </c:pt>
                <c:pt idx="4">
                  <c:v>Orzysz</c:v>
                </c:pt>
                <c:pt idx="5">
                  <c:v>Pasym</c:v>
                </c:pt>
                <c:pt idx="6">
                  <c:v>Pisz</c:v>
                </c:pt>
                <c:pt idx="7">
                  <c:v>Ruciane-Nida</c:v>
                </c:pt>
                <c:pt idx="8">
                  <c:v>Wielbark</c:v>
                </c:pt>
                <c:pt idx="9">
                  <c:v>Działdowo (miasto)</c:v>
                </c:pt>
                <c:pt idx="10">
                  <c:v>Działdowo (gmina)</c:v>
                </c:pt>
                <c:pt idx="11">
                  <c:v>Dźwierzuty</c:v>
                </c:pt>
                <c:pt idx="12">
                  <c:v>Iłowo-Osada</c:v>
                </c:pt>
                <c:pt idx="13">
                  <c:v>Janowiec Kościelny</c:v>
                </c:pt>
                <c:pt idx="14">
                  <c:v>Janowo</c:v>
                </c:pt>
                <c:pt idx="15">
                  <c:v>Jedwabno</c:v>
                </c:pt>
                <c:pt idx="16">
                  <c:v>Kozłowo</c:v>
                </c:pt>
                <c:pt idx="17">
                  <c:v>Płośnica</c:v>
                </c:pt>
                <c:pt idx="18">
                  <c:v>Rozogi</c:v>
                </c:pt>
                <c:pt idx="19">
                  <c:v>Rybno</c:v>
                </c:pt>
                <c:pt idx="20">
                  <c:v>Szczytno (gmina)</c:v>
                </c:pt>
                <c:pt idx="21">
                  <c:v>Świętajno</c:v>
                </c:pt>
                <c:pt idx="22">
                  <c:v>Poza partnerstwem</c:v>
                </c:pt>
              </c:strCache>
            </c:strRef>
          </c:cat>
          <c:val>
            <c:numRef>
              <c:f>'[Matryca bilansu usług Mazury południowe ver10 (2).xlsx]Bilans-Zbiorczy'!$BB$131:$BX$131</c:f>
              <c:numCache>
                <c:formatCode>0.00</c:formatCode>
                <c:ptCount val="23"/>
                <c:pt idx="0">
                  <c:v>-7.1505590428935117E-2</c:v>
                </c:pt>
                <c:pt idx="1">
                  <c:v>0</c:v>
                </c:pt>
                <c:pt idx="2">
                  <c:v>0</c:v>
                </c:pt>
                <c:pt idx="3">
                  <c:v>0</c:v>
                </c:pt>
                <c:pt idx="4">
                  <c:v>-0.24750007829732401</c:v>
                </c:pt>
                <c:pt idx="5">
                  <c:v>0</c:v>
                </c:pt>
                <c:pt idx="6">
                  <c:v>-0.10725838564340268</c:v>
                </c:pt>
                <c:pt idx="7">
                  <c:v>-0.12375003914866201</c:v>
                </c:pt>
                <c:pt idx="8">
                  <c:v>0</c:v>
                </c:pt>
                <c:pt idx="9">
                  <c:v>0</c:v>
                </c:pt>
                <c:pt idx="10">
                  <c:v>0</c:v>
                </c:pt>
                <c:pt idx="11">
                  <c:v>0</c:v>
                </c:pt>
                <c:pt idx="12">
                  <c:v>0</c:v>
                </c:pt>
                <c:pt idx="13">
                  <c:v>0</c:v>
                </c:pt>
                <c:pt idx="14">
                  <c:v>0</c:v>
                </c:pt>
                <c:pt idx="15">
                  <c:v>0</c:v>
                </c:pt>
                <c:pt idx="16">
                  <c:v>-9.3970211223809538E-2</c:v>
                </c:pt>
                <c:pt idx="17">
                  <c:v>0</c:v>
                </c:pt>
                <c:pt idx="18">
                  <c:v>0</c:v>
                </c:pt>
                <c:pt idx="19">
                  <c:v>-2.507304021797975E-2</c:v>
                </c:pt>
                <c:pt idx="20">
                  <c:v>0</c:v>
                </c:pt>
                <c:pt idx="21">
                  <c:v>0</c:v>
                </c:pt>
                <c:pt idx="22">
                  <c:v>-0.14301118085787023</c:v>
                </c:pt>
              </c:numCache>
            </c:numRef>
          </c:val>
          <c:extLst>
            <c:ext xmlns:c16="http://schemas.microsoft.com/office/drawing/2014/chart" uri="{C3380CC4-5D6E-409C-BE32-E72D297353CC}">
              <c16:uniqueId val="{00000001-A4CF-447D-AD8C-6503D2B307E0}"/>
            </c:ext>
          </c:extLst>
        </c:ser>
        <c:dLbls>
          <c:showLegendKey val="0"/>
          <c:showVal val="0"/>
          <c:showCatName val="0"/>
          <c:showSerName val="0"/>
          <c:showPercent val="0"/>
          <c:showBubbleSize val="0"/>
        </c:dLbls>
        <c:axId val="1804947263"/>
        <c:axId val="1569326143"/>
      </c:radarChart>
      <c:catAx>
        <c:axId val="1804947263"/>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pl-PL"/>
          </a:p>
        </c:txPr>
        <c:crossAx val="1569326143"/>
        <c:crosses val="autoZero"/>
        <c:auto val="1"/>
        <c:lblAlgn val="ctr"/>
        <c:lblOffset val="100"/>
        <c:noMultiLvlLbl val="0"/>
      </c:catAx>
      <c:valAx>
        <c:axId val="1569326143"/>
        <c:scaling>
          <c:orientation val="minMax"/>
          <c:max val="2.5"/>
          <c:min val="-2.5"/>
        </c:scaling>
        <c:delete val="0"/>
        <c:axPos val="l"/>
        <c:majorGridlines>
          <c:spPr>
            <a:ln w="9525" cap="flat" cmpd="sng" algn="ctr">
              <a:solidFill>
                <a:schemeClr val="tx1">
                  <a:lumMod val="15000"/>
                  <a:lumOff val="85000"/>
                </a:schemeClr>
              </a:solidFill>
              <a:round/>
            </a:ln>
            <a:effectLst/>
          </c:spPr>
        </c:majorGridlines>
        <c:numFmt formatCode="0_ ;[Red]\-0\ " sourceLinked="0"/>
        <c:majorTickMark val="cross"/>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pl-PL"/>
          </a:p>
        </c:txPr>
        <c:crossAx val="1804947263"/>
        <c:crosses val="autoZero"/>
        <c:crossBetween val="between"/>
        <c:majorUnit val="1"/>
      </c:valAx>
      <c:spPr>
        <a:noFill/>
        <a:ln>
          <a:noFill/>
        </a:ln>
        <a:effectLst/>
      </c:spPr>
    </c:plotArea>
    <c:legend>
      <c:legendPos val="b"/>
      <c:layout>
        <c:manualLayout>
          <c:xMode val="edge"/>
          <c:yMode val="edge"/>
          <c:x val="2.0753383795859476E-2"/>
          <c:y val="0.81325291733471783"/>
          <c:w val="0.21924015748031497"/>
          <c:h val="0.1255579179837254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solidFill>
      <a:round/>
    </a:ln>
    <a:effectLst/>
  </c:spPr>
  <c:txPr>
    <a:bodyPr/>
    <a:lstStyle/>
    <a:p>
      <a:pPr>
        <a:defRPr/>
      </a:pPr>
      <a:endParaRPr lang="pl-PL"/>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8239759591221312"/>
          <c:y val="9.6442931845795485E-2"/>
          <c:w val="0.41811721673088736"/>
          <c:h val="0.80415382859751228"/>
        </c:manualLayout>
      </c:layout>
      <c:radarChart>
        <c:radarStyle val="marker"/>
        <c:varyColors val="0"/>
        <c:ser>
          <c:idx val="0"/>
          <c:order val="0"/>
          <c:tx>
            <c:v>Export zatrudnienia</c:v>
          </c:tx>
          <c:spPr>
            <a:ln w="19050" cap="rnd">
              <a:solidFill>
                <a:schemeClr val="accent1"/>
              </a:solidFill>
              <a:round/>
            </a:ln>
            <a:effectLst/>
          </c:spPr>
          <c:marker>
            <c:symbol val="none"/>
          </c:marker>
          <c:cat>
            <c:strRef>
              <c:f>'Bilans-Zbiorczy'!$V$6:$AR$6</c:f>
              <c:strCache>
                <c:ptCount val="23"/>
                <c:pt idx="0">
                  <c:v>Szczytno (miasto)</c:v>
                </c:pt>
                <c:pt idx="1">
                  <c:v>Biała Piska</c:v>
                </c:pt>
                <c:pt idx="2">
                  <c:v>Lidzbark</c:v>
                </c:pt>
                <c:pt idx="3">
                  <c:v>Nidzica</c:v>
                </c:pt>
                <c:pt idx="4">
                  <c:v>Orzysz</c:v>
                </c:pt>
                <c:pt idx="5">
                  <c:v>Pasym</c:v>
                </c:pt>
                <c:pt idx="6">
                  <c:v>Pisz</c:v>
                </c:pt>
                <c:pt idx="7">
                  <c:v>Ruciane-Nida</c:v>
                </c:pt>
                <c:pt idx="8">
                  <c:v>Wielbark</c:v>
                </c:pt>
                <c:pt idx="9">
                  <c:v>Działdowo (miasto)</c:v>
                </c:pt>
                <c:pt idx="10">
                  <c:v>Działdowo (gmina)</c:v>
                </c:pt>
                <c:pt idx="11">
                  <c:v>Dźwierzuty</c:v>
                </c:pt>
                <c:pt idx="12">
                  <c:v>Iłowo-Osada</c:v>
                </c:pt>
                <c:pt idx="13">
                  <c:v>Janowiec Kościelny</c:v>
                </c:pt>
                <c:pt idx="14">
                  <c:v>Janowo</c:v>
                </c:pt>
                <c:pt idx="15">
                  <c:v>Jedwabno</c:v>
                </c:pt>
                <c:pt idx="16">
                  <c:v>Kozłowo</c:v>
                </c:pt>
                <c:pt idx="17">
                  <c:v>Płośnica</c:v>
                </c:pt>
                <c:pt idx="18">
                  <c:v>Rozogi</c:v>
                </c:pt>
                <c:pt idx="19">
                  <c:v>Rybno</c:v>
                </c:pt>
                <c:pt idx="20">
                  <c:v>Szczytno (gmina)</c:v>
                </c:pt>
                <c:pt idx="21">
                  <c:v>Świętajno</c:v>
                </c:pt>
                <c:pt idx="22">
                  <c:v>Poza partnerstwem</c:v>
                </c:pt>
              </c:strCache>
            </c:strRef>
          </c:cat>
          <c:val>
            <c:numRef>
              <c:f>'Bilans-Zbiorczy'!$V$74:$AR$74</c:f>
              <c:numCache>
                <c:formatCode>0.00</c:formatCode>
                <c:ptCount val="23"/>
                <c:pt idx="0">
                  <c:v>0.32169909667258739</c:v>
                </c:pt>
                <c:pt idx="1">
                  <c:v>0</c:v>
                </c:pt>
                <c:pt idx="2">
                  <c:v>2.6681043546734552E-2</c:v>
                </c:pt>
                <c:pt idx="3">
                  <c:v>2.3825651993002454E-2</c:v>
                </c:pt>
                <c:pt idx="4">
                  <c:v>8.3197394265056582E-2</c:v>
                </c:pt>
                <c:pt idx="5">
                  <c:v>0</c:v>
                </c:pt>
                <c:pt idx="6">
                  <c:v>0.17641058221890143</c:v>
                </c:pt>
                <c:pt idx="7">
                  <c:v>1.4826381276649054E-2</c:v>
                </c:pt>
                <c:pt idx="8">
                  <c:v>6.6090994912911011E-2</c:v>
                </c:pt>
                <c:pt idx="9">
                  <c:v>0.19920897332074611</c:v>
                </c:pt>
                <c:pt idx="10">
                  <c:v>1.00292160871919E-2</c:v>
                </c:pt>
                <c:pt idx="11">
                  <c:v>0</c:v>
                </c:pt>
                <c:pt idx="12">
                  <c:v>1.8794042244761909E-2</c:v>
                </c:pt>
                <c:pt idx="13">
                  <c:v>0</c:v>
                </c:pt>
                <c:pt idx="14">
                  <c:v>1.8794042244761909E-2</c:v>
                </c:pt>
                <c:pt idx="15">
                  <c:v>2.4603256273852719E-2</c:v>
                </c:pt>
                <c:pt idx="16">
                  <c:v>3.7588084489523818E-2</c:v>
                </c:pt>
                <c:pt idx="17">
                  <c:v>0</c:v>
                </c:pt>
                <c:pt idx="18">
                  <c:v>1.5500185676511249E-2</c:v>
                </c:pt>
                <c:pt idx="19">
                  <c:v>8.7880916481362994E-3</c:v>
                </c:pt>
                <c:pt idx="20">
                  <c:v>9.7085997306572053E-2</c:v>
                </c:pt>
                <c:pt idx="21">
                  <c:v>2.1502682242614323E-2</c:v>
                </c:pt>
                <c:pt idx="22">
                  <c:v>0.59436706680327689</c:v>
                </c:pt>
              </c:numCache>
            </c:numRef>
          </c:val>
          <c:extLst>
            <c:ext xmlns:c16="http://schemas.microsoft.com/office/drawing/2014/chart" uri="{C3380CC4-5D6E-409C-BE32-E72D297353CC}">
              <c16:uniqueId val="{00000000-DA9F-4D82-A9CF-96D62DDD2D5F}"/>
            </c:ext>
          </c:extLst>
        </c:ser>
        <c:ser>
          <c:idx val="1"/>
          <c:order val="1"/>
          <c:tx>
            <c:v>Import zatrudnienia</c:v>
          </c:tx>
          <c:spPr>
            <a:ln w="19050" cap="rnd">
              <a:solidFill>
                <a:schemeClr val="accent2"/>
              </a:solidFill>
              <a:round/>
            </a:ln>
            <a:effectLst/>
          </c:spPr>
          <c:marker>
            <c:symbol val="none"/>
          </c:marker>
          <c:cat>
            <c:strRef>
              <c:f>'Bilans-Zbiorczy'!$V$6:$AR$6</c:f>
              <c:strCache>
                <c:ptCount val="23"/>
                <c:pt idx="0">
                  <c:v>Szczytno (miasto)</c:v>
                </c:pt>
                <c:pt idx="1">
                  <c:v>Biała Piska</c:v>
                </c:pt>
                <c:pt idx="2">
                  <c:v>Lidzbark</c:v>
                </c:pt>
                <c:pt idx="3">
                  <c:v>Nidzica</c:v>
                </c:pt>
                <c:pt idx="4">
                  <c:v>Orzysz</c:v>
                </c:pt>
                <c:pt idx="5">
                  <c:v>Pasym</c:v>
                </c:pt>
                <c:pt idx="6">
                  <c:v>Pisz</c:v>
                </c:pt>
                <c:pt idx="7">
                  <c:v>Ruciane-Nida</c:v>
                </c:pt>
                <c:pt idx="8">
                  <c:v>Wielbark</c:v>
                </c:pt>
                <c:pt idx="9">
                  <c:v>Działdowo (miasto)</c:v>
                </c:pt>
                <c:pt idx="10">
                  <c:v>Działdowo (gmina)</c:v>
                </c:pt>
                <c:pt idx="11">
                  <c:v>Dźwierzuty</c:v>
                </c:pt>
                <c:pt idx="12">
                  <c:v>Iłowo-Osada</c:v>
                </c:pt>
                <c:pt idx="13">
                  <c:v>Janowiec Kościelny</c:v>
                </c:pt>
                <c:pt idx="14">
                  <c:v>Janowo</c:v>
                </c:pt>
                <c:pt idx="15">
                  <c:v>Jedwabno</c:v>
                </c:pt>
                <c:pt idx="16">
                  <c:v>Kozłowo</c:v>
                </c:pt>
                <c:pt idx="17">
                  <c:v>Płośnica</c:v>
                </c:pt>
                <c:pt idx="18">
                  <c:v>Rozogi</c:v>
                </c:pt>
                <c:pt idx="19">
                  <c:v>Rybno</c:v>
                </c:pt>
                <c:pt idx="20">
                  <c:v>Szczytno (gmina)</c:v>
                </c:pt>
                <c:pt idx="21">
                  <c:v>Świętajno</c:v>
                </c:pt>
                <c:pt idx="22">
                  <c:v>Poza partnerstwem</c:v>
                </c:pt>
              </c:strCache>
            </c:strRef>
          </c:cat>
          <c:val>
            <c:numRef>
              <c:f>'Bilans-Zbiorczy'!$BB$176:$BX$176</c:f>
              <c:numCache>
                <c:formatCode>0.00</c:formatCode>
                <c:ptCount val="23"/>
                <c:pt idx="0">
                  <c:v>-3.2262076802963668E-2</c:v>
                </c:pt>
                <c:pt idx="1">
                  <c:v>-7.4250023489197209E-2</c:v>
                </c:pt>
                <c:pt idx="2">
                  <c:v>0</c:v>
                </c:pt>
                <c:pt idx="3">
                  <c:v>0</c:v>
                </c:pt>
                <c:pt idx="4">
                  <c:v>-2.4750007829732402E-2</c:v>
                </c:pt>
                <c:pt idx="5">
                  <c:v>0</c:v>
                </c:pt>
                <c:pt idx="6">
                  <c:v>-8.7751166630127914E-2</c:v>
                </c:pt>
                <c:pt idx="7">
                  <c:v>0</c:v>
                </c:pt>
                <c:pt idx="8">
                  <c:v>0</c:v>
                </c:pt>
                <c:pt idx="9">
                  <c:v>-1.2574102824520036E-2</c:v>
                </c:pt>
                <c:pt idx="10">
                  <c:v>-3.8073080485174958E-2</c:v>
                </c:pt>
                <c:pt idx="11">
                  <c:v>0</c:v>
                </c:pt>
                <c:pt idx="12">
                  <c:v>0</c:v>
                </c:pt>
                <c:pt idx="13">
                  <c:v>-0.15035233795809527</c:v>
                </c:pt>
                <c:pt idx="14">
                  <c:v>-1.8794042244761909E-2</c:v>
                </c:pt>
                <c:pt idx="15">
                  <c:v>-1.8794042244761909E-2</c:v>
                </c:pt>
                <c:pt idx="16">
                  <c:v>-0.18794042244761905</c:v>
                </c:pt>
                <c:pt idx="17">
                  <c:v>-1.4826381276649054E-2</c:v>
                </c:pt>
                <c:pt idx="18">
                  <c:v>0</c:v>
                </c:pt>
                <c:pt idx="19">
                  <c:v>0</c:v>
                </c:pt>
                <c:pt idx="20">
                  <c:v>-6.9129825911492707E-2</c:v>
                </c:pt>
                <c:pt idx="21">
                  <c:v>-4.2530211581740168E-2</c:v>
                </c:pt>
                <c:pt idx="22">
                  <c:v>-0.20708344705087539</c:v>
                </c:pt>
              </c:numCache>
            </c:numRef>
          </c:val>
          <c:extLst>
            <c:ext xmlns:c16="http://schemas.microsoft.com/office/drawing/2014/chart" uri="{C3380CC4-5D6E-409C-BE32-E72D297353CC}">
              <c16:uniqueId val="{00000001-DA9F-4D82-A9CF-96D62DDD2D5F}"/>
            </c:ext>
          </c:extLst>
        </c:ser>
        <c:dLbls>
          <c:showLegendKey val="0"/>
          <c:showVal val="0"/>
          <c:showCatName val="0"/>
          <c:showSerName val="0"/>
          <c:showPercent val="0"/>
          <c:showBubbleSize val="0"/>
        </c:dLbls>
        <c:axId val="1804947263"/>
        <c:axId val="1569326143"/>
      </c:radarChart>
      <c:catAx>
        <c:axId val="1804947263"/>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pl-PL"/>
          </a:p>
        </c:txPr>
        <c:crossAx val="1569326143"/>
        <c:crosses val="autoZero"/>
        <c:auto val="1"/>
        <c:lblAlgn val="ctr"/>
        <c:lblOffset val="100"/>
        <c:noMultiLvlLbl val="0"/>
      </c:catAx>
      <c:valAx>
        <c:axId val="1569326143"/>
        <c:scaling>
          <c:orientation val="minMax"/>
          <c:max val="3.5"/>
          <c:min val="-2.5"/>
        </c:scaling>
        <c:delete val="0"/>
        <c:axPos val="l"/>
        <c:majorGridlines>
          <c:spPr>
            <a:ln w="9525" cap="flat" cmpd="sng" algn="ctr">
              <a:solidFill>
                <a:schemeClr val="tx1">
                  <a:lumMod val="15000"/>
                  <a:lumOff val="85000"/>
                </a:schemeClr>
              </a:solidFill>
              <a:round/>
            </a:ln>
            <a:effectLst/>
          </c:spPr>
        </c:majorGridlines>
        <c:numFmt formatCode="0_ ;[Red]\-0\ " sourceLinked="0"/>
        <c:majorTickMark val="cross"/>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pl-PL"/>
          </a:p>
        </c:txPr>
        <c:crossAx val="1804947263"/>
        <c:crosses val="autoZero"/>
        <c:crossBetween val="between"/>
        <c:majorUnit val="1"/>
      </c:valAx>
      <c:spPr>
        <a:noFill/>
        <a:ln>
          <a:noFill/>
        </a:ln>
        <a:effectLst/>
      </c:spPr>
    </c:plotArea>
    <c:legend>
      <c:legendPos val="b"/>
      <c:layout>
        <c:manualLayout>
          <c:xMode val="edge"/>
          <c:yMode val="edge"/>
          <c:x val="1.537992125984252E-2"/>
          <c:y val="0.83391149023038769"/>
          <c:w val="0.21924015748031497"/>
          <c:h val="0.1197922134733158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solidFill>
      <a:round/>
    </a:ln>
    <a:effectLst/>
  </c:spPr>
  <c:txPr>
    <a:bodyPr/>
    <a:lstStyle/>
    <a:p>
      <a:pPr>
        <a:defRPr/>
      </a:pPr>
      <a:endParaRPr lang="pl-PL"/>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'ludność ogółem '!$A$2</c:f>
              <c:strCache>
                <c:ptCount val="1"/>
                <c:pt idx="0">
                  <c:v>powiat działdowski </c:v>
                </c:pt>
              </c:strCache>
            </c:strRef>
          </c:tx>
          <c:spPr>
            <a:solidFill>
              <a:schemeClr val="accent6"/>
            </a:solidFill>
            <a:ln>
              <a:noFill/>
            </a:ln>
            <a:effectLst/>
          </c:spPr>
          <c:invertIfNegative val="0"/>
          <c:cat>
            <c:numRef>
              <c:f>'ludność ogółem '!$B$1:$V$1</c:f>
              <c:numCache>
                <c:formatCode>General</c:formatCode>
                <c:ptCount val="21"/>
                <c:pt idx="0">
                  <c:v>1999</c:v>
                </c:pt>
                <c:pt idx="1">
                  <c:v>2000</c:v>
                </c:pt>
                <c:pt idx="2">
                  <c:v>2001</c:v>
                </c:pt>
                <c:pt idx="3">
                  <c:v>2002</c:v>
                </c:pt>
                <c:pt idx="4">
                  <c:v>2003</c:v>
                </c:pt>
                <c:pt idx="5">
                  <c:v>2004</c:v>
                </c:pt>
                <c:pt idx="6">
                  <c:v>2005</c:v>
                </c:pt>
                <c:pt idx="7">
                  <c:v>2006</c:v>
                </c:pt>
                <c:pt idx="8">
                  <c:v>2007</c:v>
                </c:pt>
                <c:pt idx="9">
                  <c:v>2008</c:v>
                </c:pt>
                <c:pt idx="10">
                  <c:v>2009</c:v>
                </c:pt>
                <c:pt idx="11">
                  <c:v>2010</c:v>
                </c:pt>
                <c:pt idx="12">
                  <c:v>2011</c:v>
                </c:pt>
                <c:pt idx="13">
                  <c:v>2012</c:v>
                </c:pt>
                <c:pt idx="14">
                  <c:v>2013</c:v>
                </c:pt>
                <c:pt idx="15">
                  <c:v>2014</c:v>
                </c:pt>
                <c:pt idx="16">
                  <c:v>2015</c:v>
                </c:pt>
                <c:pt idx="17">
                  <c:v>2016</c:v>
                </c:pt>
                <c:pt idx="18">
                  <c:v>2017</c:v>
                </c:pt>
                <c:pt idx="19">
                  <c:v>2018</c:v>
                </c:pt>
                <c:pt idx="20">
                  <c:v>2019</c:v>
                </c:pt>
              </c:numCache>
            </c:numRef>
          </c:cat>
          <c:val>
            <c:numRef>
              <c:f>'ludność ogółem '!$B$2:$V$2</c:f>
              <c:numCache>
                <c:formatCode>0</c:formatCode>
                <c:ptCount val="21"/>
                <c:pt idx="0">
                  <c:v>65694</c:v>
                </c:pt>
                <c:pt idx="1">
                  <c:v>65808</c:v>
                </c:pt>
                <c:pt idx="2">
                  <c:v>65679</c:v>
                </c:pt>
                <c:pt idx="3">
                  <c:v>65698</c:v>
                </c:pt>
                <c:pt idx="4">
                  <c:v>65689</c:v>
                </c:pt>
                <c:pt idx="5">
                  <c:v>65238</c:v>
                </c:pt>
                <c:pt idx="6">
                  <c:v>65193</c:v>
                </c:pt>
                <c:pt idx="7">
                  <c:v>65025</c:v>
                </c:pt>
                <c:pt idx="8">
                  <c:v>65025</c:v>
                </c:pt>
                <c:pt idx="9">
                  <c:v>65150</c:v>
                </c:pt>
                <c:pt idx="10">
                  <c:v>65188</c:v>
                </c:pt>
                <c:pt idx="11">
                  <c:v>66868</c:v>
                </c:pt>
                <c:pt idx="12">
                  <c:v>66736</c:v>
                </c:pt>
                <c:pt idx="13">
                  <c:v>66712</c:v>
                </c:pt>
                <c:pt idx="14">
                  <c:v>66485</c:v>
                </c:pt>
                <c:pt idx="15">
                  <c:v>66286</c:v>
                </c:pt>
                <c:pt idx="16">
                  <c:v>66113</c:v>
                </c:pt>
                <c:pt idx="17">
                  <c:v>66011</c:v>
                </c:pt>
                <c:pt idx="18">
                  <c:v>65772</c:v>
                </c:pt>
                <c:pt idx="19">
                  <c:v>65442</c:v>
                </c:pt>
                <c:pt idx="20">
                  <c:v>65139</c:v>
                </c:pt>
              </c:numCache>
            </c:numRef>
          </c:val>
          <c:extLst>
            <c:ext xmlns:c16="http://schemas.microsoft.com/office/drawing/2014/chart" uri="{C3380CC4-5D6E-409C-BE32-E72D297353CC}">
              <c16:uniqueId val="{00000000-4C0B-4905-9FEF-E6404ABF3CC2}"/>
            </c:ext>
          </c:extLst>
        </c:ser>
        <c:ser>
          <c:idx val="1"/>
          <c:order val="1"/>
          <c:tx>
            <c:strRef>
              <c:f>'ludność ogółem '!$A$3</c:f>
              <c:strCache>
                <c:ptCount val="1"/>
                <c:pt idx="0">
                  <c:v>powiat szczycieński </c:v>
                </c:pt>
              </c:strCache>
            </c:strRef>
          </c:tx>
          <c:spPr>
            <a:solidFill>
              <a:schemeClr val="accent5"/>
            </a:solidFill>
            <a:ln>
              <a:noFill/>
            </a:ln>
            <a:effectLst/>
          </c:spPr>
          <c:invertIfNegative val="0"/>
          <c:cat>
            <c:numRef>
              <c:f>'ludność ogółem '!$B$1:$V$1</c:f>
              <c:numCache>
                <c:formatCode>General</c:formatCode>
                <c:ptCount val="21"/>
                <c:pt idx="0">
                  <c:v>1999</c:v>
                </c:pt>
                <c:pt idx="1">
                  <c:v>2000</c:v>
                </c:pt>
                <c:pt idx="2">
                  <c:v>2001</c:v>
                </c:pt>
                <c:pt idx="3">
                  <c:v>2002</c:v>
                </c:pt>
                <c:pt idx="4">
                  <c:v>2003</c:v>
                </c:pt>
                <c:pt idx="5">
                  <c:v>2004</c:v>
                </c:pt>
                <c:pt idx="6">
                  <c:v>2005</c:v>
                </c:pt>
                <c:pt idx="7">
                  <c:v>2006</c:v>
                </c:pt>
                <c:pt idx="8">
                  <c:v>2007</c:v>
                </c:pt>
                <c:pt idx="9">
                  <c:v>2008</c:v>
                </c:pt>
                <c:pt idx="10">
                  <c:v>2009</c:v>
                </c:pt>
                <c:pt idx="11">
                  <c:v>2010</c:v>
                </c:pt>
                <c:pt idx="12">
                  <c:v>2011</c:v>
                </c:pt>
                <c:pt idx="13">
                  <c:v>2012</c:v>
                </c:pt>
                <c:pt idx="14">
                  <c:v>2013</c:v>
                </c:pt>
                <c:pt idx="15">
                  <c:v>2014</c:v>
                </c:pt>
                <c:pt idx="16">
                  <c:v>2015</c:v>
                </c:pt>
                <c:pt idx="17">
                  <c:v>2016</c:v>
                </c:pt>
                <c:pt idx="18">
                  <c:v>2017</c:v>
                </c:pt>
                <c:pt idx="19">
                  <c:v>2018</c:v>
                </c:pt>
                <c:pt idx="20">
                  <c:v>2019</c:v>
                </c:pt>
              </c:numCache>
            </c:numRef>
          </c:cat>
          <c:val>
            <c:numRef>
              <c:f>'ludność ogółem '!$B$3:$V$3</c:f>
              <c:numCache>
                <c:formatCode>0</c:formatCode>
                <c:ptCount val="21"/>
                <c:pt idx="0">
                  <c:v>69212</c:v>
                </c:pt>
                <c:pt idx="1">
                  <c:v>69427</c:v>
                </c:pt>
                <c:pt idx="2">
                  <c:v>69605</c:v>
                </c:pt>
                <c:pt idx="3">
                  <c:v>69564</c:v>
                </c:pt>
                <c:pt idx="4">
                  <c:v>69600</c:v>
                </c:pt>
                <c:pt idx="5">
                  <c:v>69380</c:v>
                </c:pt>
                <c:pt idx="6">
                  <c:v>69406</c:v>
                </c:pt>
                <c:pt idx="7">
                  <c:v>69327</c:v>
                </c:pt>
                <c:pt idx="8">
                  <c:v>69241</c:v>
                </c:pt>
                <c:pt idx="9">
                  <c:v>69309</c:v>
                </c:pt>
                <c:pt idx="10">
                  <c:v>69286</c:v>
                </c:pt>
                <c:pt idx="11">
                  <c:v>71410</c:v>
                </c:pt>
                <c:pt idx="12">
                  <c:v>71439</c:v>
                </c:pt>
                <c:pt idx="13">
                  <c:v>71309</c:v>
                </c:pt>
                <c:pt idx="14">
                  <c:v>71027</c:v>
                </c:pt>
                <c:pt idx="15">
                  <c:v>70891</c:v>
                </c:pt>
                <c:pt idx="16">
                  <c:v>70570</c:v>
                </c:pt>
                <c:pt idx="17">
                  <c:v>70466</c:v>
                </c:pt>
                <c:pt idx="18">
                  <c:v>70153</c:v>
                </c:pt>
                <c:pt idx="19">
                  <c:v>69885</c:v>
                </c:pt>
                <c:pt idx="20">
                  <c:v>69376</c:v>
                </c:pt>
              </c:numCache>
            </c:numRef>
          </c:val>
          <c:extLst>
            <c:ext xmlns:c16="http://schemas.microsoft.com/office/drawing/2014/chart" uri="{C3380CC4-5D6E-409C-BE32-E72D297353CC}">
              <c16:uniqueId val="{00000001-4C0B-4905-9FEF-E6404ABF3CC2}"/>
            </c:ext>
          </c:extLst>
        </c:ser>
        <c:ser>
          <c:idx val="2"/>
          <c:order val="2"/>
          <c:tx>
            <c:strRef>
              <c:f>'ludność ogółem '!$A$4</c:f>
              <c:strCache>
                <c:ptCount val="1"/>
                <c:pt idx="0">
                  <c:v>powiat nidzicki </c:v>
                </c:pt>
              </c:strCache>
            </c:strRef>
          </c:tx>
          <c:spPr>
            <a:solidFill>
              <a:schemeClr val="accent4"/>
            </a:solidFill>
            <a:ln>
              <a:noFill/>
            </a:ln>
            <a:effectLst/>
          </c:spPr>
          <c:invertIfNegative val="0"/>
          <c:cat>
            <c:numRef>
              <c:f>'ludność ogółem '!$B$1:$V$1</c:f>
              <c:numCache>
                <c:formatCode>General</c:formatCode>
                <c:ptCount val="21"/>
                <c:pt idx="0">
                  <c:v>1999</c:v>
                </c:pt>
                <c:pt idx="1">
                  <c:v>2000</c:v>
                </c:pt>
                <c:pt idx="2">
                  <c:v>2001</c:v>
                </c:pt>
                <c:pt idx="3">
                  <c:v>2002</c:v>
                </c:pt>
                <c:pt idx="4">
                  <c:v>2003</c:v>
                </c:pt>
                <c:pt idx="5">
                  <c:v>2004</c:v>
                </c:pt>
                <c:pt idx="6">
                  <c:v>2005</c:v>
                </c:pt>
                <c:pt idx="7">
                  <c:v>2006</c:v>
                </c:pt>
                <c:pt idx="8">
                  <c:v>2007</c:v>
                </c:pt>
                <c:pt idx="9">
                  <c:v>2008</c:v>
                </c:pt>
                <c:pt idx="10">
                  <c:v>2009</c:v>
                </c:pt>
                <c:pt idx="11">
                  <c:v>2010</c:v>
                </c:pt>
                <c:pt idx="12">
                  <c:v>2011</c:v>
                </c:pt>
                <c:pt idx="13">
                  <c:v>2012</c:v>
                </c:pt>
                <c:pt idx="14">
                  <c:v>2013</c:v>
                </c:pt>
                <c:pt idx="15">
                  <c:v>2014</c:v>
                </c:pt>
                <c:pt idx="16">
                  <c:v>2015</c:v>
                </c:pt>
                <c:pt idx="17">
                  <c:v>2016</c:v>
                </c:pt>
                <c:pt idx="18">
                  <c:v>2017</c:v>
                </c:pt>
                <c:pt idx="19">
                  <c:v>2018</c:v>
                </c:pt>
                <c:pt idx="20">
                  <c:v>2019</c:v>
                </c:pt>
              </c:numCache>
            </c:numRef>
          </c:cat>
          <c:val>
            <c:numRef>
              <c:f>'ludność ogółem '!$B$4:$V$4</c:f>
              <c:numCache>
                <c:formatCode>0</c:formatCode>
                <c:ptCount val="21"/>
                <c:pt idx="0">
                  <c:v>34093</c:v>
                </c:pt>
                <c:pt idx="1">
                  <c:v>34056</c:v>
                </c:pt>
                <c:pt idx="2">
                  <c:v>34083</c:v>
                </c:pt>
                <c:pt idx="3">
                  <c:v>34163</c:v>
                </c:pt>
                <c:pt idx="4">
                  <c:v>34003</c:v>
                </c:pt>
                <c:pt idx="5">
                  <c:v>33971</c:v>
                </c:pt>
                <c:pt idx="6">
                  <c:v>33977</c:v>
                </c:pt>
                <c:pt idx="7">
                  <c:v>33892</c:v>
                </c:pt>
                <c:pt idx="8">
                  <c:v>33729</c:v>
                </c:pt>
                <c:pt idx="9">
                  <c:v>33605</c:v>
                </c:pt>
                <c:pt idx="10">
                  <c:v>33444</c:v>
                </c:pt>
                <c:pt idx="11">
                  <c:v>34404</c:v>
                </c:pt>
                <c:pt idx="12">
                  <c:v>34271</c:v>
                </c:pt>
                <c:pt idx="13">
                  <c:v>34133</c:v>
                </c:pt>
                <c:pt idx="14">
                  <c:v>33903</c:v>
                </c:pt>
                <c:pt idx="15">
                  <c:v>33859</c:v>
                </c:pt>
                <c:pt idx="16">
                  <c:v>33658</c:v>
                </c:pt>
                <c:pt idx="17">
                  <c:v>33432</c:v>
                </c:pt>
                <c:pt idx="18">
                  <c:v>33239</c:v>
                </c:pt>
                <c:pt idx="19">
                  <c:v>33068</c:v>
                </c:pt>
                <c:pt idx="20">
                  <c:v>32857</c:v>
                </c:pt>
              </c:numCache>
            </c:numRef>
          </c:val>
          <c:extLst>
            <c:ext xmlns:c16="http://schemas.microsoft.com/office/drawing/2014/chart" uri="{C3380CC4-5D6E-409C-BE32-E72D297353CC}">
              <c16:uniqueId val="{00000002-4C0B-4905-9FEF-E6404ABF3CC2}"/>
            </c:ext>
          </c:extLst>
        </c:ser>
        <c:ser>
          <c:idx val="3"/>
          <c:order val="3"/>
          <c:tx>
            <c:strRef>
              <c:f>'ludność ogółem '!$A$5</c:f>
              <c:strCache>
                <c:ptCount val="1"/>
                <c:pt idx="0">
                  <c:v>powiat piski </c:v>
                </c:pt>
              </c:strCache>
            </c:strRef>
          </c:tx>
          <c:spPr>
            <a:solidFill>
              <a:schemeClr val="accent6">
                <a:lumMod val="60000"/>
              </a:schemeClr>
            </a:solidFill>
            <a:ln>
              <a:noFill/>
            </a:ln>
            <a:effectLst/>
          </c:spPr>
          <c:invertIfNegative val="0"/>
          <c:cat>
            <c:numRef>
              <c:f>'ludność ogółem '!$B$1:$V$1</c:f>
              <c:numCache>
                <c:formatCode>General</c:formatCode>
                <c:ptCount val="21"/>
                <c:pt idx="0">
                  <c:v>1999</c:v>
                </c:pt>
                <c:pt idx="1">
                  <c:v>2000</c:v>
                </c:pt>
                <c:pt idx="2">
                  <c:v>2001</c:v>
                </c:pt>
                <c:pt idx="3">
                  <c:v>2002</c:v>
                </c:pt>
                <c:pt idx="4">
                  <c:v>2003</c:v>
                </c:pt>
                <c:pt idx="5">
                  <c:v>2004</c:v>
                </c:pt>
                <c:pt idx="6">
                  <c:v>2005</c:v>
                </c:pt>
                <c:pt idx="7">
                  <c:v>2006</c:v>
                </c:pt>
                <c:pt idx="8">
                  <c:v>2007</c:v>
                </c:pt>
                <c:pt idx="9">
                  <c:v>2008</c:v>
                </c:pt>
                <c:pt idx="10">
                  <c:v>2009</c:v>
                </c:pt>
                <c:pt idx="11">
                  <c:v>2010</c:v>
                </c:pt>
                <c:pt idx="12">
                  <c:v>2011</c:v>
                </c:pt>
                <c:pt idx="13">
                  <c:v>2012</c:v>
                </c:pt>
                <c:pt idx="14">
                  <c:v>2013</c:v>
                </c:pt>
                <c:pt idx="15">
                  <c:v>2014</c:v>
                </c:pt>
                <c:pt idx="16">
                  <c:v>2015</c:v>
                </c:pt>
                <c:pt idx="17">
                  <c:v>2016</c:v>
                </c:pt>
                <c:pt idx="18">
                  <c:v>2017</c:v>
                </c:pt>
                <c:pt idx="19">
                  <c:v>2018</c:v>
                </c:pt>
                <c:pt idx="20">
                  <c:v>2019</c:v>
                </c:pt>
              </c:numCache>
            </c:numRef>
          </c:cat>
          <c:val>
            <c:numRef>
              <c:f>'ludność ogółem '!$B$5:$V$5</c:f>
              <c:numCache>
                <c:formatCode>0</c:formatCode>
                <c:ptCount val="21"/>
                <c:pt idx="0">
                  <c:v>57725</c:v>
                </c:pt>
                <c:pt idx="1">
                  <c:v>57742</c:v>
                </c:pt>
                <c:pt idx="2">
                  <c:v>57828</c:v>
                </c:pt>
                <c:pt idx="3">
                  <c:v>57707</c:v>
                </c:pt>
                <c:pt idx="4">
                  <c:v>57642</c:v>
                </c:pt>
                <c:pt idx="5">
                  <c:v>57632</c:v>
                </c:pt>
                <c:pt idx="6">
                  <c:v>57580</c:v>
                </c:pt>
                <c:pt idx="7">
                  <c:v>57563</c:v>
                </c:pt>
                <c:pt idx="8">
                  <c:v>57408</c:v>
                </c:pt>
                <c:pt idx="9">
                  <c:v>57306</c:v>
                </c:pt>
                <c:pt idx="10">
                  <c:v>57093</c:v>
                </c:pt>
                <c:pt idx="11">
                  <c:v>58550</c:v>
                </c:pt>
                <c:pt idx="12">
                  <c:v>58354</c:v>
                </c:pt>
                <c:pt idx="13">
                  <c:v>58087</c:v>
                </c:pt>
                <c:pt idx="14">
                  <c:v>57819</c:v>
                </c:pt>
                <c:pt idx="15">
                  <c:v>57771</c:v>
                </c:pt>
                <c:pt idx="16">
                  <c:v>57570</c:v>
                </c:pt>
                <c:pt idx="17">
                  <c:v>57295</c:v>
                </c:pt>
                <c:pt idx="18">
                  <c:v>56933</c:v>
                </c:pt>
                <c:pt idx="19">
                  <c:v>56570</c:v>
                </c:pt>
                <c:pt idx="20">
                  <c:v>56135</c:v>
                </c:pt>
              </c:numCache>
            </c:numRef>
          </c:val>
          <c:extLst>
            <c:ext xmlns:c16="http://schemas.microsoft.com/office/drawing/2014/chart" uri="{C3380CC4-5D6E-409C-BE32-E72D297353CC}">
              <c16:uniqueId val="{00000003-4C0B-4905-9FEF-E6404ABF3CC2}"/>
            </c:ext>
          </c:extLst>
        </c:ser>
        <c:dLbls>
          <c:showLegendKey val="0"/>
          <c:showVal val="0"/>
          <c:showCatName val="0"/>
          <c:showSerName val="0"/>
          <c:showPercent val="0"/>
          <c:showBubbleSize val="0"/>
        </c:dLbls>
        <c:gapWidth val="150"/>
        <c:overlap val="100"/>
        <c:axId val="615536128"/>
        <c:axId val="615529056"/>
      </c:barChart>
      <c:catAx>
        <c:axId val="615536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ysClr val="windowText" lastClr="000000"/>
                </a:solidFill>
                <a:latin typeface="+mn-lt"/>
                <a:ea typeface="+mn-ea"/>
                <a:cs typeface="+mn-cs"/>
              </a:defRPr>
            </a:pPr>
            <a:endParaRPr lang="pl-PL"/>
          </a:p>
        </c:txPr>
        <c:crossAx val="615529056"/>
        <c:crosses val="autoZero"/>
        <c:auto val="1"/>
        <c:lblAlgn val="ctr"/>
        <c:lblOffset val="100"/>
        <c:noMultiLvlLbl val="0"/>
      </c:catAx>
      <c:valAx>
        <c:axId val="61552905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6155361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2"/>
      </a:solidFill>
      <a:round/>
    </a:ln>
    <a:effectLst/>
  </c:spPr>
  <c:txPr>
    <a:bodyPr/>
    <a:lstStyle/>
    <a:p>
      <a:pPr>
        <a:defRPr/>
      </a:pPr>
      <a:endParaRPr lang="pl-PL"/>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'[demografia.xlsx]ludność ogółem '!$A$2</c:f>
              <c:strCache>
                <c:ptCount val="1"/>
                <c:pt idx="0">
                  <c:v>powiat działdowski </c:v>
                </c:pt>
              </c:strCache>
            </c:strRef>
          </c:tx>
          <c:spPr>
            <a:ln w="28575" cap="rnd">
              <a:solidFill>
                <a:schemeClr val="accent1"/>
              </a:solidFill>
              <a:round/>
            </a:ln>
            <a:effectLst/>
          </c:spPr>
          <c:marker>
            <c:symbol val="none"/>
          </c:marker>
          <c:cat>
            <c:numRef>
              <c:f>'[demografia.xlsx]ludność ogółem '!$B$1:$V$1</c:f>
              <c:numCache>
                <c:formatCode>General</c:formatCode>
                <c:ptCount val="21"/>
                <c:pt idx="0">
                  <c:v>1999</c:v>
                </c:pt>
                <c:pt idx="1">
                  <c:v>2000</c:v>
                </c:pt>
                <c:pt idx="2">
                  <c:v>2001</c:v>
                </c:pt>
                <c:pt idx="3">
                  <c:v>2002</c:v>
                </c:pt>
                <c:pt idx="4">
                  <c:v>2003</c:v>
                </c:pt>
                <c:pt idx="5">
                  <c:v>2004</c:v>
                </c:pt>
                <c:pt idx="6">
                  <c:v>2005</c:v>
                </c:pt>
                <c:pt idx="7">
                  <c:v>2006</c:v>
                </c:pt>
                <c:pt idx="8">
                  <c:v>2007</c:v>
                </c:pt>
                <c:pt idx="9">
                  <c:v>2008</c:v>
                </c:pt>
                <c:pt idx="10">
                  <c:v>2009</c:v>
                </c:pt>
                <c:pt idx="11">
                  <c:v>2010</c:v>
                </c:pt>
                <c:pt idx="12">
                  <c:v>2011</c:v>
                </c:pt>
                <c:pt idx="13">
                  <c:v>2012</c:v>
                </c:pt>
                <c:pt idx="14">
                  <c:v>2013</c:v>
                </c:pt>
                <c:pt idx="15">
                  <c:v>2014</c:v>
                </c:pt>
                <c:pt idx="16">
                  <c:v>2015</c:v>
                </c:pt>
                <c:pt idx="17">
                  <c:v>2016</c:v>
                </c:pt>
                <c:pt idx="18">
                  <c:v>2017</c:v>
                </c:pt>
                <c:pt idx="19">
                  <c:v>2018</c:v>
                </c:pt>
                <c:pt idx="20">
                  <c:v>2019</c:v>
                </c:pt>
              </c:numCache>
            </c:numRef>
          </c:cat>
          <c:val>
            <c:numRef>
              <c:f>'[demografia.xlsx]ludność ogółem '!$B$2:$V$2</c:f>
              <c:numCache>
                <c:formatCode>0</c:formatCode>
                <c:ptCount val="21"/>
                <c:pt idx="0">
                  <c:v>65694</c:v>
                </c:pt>
                <c:pt idx="1">
                  <c:v>65808</c:v>
                </c:pt>
                <c:pt idx="2">
                  <c:v>65679</c:v>
                </c:pt>
                <c:pt idx="3">
                  <c:v>65698</c:v>
                </c:pt>
                <c:pt idx="4">
                  <c:v>65689</c:v>
                </c:pt>
                <c:pt idx="5">
                  <c:v>65238</c:v>
                </c:pt>
                <c:pt idx="6">
                  <c:v>65193</c:v>
                </c:pt>
                <c:pt idx="7">
                  <c:v>65025</c:v>
                </c:pt>
                <c:pt idx="8">
                  <c:v>65025</c:v>
                </c:pt>
                <c:pt idx="9">
                  <c:v>65150</c:v>
                </c:pt>
                <c:pt idx="10">
                  <c:v>65188</c:v>
                </c:pt>
                <c:pt idx="11">
                  <c:v>66868</c:v>
                </c:pt>
                <c:pt idx="12">
                  <c:v>66736</c:v>
                </c:pt>
                <c:pt idx="13">
                  <c:v>66712</c:v>
                </c:pt>
                <c:pt idx="14">
                  <c:v>66485</c:v>
                </c:pt>
                <c:pt idx="15">
                  <c:v>66286</c:v>
                </c:pt>
                <c:pt idx="16">
                  <c:v>66113</c:v>
                </c:pt>
                <c:pt idx="17">
                  <c:v>66011</c:v>
                </c:pt>
                <c:pt idx="18">
                  <c:v>65772</c:v>
                </c:pt>
                <c:pt idx="19">
                  <c:v>65442</c:v>
                </c:pt>
                <c:pt idx="20">
                  <c:v>65139</c:v>
                </c:pt>
              </c:numCache>
            </c:numRef>
          </c:val>
          <c:smooth val="0"/>
          <c:extLst>
            <c:ext xmlns:c16="http://schemas.microsoft.com/office/drawing/2014/chart" uri="{C3380CC4-5D6E-409C-BE32-E72D297353CC}">
              <c16:uniqueId val="{00000000-57C6-471D-8B77-1863F20BD4F1}"/>
            </c:ext>
          </c:extLst>
        </c:ser>
        <c:ser>
          <c:idx val="1"/>
          <c:order val="1"/>
          <c:tx>
            <c:strRef>
              <c:f>'[demografia.xlsx]ludność ogółem '!$A$3</c:f>
              <c:strCache>
                <c:ptCount val="1"/>
                <c:pt idx="0">
                  <c:v>powiat szczycieński </c:v>
                </c:pt>
              </c:strCache>
            </c:strRef>
          </c:tx>
          <c:spPr>
            <a:ln w="28575" cap="rnd">
              <a:solidFill>
                <a:schemeClr val="accent2"/>
              </a:solidFill>
              <a:round/>
            </a:ln>
            <a:effectLst/>
          </c:spPr>
          <c:marker>
            <c:symbol val="none"/>
          </c:marker>
          <c:cat>
            <c:numRef>
              <c:f>'[demografia.xlsx]ludność ogółem '!$B$1:$V$1</c:f>
              <c:numCache>
                <c:formatCode>General</c:formatCode>
                <c:ptCount val="21"/>
                <c:pt idx="0">
                  <c:v>1999</c:v>
                </c:pt>
                <c:pt idx="1">
                  <c:v>2000</c:v>
                </c:pt>
                <c:pt idx="2">
                  <c:v>2001</c:v>
                </c:pt>
                <c:pt idx="3">
                  <c:v>2002</c:v>
                </c:pt>
                <c:pt idx="4">
                  <c:v>2003</c:v>
                </c:pt>
                <c:pt idx="5">
                  <c:v>2004</c:v>
                </c:pt>
                <c:pt idx="6">
                  <c:v>2005</c:v>
                </c:pt>
                <c:pt idx="7">
                  <c:v>2006</c:v>
                </c:pt>
                <c:pt idx="8">
                  <c:v>2007</c:v>
                </c:pt>
                <c:pt idx="9">
                  <c:v>2008</c:v>
                </c:pt>
                <c:pt idx="10">
                  <c:v>2009</c:v>
                </c:pt>
                <c:pt idx="11">
                  <c:v>2010</c:v>
                </c:pt>
                <c:pt idx="12">
                  <c:v>2011</c:v>
                </c:pt>
                <c:pt idx="13">
                  <c:v>2012</c:v>
                </c:pt>
                <c:pt idx="14">
                  <c:v>2013</c:v>
                </c:pt>
                <c:pt idx="15">
                  <c:v>2014</c:v>
                </c:pt>
                <c:pt idx="16">
                  <c:v>2015</c:v>
                </c:pt>
                <c:pt idx="17">
                  <c:v>2016</c:v>
                </c:pt>
                <c:pt idx="18">
                  <c:v>2017</c:v>
                </c:pt>
                <c:pt idx="19">
                  <c:v>2018</c:v>
                </c:pt>
                <c:pt idx="20">
                  <c:v>2019</c:v>
                </c:pt>
              </c:numCache>
            </c:numRef>
          </c:cat>
          <c:val>
            <c:numRef>
              <c:f>'[demografia.xlsx]ludność ogółem '!$B$3:$V$3</c:f>
              <c:numCache>
                <c:formatCode>0</c:formatCode>
                <c:ptCount val="21"/>
                <c:pt idx="0">
                  <c:v>69212</c:v>
                </c:pt>
                <c:pt idx="1">
                  <c:v>69427</c:v>
                </c:pt>
                <c:pt idx="2">
                  <c:v>69605</c:v>
                </c:pt>
                <c:pt idx="3">
                  <c:v>69564</c:v>
                </c:pt>
                <c:pt idx="4">
                  <c:v>69600</c:v>
                </c:pt>
                <c:pt idx="5">
                  <c:v>69380</c:v>
                </c:pt>
                <c:pt idx="6">
                  <c:v>69406</c:v>
                </c:pt>
                <c:pt idx="7">
                  <c:v>69327</c:v>
                </c:pt>
                <c:pt idx="8">
                  <c:v>69241</c:v>
                </c:pt>
                <c:pt idx="9">
                  <c:v>69309</c:v>
                </c:pt>
                <c:pt idx="10">
                  <c:v>69286</c:v>
                </c:pt>
                <c:pt idx="11">
                  <c:v>71410</c:v>
                </c:pt>
                <c:pt idx="12">
                  <c:v>71439</c:v>
                </c:pt>
                <c:pt idx="13">
                  <c:v>71309</c:v>
                </c:pt>
                <c:pt idx="14">
                  <c:v>71027</c:v>
                </c:pt>
                <c:pt idx="15">
                  <c:v>70891</c:v>
                </c:pt>
                <c:pt idx="16">
                  <c:v>70570</c:v>
                </c:pt>
                <c:pt idx="17">
                  <c:v>70466</c:v>
                </c:pt>
                <c:pt idx="18">
                  <c:v>70153</c:v>
                </c:pt>
                <c:pt idx="19">
                  <c:v>69885</c:v>
                </c:pt>
                <c:pt idx="20">
                  <c:v>69376</c:v>
                </c:pt>
              </c:numCache>
            </c:numRef>
          </c:val>
          <c:smooth val="0"/>
          <c:extLst>
            <c:ext xmlns:c16="http://schemas.microsoft.com/office/drawing/2014/chart" uri="{C3380CC4-5D6E-409C-BE32-E72D297353CC}">
              <c16:uniqueId val="{00000001-57C6-471D-8B77-1863F20BD4F1}"/>
            </c:ext>
          </c:extLst>
        </c:ser>
        <c:ser>
          <c:idx val="2"/>
          <c:order val="2"/>
          <c:tx>
            <c:strRef>
              <c:f>'[demografia.xlsx]ludność ogółem '!$A$4</c:f>
              <c:strCache>
                <c:ptCount val="1"/>
                <c:pt idx="0">
                  <c:v>powiat nidzicki </c:v>
                </c:pt>
              </c:strCache>
            </c:strRef>
          </c:tx>
          <c:spPr>
            <a:ln w="28575" cap="rnd">
              <a:solidFill>
                <a:schemeClr val="accent3"/>
              </a:solidFill>
              <a:round/>
            </a:ln>
            <a:effectLst/>
          </c:spPr>
          <c:marker>
            <c:symbol val="none"/>
          </c:marker>
          <c:cat>
            <c:numRef>
              <c:f>'[demografia.xlsx]ludność ogółem '!$B$1:$V$1</c:f>
              <c:numCache>
                <c:formatCode>General</c:formatCode>
                <c:ptCount val="21"/>
                <c:pt idx="0">
                  <c:v>1999</c:v>
                </c:pt>
                <c:pt idx="1">
                  <c:v>2000</c:v>
                </c:pt>
                <c:pt idx="2">
                  <c:v>2001</c:v>
                </c:pt>
                <c:pt idx="3">
                  <c:v>2002</c:v>
                </c:pt>
                <c:pt idx="4">
                  <c:v>2003</c:v>
                </c:pt>
                <c:pt idx="5">
                  <c:v>2004</c:v>
                </c:pt>
                <c:pt idx="6">
                  <c:v>2005</c:v>
                </c:pt>
                <c:pt idx="7">
                  <c:v>2006</c:v>
                </c:pt>
                <c:pt idx="8">
                  <c:v>2007</c:v>
                </c:pt>
                <c:pt idx="9">
                  <c:v>2008</c:v>
                </c:pt>
                <c:pt idx="10">
                  <c:v>2009</c:v>
                </c:pt>
                <c:pt idx="11">
                  <c:v>2010</c:v>
                </c:pt>
                <c:pt idx="12">
                  <c:v>2011</c:v>
                </c:pt>
                <c:pt idx="13">
                  <c:v>2012</c:v>
                </c:pt>
                <c:pt idx="14">
                  <c:v>2013</c:v>
                </c:pt>
                <c:pt idx="15">
                  <c:v>2014</c:v>
                </c:pt>
                <c:pt idx="16">
                  <c:v>2015</c:v>
                </c:pt>
                <c:pt idx="17">
                  <c:v>2016</c:v>
                </c:pt>
                <c:pt idx="18">
                  <c:v>2017</c:v>
                </c:pt>
                <c:pt idx="19">
                  <c:v>2018</c:v>
                </c:pt>
                <c:pt idx="20">
                  <c:v>2019</c:v>
                </c:pt>
              </c:numCache>
            </c:numRef>
          </c:cat>
          <c:val>
            <c:numRef>
              <c:f>'[demografia.xlsx]ludność ogółem '!$B$4:$V$4</c:f>
              <c:numCache>
                <c:formatCode>0</c:formatCode>
                <c:ptCount val="21"/>
                <c:pt idx="0">
                  <c:v>34093</c:v>
                </c:pt>
                <c:pt idx="1">
                  <c:v>34056</c:v>
                </c:pt>
                <c:pt idx="2">
                  <c:v>34083</c:v>
                </c:pt>
                <c:pt idx="3">
                  <c:v>34163</c:v>
                </c:pt>
                <c:pt idx="4">
                  <c:v>34003</c:v>
                </c:pt>
                <c:pt idx="5">
                  <c:v>33971</c:v>
                </c:pt>
                <c:pt idx="6">
                  <c:v>33977</c:v>
                </c:pt>
                <c:pt idx="7">
                  <c:v>33892</c:v>
                </c:pt>
                <c:pt idx="8">
                  <c:v>33729</c:v>
                </c:pt>
                <c:pt idx="9">
                  <c:v>33605</c:v>
                </c:pt>
                <c:pt idx="10">
                  <c:v>33444</c:v>
                </c:pt>
                <c:pt idx="11">
                  <c:v>34404</c:v>
                </c:pt>
                <c:pt idx="12">
                  <c:v>34271</c:v>
                </c:pt>
                <c:pt idx="13">
                  <c:v>34133</c:v>
                </c:pt>
                <c:pt idx="14">
                  <c:v>33903</c:v>
                </c:pt>
                <c:pt idx="15">
                  <c:v>33859</c:v>
                </c:pt>
                <c:pt idx="16">
                  <c:v>33658</c:v>
                </c:pt>
                <c:pt idx="17">
                  <c:v>33432</c:v>
                </c:pt>
                <c:pt idx="18">
                  <c:v>33239</c:v>
                </c:pt>
                <c:pt idx="19">
                  <c:v>33068</c:v>
                </c:pt>
                <c:pt idx="20">
                  <c:v>32857</c:v>
                </c:pt>
              </c:numCache>
            </c:numRef>
          </c:val>
          <c:smooth val="0"/>
          <c:extLst>
            <c:ext xmlns:c16="http://schemas.microsoft.com/office/drawing/2014/chart" uri="{C3380CC4-5D6E-409C-BE32-E72D297353CC}">
              <c16:uniqueId val="{00000002-57C6-471D-8B77-1863F20BD4F1}"/>
            </c:ext>
          </c:extLst>
        </c:ser>
        <c:ser>
          <c:idx val="3"/>
          <c:order val="3"/>
          <c:tx>
            <c:strRef>
              <c:f>'[demografia.xlsx]ludność ogółem '!$A$5</c:f>
              <c:strCache>
                <c:ptCount val="1"/>
                <c:pt idx="0">
                  <c:v>powiat piski </c:v>
                </c:pt>
              </c:strCache>
            </c:strRef>
          </c:tx>
          <c:spPr>
            <a:ln w="28575" cap="rnd">
              <a:solidFill>
                <a:schemeClr val="accent4"/>
              </a:solidFill>
              <a:round/>
            </a:ln>
            <a:effectLst/>
          </c:spPr>
          <c:marker>
            <c:symbol val="none"/>
          </c:marker>
          <c:cat>
            <c:numRef>
              <c:f>'[demografia.xlsx]ludność ogółem '!$B$1:$V$1</c:f>
              <c:numCache>
                <c:formatCode>General</c:formatCode>
                <c:ptCount val="21"/>
                <c:pt idx="0">
                  <c:v>1999</c:v>
                </c:pt>
                <c:pt idx="1">
                  <c:v>2000</c:v>
                </c:pt>
                <c:pt idx="2">
                  <c:v>2001</c:v>
                </c:pt>
                <c:pt idx="3">
                  <c:v>2002</c:v>
                </c:pt>
                <c:pt idx="4">
                  <c:v>2003</c:v>
                </c:pt>
                <c:pt idx="5">
                  <c:v>2004</c:v>
                </c:pt>
                <c:pt idx="6">
                  <c:v>2005</c:v>
                </c:pt>
                <c:pt idx="7">
                  <c:v>2006</c:v>
                </c:pt>
                <c:pt idx="8">
                  <c:v>2007</c:v>
                </c:pt>
                <c:pt idx="9">
                  <c:v>2008</c:v>
                </c:pt>
                <c:pt idx="10">
                  <c:v>2009</c:v>
                </c:pt>
                <c:pt idx="11">
                  <c:v>2010</c:v>
                </c:pt>
                <c:pt idx="12">
                  <c:v>2011</c:v>
                </c:pt>
                <c:pt idx="13">
                  <c:v>2012</c:v>
                </c:pt>
                <c:pt idx="14">
                  <c:v>2013</c:v>
                </c:pt>
                <c:pt idx="15">
                  <c:v>2014</c:v>
                </c:pt>
                <c:pt idx="16">
                  <c:v>2015</c:v>
                </c:pt>
                <c:pt idx="17">
                  <c:v>2016</c:v>
                </c:pt>
                <c:pt idx="18">
                  <c:v>2017</c:v>
                </c:pt>
                <c:pt idx="19">
                  <c:v>2018</c:v>
                </c:pt>
                <c:pt idx="20">
                  <c:v>2019</c:v>
                </c:pt>
              </c:numCache>
            </c:numRef>
          </c:cat>
          <c:val>
            <c:numRef>
              <c:f>'[demografia.xlsx]ludność ogółem '!$B$5:$V$5</c:f>
              <c:numCache>
                <c:formatCode>0</c:formatCode>
                <c:ptCount val="21"/>
                <c:pt idx="0">
                  <c:v>57725</c:v>
                </c:pt>
                <c:pt idx="1">
                  <c:v>57742</c:v>
                </c:pt>
                <c:pt idx="2">
                  <c:v>57828</c:v>
                </c:pt>
                <c:pt idx="3">
                  <c:v>57707</c:v>
                </c:pt>
                <c:pt idx="4">
                  <c:v>57642</c:v>
                </c:pt>
                <c:pt idx="5">
                  <c:v>57632</c:v>
                </c:pt>
                <c:pt idx="6">
                  <c:v>57580</c:v>
                </c:pt>
                <c:pt idx="7">
                  <c:v>57563</c:v>
                </c:pt>
                <c:pt idx="8">
                  <c:v>57408</c:v>
                </c:pt>
                <c:pt idx="9">
                  <c:v>57306</c:v>
                </c:pt>
                <c:pt idx="10">
                  <c:v>57093</c:v>
                </c:pt>
                <c:pt idx="11">
                  <c:v>58550</c:v>
                </c:pt>
                <c:pt idx="12">
                  <c:v>58354</c:v>
                </c:pt>
                <c:pt idx="13">
                  <c:v>58087</c:v>
                </c:pt>
                <c:pt idx="14">
                  <c:v>57819</c:v>
                </c:pt>
                <c:pt idx="15">
                  <c:v>57771</c:v>
                </c:pt>
                <c:pt idx="16">
                  <c:v>57570</c:v>
                </c:pt>
                <c:pt idx="17">
                  <c:v>57295</c:v>
                </c:pt>
                <c:pt idx="18">
                  <c:v>56933</c:v>
                </c:pt>
                <c:pt idx="19">
                  <c:v>56570</c:v>
                </c:pt>
                <c:pt idx="20">
                  <c:v>56135</c:v>
                </c:pt>
              </c:numCache>
            </c:numRef>
          </c:val>
          <c:smooth val="0"/>
          <c:extLst>
            <c:ext xmlns:c16="http://schemas.microsoft.com/office/drawing/2014/chart" uri="{C3380CC4-5D6E-409C-BE32-E72D297353CC}">
              <c16:uniqueId val="{00000003-57C6-471D-8B77-1863F20BD4F1}"/>
            </c:ext>
          </c:extLst>
        </c:ser>
        <c:dLbls>
          <c:showLegendKey val="0"/>
          <c:showVal val="0"/>
          <c:showCatName val="0"/>
          <c:showSerName val="0"/>
          <c:showPercent val="0"/>
          <c:showBubbleSize val="0"/>
        </c:dLbls>
        <c:smooth val="0"/>
        <c:axId val="805312848"/>
        <c:axId val="805326160"/>
      </c:lineChart>
      <c:catAx>
        <c:axId val="8053128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ysClr val="windowText" lastClr="000000"/>
                </a:solidFill>
                <a:latin typeface="+mn-lt"/>
                <a:ea typeface="+mn-ea"/>
                <a:cs typeface="+mn-cs"/>
              </a:defRPr>
            </a:pPr>
            <a:endParaRPr lang="pl-PL"/>
          </a:p>
        </c:txPr>
        <c:crossAx val="805326160"/>
        <c:crosses val="autoZero"/>
        <c:auto val="1"/>
        <c:lblAlgn val="ctr"/>
        <c:lblOffset val="100"/>
        <c:noMultiLvlLbl val="0"/>
      </c:catAx>
      <c:valAx>
        <c:axId val="805326160"/>
        <c:scaling>
          <c:orientation val="minMax"/>
          <c:max val="75000"/>
          <c:min val="30000"/>
        </c:scaling>
        <c:delete val="0"/>
        <c:axPos val="l"/>
        <c:majorGridlines>
          <c:spPr>
            <a:ln w="9525" cap="flat" cmpd="sng" algn="ctr">
              <a:solidFill>
                <a:schemeClr val="tx2"/>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ysClr val="windowText" lastClr="000000"/>
                </a:solidFill>
                <a:latin typeface="+mn-lt"/>
                <a:ea typeface="+mn-ea"/>
                <a:cs typeface="+mn-cs"/>
              </a:defRPr>
            </a:pPr>
            <a:endParaRPr lang="pl-PL"/>
          </a:p>
        </c:txPr>
        <c:crossAx val="805312848"/>
        <c:crosses val="autoZero"/>
        <c:crossBetween val="between"/>
        <c:majorUnit val="2500"/>
        <c:minorUnit val="1250"/>
      </c:valAx>
      <c:spPr>
        <a:noFill/>
        <a:ln>
          <a:noFill/>
        </a:ln>
        <a:effectLst/>
      </c:spPr>
    </c:plotArea>
    <c:legend>
      <c:legendPos val="b"/>
      <c:layout>
        <c:manualLayout>
          <c:xMode val="edge"/>
          <c:yMode val="edge"/>
          <c:x val="0.05"/>
          <c:y val="0.91543399590748953"/>
          <c:w val="0.9"/>
          <c:h val="6.0259745230853631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solidFill>
      <a:round/>
    </a:ln>
    <a:effectLst/>
  </c:spPr>
  <c:txPr>
    <a:bodyPr/>
    <a:lstStyle/>
    <a:p>
      <a:pPr>
        <a:defRPr/>
      </a:pPr>
      <a:endParaRPr lang="pl-PL"/>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'prognozy '!$A$2</c:f>
              <c:strCache>
                <c:ptCount val="1"/>
                <c:pt idx="0">
                  <c:v>powiat działdowski </c:v>
                </c:pt>
              </c:strCache>
            </c:strRef>
          </c:tx>
          <c:spPr>
            <a:solidFill>
              <a:schemeClr val="accent6"/>
            </a:solidFill>
            <a:ln>
              <a:noFill/>
            </a:ln>
            <a:effectLst/>
            <a:sp3d>
              <a:contourClr>
                <a:schemeClr val="tx2"/>
              </a:contourClr>
            </a:sp3d>
          </c:spPr>
          <c:invertIfNegative val="0"/>
          <c:cat>
            <c:numRef>
              <c:f>'prognozy '!$B$1:$AF$1</c:f>
              <c:numCache>
                <c:formatCode>General</c:formatCode>
                <c:ptCount val="31"/>
                <c:pt idx="0">
                  <c:v>2020</c:v>
                </c:pt>
                <c:pt idx="1">
                  <c:v>2021</c:v>
                </c:pt>
                <c:pt idx="2">
                  <c:v>2022</c:v>
                </c:pt>
                <c:pt idx="3">
                  <c:v>2023</c:v>
                </c:pt>
                <c:pt idx="4">
                  <c:v>2024</c:v>
                </c:pt>
                <c:pt idx="5">
                  <c:v>2025</c:v>
                </c:pt>
                <c:pt idx="6">
                  <c:v>2026</c:v>
                </c:pt>
                <c:pt idx="7">
                  <c:v>2027</c:v>
                </c:pt>
                <c:pt idx="8">
                  <c:v>2028</c:v>
                </c:pt>
                <c:pt idx="9">
                  <c:v>2029</c:v>
                </c:pt>
                <c:pt idx="10">
                  <c:v>2030</c:v>
                </c:pt>
                <c:pt idx="11">
                  <c:v>2031</c:v>
                </c:pt>
                <c:pt idx="12">
                  <c:v>2032</c:v>
                </c:pt>
                <c:pt idx="13">
                  <c:v>2033</c:v>
                </c:pt>
                <c:pt idx="14">
                  <c:v>2034</c:v>
                </c:pt>
                <c:pt idx="15">
                  <c:v>2035</c:v>
                </c:pt>
                <c:pt idx="16">
                  <c:v>2036</c:v>
                </c:pt>
                <c:pt idx="17">
                  <c:v>2037</c:v>
                </c:pt>
                <c:pt idx="18">
                  <c:v>2038</c:v>
                </c:pt>
                <c:pt idx="19">
                  <c:v>2039</c:v>
                </c:pt>
                <c:pt idx="20">
                  <c:v>2040</c:v>
                </c:pt>
                <c:pt idx="21">
                  <c:v>2041</c:v>
                </c:pt>
                <c:pt idx="22">
                  <c:v>2042</c:v>
                </c:pt>
                <c:pt idx="23">
                  <c:v>2043</c:v>
                </c:pt>
                <c:pt idx="24">
                  <c:v>2044</c:v>
                </c:pt>
                <c:pt idx="25">
                  <c:v>2045</c:v>
                </c:pt>
                <c:pt idx="26">
                  <c:v>2046</c:v>
                </c:pt>
                <c:pt idx="27">
                  <c:v>2047</c:v>
                </c:pt>
                <c:pt idx="28">
                  <c:v>2048</c:v>
                </c:pt>
                <c:pt idx="29">
                  <c:v>2049</c:v>
                </c:pt>
                <c:pt idx="30">
                  <c:v>2050</c:v>
                </c:pt>
              </c:numCache>
            </c:numRef>
          </c:cat>
          <c:val>
            <c:numRef>
              <c:f>'prognozy '!$B$2:$AF$2</c:f>
              <c:numCache>
                <c:formatCode>0</c:formatCode>
                <c:ptCount val="31"/>
                <c:pt idx="0">
                  <c:v>65607</c:v>
                </c:pt>
                <c:pt idx="1">
                  <c:v>65460</c:v>
                </c:pt>
                <c:pt idx="2">
                  <c:v>65303</c:v>
                </c:pt>
                <c:pt idx="3">
                  <c:v>65135</c:v>
                </c:pt>
                <c:pt idx="4">
                  <c:v>64957</c:v>
                </c:pt>
                <c:pt idx="5">
                  <c:v>64769</c:v>
                </c:pt>
                <c:pt idx="6">
                  <c:v>64568</c:v>
                </c:pt>
                <c:pt idx="7">
                  <c:v>64358</c:v>
                </c:pt>
                <c:pt idx="8">
                  <c:v>64136</c:v>
                </c:pt>
                <c:pt idx="9">
                  <c:v>63905</c:v>
                </c:pt>
                <c:pt idx="10">
                  <c:v>63661</c:v>
                </c:pt>
                <c:pt idx="11">
                  <c:v>63407</c:v>
                </c:pt>
                <c:pt idx="12">
                  <c:v>63139</c:v>
                </c:pt>
                <c:pt idx="13">
                  <c:v>62858</c:v>
                </c:pt>
                <c:pt idx="14">
                  <c:v>62566</c:v>
                </c:pt>
                <c:pt idx="15">
                  <c:v>62262</c:v>
                </c:pt>
                <c:pt idx="16">
                  <c:v>61949</c:v>
                </c:pt>
                <c:pt idx="17">
                  <c:v>61626</c:v>
                </c:pt>
                <c:pt idx="18">
                  <c:v>61294</c:v>
                </c:pt>
                <c:pt idx="19">
                  <c:v>60950</c:v>
                </c:pt>
                <c:pt idx="20">
                  <c:v>60602</c:v>
                </c:pt>
                <c:pt idx="21">
                  <c:v>60245</c:v>
                </c:pt>
                <c:pt idx="22">
                  <c:v>59882</c:v>
                </c:pt>
                <c:pt idx="23">
                  <c:v>59515</c:v>
                </c:pt>
                <c:pt idx="24">
                  <c:v>59141</c:v>
                </c:pt>
                <c:pt idx="25">
                  <c:v>58763</c:v>
                </c:pt>
                <c:pt idx="26">
                  <c:v>58379</c:v>
                </c:pt>
                <c:pt idx="27">
                  <c:v>57993</c:v>
                </c:pt>
                <c:pt idx="28">
                  <c:v>57603</c:v>
                </c:pt>
                <c:pt idx="29">
                  <c:v>57209</c:v>
                </c:pt>
                <c:pt idx="30">
                  <c:v>56813</c:v>
                </c:pt>
              </c:numCache>
            </c:numRef>
          </c:val>
          <c:extLst>
            <c:ext xmlns:c16="http://schemas.microsoft.com/office/drawing/2014/chart" uri="{C3380CC4-5D6E-409C-BE32-E72D297353CC}">
              <c16:uniqueId val="{00000000-E000-4A68-8167-C64A845F0C88}"/>
            </c:ext>
          </c:extLst>
        </c:ser>
        <c:ser>
          <c:idx val="1"/>
          <c:order val="1"/>
          <c:tx>
            <c:strRef>
              <c:f>'prognozy '!$A$3</c:f>
              <c:strCache>
                <c:ptCount val="1"/>
                <c:pt idx="0">
                  <c:v>powiat szczycieński </c:v>
                </c:pt>
              </c:strCache>
            </c:strRef>
          </c:tx>
          <c:spPr>
            <a:solidFill>
              <a:schemeClr val="accent5"/>
            </a:solidFill>
            <a:ln>
              <a:noFill/>
            </a:ln>
            <a:effectLst/>
            <a:sp3d>
              <a:contourClr>
                <a:schemeClr val="tx2"/>
              </a:contourClr>
            </a:sp3d>
          </c:spPr>
          <c:invertIfNegative val="0"/>
          <c:cat>
            <c:numRef>
              <c:f>'prognozy '!$B$1:$AF$1</c:f>
              <c:numCache>
                <c:formatCode>General</c:formatCode>
                <c:ptCount val="31"/>
                <c:pt idx="0">
                  <c:v>2020</c:v>
                </c:pt>
                <c:pt idx="1">
                  <c:v>2021</c:v>
                </c:pt>
                <c:pt idx="2">
                  <c:v>2022</c:v>
                </c:pt>
                <c:pt idx="3">
                  <c:v>2023</c:v>
                </c:pt>
                <c:pt idx="4">
                  <c:v>2024</c:v>
                </c:pt>
                <c:pt idx="5">
                  <c:v>2025</c:v>
                </c:pt>
                <c:pt idx="6">
                  <c:v>2026</c:v>
                </c:pt>
                <c:pt idx="7">
                  <c:v>2027</c:v>
                </c:pt>
                <c:pt idx="8">
                  <c:v>2028</c:v>
                </c:pt>
                <c:pt idx="9">
                  <c:v>2029</c:v>
                </c:pt>
                <c:pt idx="10">
                  <c:v>2030</c:v>
                </c:pt>
                <c:pt idx="11">
                  <c:v>2031</c:v>
                </c:pt>
                <c:pt idx="12">
                  <c:v>2032</c:v>
                </c:pt>
                <c:pt idx="13">
                  <c:v>2033</c:v>
                </c:pt>
                <c:pt idx="14">
                  <c:v>2034</c:v>
                </c:pt>
                <c:pt idx="15">
                  <c:v>2035</c:v>
                </c:pt>
                <c:pt idx="16">
                  <c:v>2036</c:v>
                </c:pt>
                <c:pt idx="17">
                  <c:v>2037</c:v>
                </c:pt>
                <c:pt idx="18">
                  <c:v>2038</c:v>
                </c:pt>
                <c:pt idx="19">
                  <c:v>2039</c:v>
                </c:pt>
                <c:pt idx="20">
                  <c:v>2040</c:v>
                </c:pt>
                <c:pt idx="21">
                  <c:v>2041</c:v>
                </c:pt>
                <c:pt idx="22">
                  <c:v>2042</c:v>
                </c:pt>
                <c:pt idx="23">
                  <c:v>2043</c:v>
                </c:pt>
                <c:pt idx="24">
                  <c:v>2044</c:v>
                </c:pt>
                <c:pt idx="25">
                  <c:v>2045</c:v>
                </c:pt>
                <c:pt idx="26">
                  <c:v>2046</c:v>
                </c:pt>
                <c:pt idx="27">
                  <c:v>2047</c:v>
                </c:pt>
                <c:pt idx="28">
                  <c:v>2048</c:v>
                </c:pt>
                <c:pt idx="29">
                  <c:v>2049</c:v>
                </c:pt>
                <c:pt idx="30">
                  <c:v>2050</c:v>
                </c:pt>
              </c:numCache>
            </c:numRef>
          </c:cat>
          <c:val>
            <c:numRef>
              <c:f>'prognozy '!$B$3:$AF$3</c:f>
              <c:numCache>
                <c:formatCode>0</c:formatCode>
                <c:ptCount val="31"/>
                <c:pt idx="0">
                  <c:v>69594</c:v>
                </c:pt>
                <c:pt idx="1">
                  <c:v>69364</c:v>
                </c:pt>
                <c:pt idx="2">
                  <c:v>69126</c:v>
                </c:pt>
                <c:pt idx="3">
                  <c:v>68879</c:v>
                </c:pt>
                <c:pt idx="4">
                  <c:v>68619</c:v>
                </c:pt>
                <c:pt idx="5">
                  <c:v>68349</c:v>
                </c:pt>
                <c:pt idx="6">
                  <c:v>68066</c:v>
                </c:pt>
                <c:pt idx="7">
                  <c:v>67771</c:v>
                </c:pt>
                <c:pt idx="8">
                  <c:v>67463</c:v>
                </c:pt>
                <c:pt idx="9">
                  <c:v>67144</c:v>
                </c:pt>
                <c:pt idx="10">
                  <c:v>66812</c:v>
                </c:pt>
                <c:pt idx="11">
                  <c:v>66462</c:v>
                </c:pt>
                <c:pt idx="12">
                  <c:v>66098</c:v>
                </c:pt>
                <c:pt idx="13">
                  <c:v>65718</c:v>
                </c:pt>
                <c:pt idx="14">
                  <c:v>65323</c:v>
                </c:pt>
                <c:pt idx="15">
                  <c:v>64917</c:v>
                </c:pt>
                <c:pt idx="16">
                  <c:v>64494</c:v>
                </c:pt>
                <c:pt idx="17">
                  <c:v>64059</c:v>
                </c:pt>
                <c:pt idx="18">
                  <c:v>63611</c:v>
                </c:pt>
                <c:pt idx="19">
                  <c:v>63149</c:v>
                </c:pt>
                <c:pt idx="20">
                  <c:v>62677</c:v>
                </c:pt>
                <c:pt idx="21">
                  <c:v>62193</c:v>
                </c:pt>
                <c:pt idx="22">
                  <c:v>61701</c:v>
                </c:pt>
                <c:pt idx="23">
                  <c:v>61201</c:v>
                </c:pt>
                <c:pt idx="24">
                  <c:v>60693</c:v>
                </c:pt>
                <c:pt idx="25">
                  <c:v>60178</c:v>
                </c:pt>
                <c:pt idx="26">
                  <c:v>59658</c:v>
                </c:pt>
                <c:pt idx="27">
                  <c:v>59130</c:v>
                </c:pt>
                <c:pt idx="28">
                  <c:v>58601</c:v>
                </c:pt>
                <c:pt idx="29">
                  <c:v>58066</c:v>
                </c:pt>
                <c:pt idx="30">
                  <c:v>57529</c:v>
                </c:pt>
              </c:numCache>
            </c:numRef>
          </c:val>
          <c:extLst>
            <c:ext xmlns:c16="http://schemas.microsoft.com/office/drawing/2014/chart" uri="{C3380CC4-5D6E-409C-BE32-E72D297353CC}">
              <c16:uniqueId val="{00000001-E000-4A68-8167-C64A845F0C88}"/>
            </c:ext>
          </c:extLst>
        </c:ser>
        <c:ser>
          <c:idx val="2"/>
          <c:order val="2"/>
          <c:tx>
            <c:strRef>
              <c:f>'prognozy '!$A$4</c:f>
              <c:strCache>
                <c:ptCount val="1"/>
                <c:pt idx="0">
                  <c:v>powiat nidzicki </c:v>
                </c:pt>
              </c:strCache>
            </c:strRef>
          </c:tx>
          <c:spPr>
            <a:solidFill>
              <a:schemeClr val="accent4"/>
            </a:solidFill>
            <a:ln>
              <a:noFill/>
            </a:ln>
            <a:effectLst/>
            <a:sp3d>
              <a:contourClr>
                <a:schemeClr val="tx2"/>
              </a:contourClr>
            </a:sp3d>
          </c:spPr>
          <c:invertIfNegative val="0"/>
          <c:cat>
            <c:numRef>
              <c:f>'prognozy '!$B$1:$AF$1</c:f>
              <c:numCache>
                <c:formatCode>General</c:formatCode>
                <c:ptCount val="31"/>
                <c:pt idx="0">
                  <c:v>2020</c:v>
                </c:pt>
                <c:pt idx="1">
                  <c:v>2021</c:v>
                </c:pt>
                <c:pt idx="2">
                  <c:v>2022</c:v>
                </c:pt>
                <c:pt idx="3">
                  <c:v>2023</c:v>
                </c:pt>
                <c:pt idx="4">
                  <c:v>2024</c:v>
                </c:pt>
                <c:pt idx="5">
                  <c:v>2025</c:v>
                </c:pt>
                <c:pt idx="6">
                  <c:v>2026</c:v>
                </c:pt>
                <c:pt idx="7">
                  <c:v>2027</c:v>
                </c:pt>
                <c:pt idx="8">
                  <c:v>2028</c:v>
                </c:pt>
                <c:pt idx="9">
                  <c:v>2029</c:v>
                </c:pt>
                <c:pt idx="10">
                  <c:v>2030</c:v>
                </c:pt>
                <c:pt idx="11">
                  <c:v>2031</c:v>
                </c:pt>
                <c:pt idx="12">
                  <c:v>2032</c:v>
                </c:pt>
                <c:pt idx="13">
                  <c:v>2033</c:v>
                </c:pt>
                <c:pt idx="14">
                  <c:v>2034</c:v>
                </c:pt>
                <c:pt idx="15">
                  <c:v>2035</c:v>
                </c:pt>
                <c:pt idx="16">
                  <c:v>2036</c:v>
                </c:pt>
                <c:pt idx="17">
                  <c:v>2037</c:v>
                </c:pt>
                <c:pt idx="18">
                  <c:v>2038</c:v>
                </c:pt>
                <c:pt idx="19">
                  <c:v>2039</c:v>
                </c:pt>
                <c:pt idx="20">
                  <c:v>2040</c:v>
                </c:pt>
                <c:pt idx="21">
                  <c:v>2041</c:v>
                </c:pt>
                <c:pt idx="22">
                  <c:v>2042</c:v>
                </c:pt>
                <c:pt idx="23">
                  <c:v>2043</c:v>
                </c:pt>
                <c:pt idx="24">
                  <c:v>2044</c:v>
                </c:pt>
                <c:pt idx="25">
                  <c:v>2045</c:v>
                </c:pt>
                <c:pt idx="26">
                  <c:v>2046</c:v>
                </c:pt>
                <c:pt idx="27">
                  <c:v>2047</c:v>
                </c:pt>
                <c:pt idx="28">
                  <c:v>2048</c:v>
                </c:pt>
                <c:pt idx="29">
                  <c:v>2049</c:v>
                </c:pt>
                <c:pt idx="30">
                  <c:v>2050</c:v>
                </c:pt>
              </c:numCache>
            </c:numRef>
          </c:cat>
          <c:val>
            <c:numRef>
              <c:f>'prognozy '!$B$4:$AF$4</c:f>
              <c:numCache>
                <c:formatCode>0</c:formatCode>
                <c:ptCount val="31"/>
                <c:pt idx="0">
                  <c:v>32650</c:v>
                </c:pt>
                <c:pt idx="1">
                  <c:v>32460</c:v>
                </c:pt>
                <c:pt idx="2">
                  <c:v>32266</c:v>
                </c:pt>
                <c:pt idx="3">
                  <c:v>32068</c:v>
                </c:pt>
                <c:pt idx="4">
                  <c:v>31865</c:v>
                </c:pt>
                <c:pt idx="5">
                  <c:v>31659</c:v>
                </c:pt>
                <c:pt idx="6">
                  <c:v>31447</c:v>
                </c:pt>
                <c:pt idx="7">
                  <c:v>31233</c:v>
                </c:pt>
                <c:pt idx="8">
                  <c:v>31012</c:v>
                </c:pt>
                <c:pt idx="9">
                  <c:v>30784</c:v>
                </c:pt>
                <c:pt idx="10">
                  <c:v>30552</c:v>
                </c:pt>
                <c:pt idx="11">
                  <c:v>30313</c:v>
                </c:pt>
                <c:pt idx="12">
                  <c:v>30065</c:v>
                </c:pt>
                <c:pt idx="13">
                  <c:v>29812</c:v>
                </c:pt>
                <c:pt idx="14">
                  <c:v>29552</c:v>
                </c:pt>
                <c:pt idx="15">
                  <c:v>29286</c:v>
                </c:pt>
                <c:pt idx="16">
                  <c:v>29013</c:v>
                </c:pt>
                <c:pt idx="17">
                  <c:v>28732</c:v>
                </c:pt>
                <c:pt idx="18">
                  <c:v>28447</c:v>
                </c:pt>
                <c:pt idx="19">
                  <c:v>28156</c:v>
                </c:pt>
                <c:pt idx="20">
                  <c:v>27862</c:v>
                </c:pt>
                <c:pt idx="21">
                  <c:v>27562</c:v>
                </c:pt>
                <c:pt idx="22">
                  <c:v>27259</c:v>
                </c:pt>
                <c:pt idx="23">
                  <c:v>26952</c:v>
                </c:pt>
                <c:pt idx="24">
                  <c:v>26642</c:v>
                </c:pt>
                <c:pt idx="25">
                  <c:v>26331</c:v>
                </c:pt>
                <c:pt idx="26">
                  <c:v>26017</c:v>
                </c:pt>
                <c:pt idx="27">
                  <c:v>25702</c:v>
                </c:pt>
                <c:pt idx="28">
                  <c:v>25383</c:v>
                </c:pt>
                <c:pt idx="29">
                  <c:v>25066</c:v>
                </c:pt>
                <c:pt idx="30">
                  <c:v>24747</c:v>
                </c:pt>
              </c:numCache>
            </c:numRef>
          </c:val>
          <c:extLst>
            <c:ext xmlns:c16="http://schemas.microsoft.com/office/drawing/2014/chart" uri="{C3380CC4-5D6E-409C-BE32-E72D297353CC}">
              <c16:uniqueId val="{00000002-E000-4A68-8167-C64A845F0C88}"/>
            </c:ext>
          </c:extLst>
        </c:ser>
        <c:ser>
          <c:idx val="3"/>
          <c:order val="3"/>
          <c:tx>
            <c:strRef>
              <c:f>'prognozy '!$A$5</c:f>
              <c:strCache>
                <c:ptCount val="1"/>
                <c:pt idx="0">
                  <c:v>powiat piski </c:v>
                </c:pt>
              </c:strCache>
            </c:strRef>
          </c:tx>
          <c:spPr>
            <a:solidFill>
              <a:schemeClr val="accent6">
                <a:lumMod val="60000"/>
              </a:schemeClr>
            </a:solidFill>
            <a:ln>
              <a:noFill/>
            </a:ln>
            <a:effectLst/>
            <a:sp3d>
              <a:contourClr>
                <a:schemeClr val="tx2"/>
              </a:contourClr>
            </a:sp3d>
          </c:spPr>
          <c:invertIfNegative val="0"/>
          <c:cat>
            <c:numRef>
              <c:f>'prognozy '!$B$1:$AF$1</c:f>
              <c:numCache>
                <c:formatCode>General</c:formatCode>
                <c:ptCount val="31"/>
                <c:pt idx="0">
                  <c:v>2020</c:v>
                </c:pt>
                <c:pt idx="1">
                  <c:v>2021</c:v>
                </c:pt>
                <c:pt idx="2">
                  <c:v>2022</c:v>
                </c:pt>
                <c:pt idx="3">
                  <c:v>2023</c:v>
                </c:pt>
                <c:pt idx="4">
                  <c:v>2024</c:v>
                </c:pt>
                <c:pt idx="5">
                  <c:v>2025</c:v>
                </c:pt>
                <c:pt idx="6">
                  <c:v>2026</c:v>
                </c:pt>
                <c:pt idx="7">
                  <c:v>2027</c:v>
                </c:pt>
                <c:pt idx="8">
                  <c:v>2028</c:v>
                </c:pt>
                <c:pt idx="9">
                  <c:v>2029</c:v>
                </c:pt>
                <c:pt idx="10">
                  <c:v>2030</c:v>
                </c:pt>
                <c:pt idx="11">
                  <c:v>2031</c:v>
                </c:pt>
                <c:pt idx="12">
                  <c:v>2032</c:v>
                </c:pt>
                <c:pt idx="13">
                  <c:v>2033</c:v>
                </c:pt>
                <c:pt idx="14">
                  <c:v>2034</c:v>
                </c:pt>
                <c:pt idx="15">
                  <c:v>2035</c:v>
                </c:pt>
                <c:pt idx="16">
                  <c:v>2036</c:v>
                </c:pt>
                <c:pt idx="17">
                  <c:v>2037</c:v>
                </c:pt>
                <c:pt idx="18">
                  <c:v>2038</c:v>
                </c:pt>
                <c:pt idx="19">
                  <c:v>2039</c:v>
                </c:pt>
                <c:pt idx="20">
                  <c:v>2040</c:v>
                </c:pt>
                <c:pt idx="21">
                  <c:v>2041</c:v>
                </c:pt>
                <c:pt idx="22">
                  <c:v>2042</c:v>
                </c:pt>
                <c:pt idx="23">
                  <c:v>2043</c:v>
                </c:pt>
                <c:pt idx="24">
                  <c:v>2044</c:v>
                </c:pt>
                <c:pt idx="25">
                  <c:v>2045</c:v>
                </c:pt>
                <c:pt idx="26">
                  <c:v>2046</c:v>
                </c:pt>
                <c:pt idx="27">
                  <c:v>2047</c:v>
                </c:pt>
                <c:pt idx="28">
                  <c:v>2048</c:v>
                </c:pt>
                <c:pt idx="29">
                  <c:v>2049</c:v>
                </c:pt>
                <c:pt idx="30">
                  <c:v>2050</c:v>
                </c:pt>
              </c:numCache>
            </c:numRef>
          </c:cat>
          <c:val>
            <c:numRef>
              <c:f>'prognozy '!$B$5:$AF$5</c:f>
              <c:numCache>
                <c:formatCode>0</c:formatCode>
                <c:ptCount val="31"/>
                <c:pt idx="0">
                  <c:v>56102</c:v>
                </c:pt>
                <c:pt idx="1">
                  <c:v>55850</c:v>
                </c:pt>
                <c:pt idx="2">
                  <c:v>55593</c:v>
                </c:pt>
                <c:pt idx="3">
                  <c:v>55334</c:v>
                </c:pt>
                <c:pt idx="4">
                  <c:v>55067</c:v>
                </c:pt>
                <c:pt idx="5">
                  <c:v>54797</c:v>
                </c:pt>
                <c:pt idx="6">
                  <c:v>54519</c:v>
                </c:pt>
                <c:pt idx="7">
                  <c:v>54233</c:v>
                </c:pt>
                <c:pt idx="8">
                  <c:v>53943</c:v>
                </c:pt>
                <c:pt idx="9">
                  <c:v>53645</c:v>
                </c:pt>
                <c:pt idx="10">
                  <c:v>53340</c:v>
                </c:pt>
                <c:pt idx="11">
                  <c:v>53028</c:v>
                </c:pt>
                <c:pt idx="12">
                  <c:v>52707</c:v>
                </c:pt>
                <c:pt idx="13">
                  <c:v>52378</c:v>
                </c:pt>
                <c:pt idx="14">
                  <c:v>52040</c:v>
                </c:pt>
                <c:pt idx="15">
                  <c:v>51697</c:v>
                </c:pt>
                <c:pt idx="16">
                  <c:v>51343</c:v>
                </c:pt>
                <c:pt idx="17">
                  <c:v>50981</c:v>
                </c:pt>
                <c:pt idx="18">
                  <c:v>50612</c:v>
                </c:pt>
                <c:pt idx="19">
                  <c:v>50235</c:v>
                </c:pt>
                <c:pt idx="20">
                  <c:v>49851</c:v>
                </c:pt>
                <c:pt idx="21">
                  <c:v>49461</c:v>
                </c:pt>
                <c:pt idx="22">
                  <c:v>49065</c:v>
                </c:pt>
                <c:pt idx="23">
                  <c:v>48664</c:v>
                </c:pt>
                <c:pt idx="24">
                  <c:v>48257</c:v>
                </c:pt>
                <c:pt idx="25">
                  <c:v>47847</c:v>
                </c:pt>
                <c:pt idx="26">
                  <c:v>47432</c:v>
                </c:pt>
                <c:pt idx="27">
                  <c:v>47015</c:v>
                </c:pt>
                <c:pt idx="28">
                  <c:v>46595</c:v>
                </c:pt>
                <c:pt idx="29">
                  <c:v>46174</c:v>
                </c:pt>
                <c:pt idx="30">
                  <c:v>45751</c:v>
                </c:pt>
              </c:numCache>
            </c:numRef>
          </c:val>
          <c:extLst>
            <c:ext xmlns:c16="http://schemas.microsoft.com/office/drawing/2014/chart" uri="{C3380CC4-5D6E-409C-BE32-E72D297353CC}">
              <c16:uniqueId val="{00000003-E000-4A68-8167-C64A845F0C88}"/>
            </c:ext>
          </c:extLst>
        </c:ser>
        <c:dLbls>
          <c:showLegendKey val="0"/>
          <c:showVal val="0"/>
          <c:showCatName val="0"/>
          <c:showSerName val="0"/>
          <c:showPercent val="0"/>
          <c:showBubbleSize val="0"/>
        </c:dLbls>
        <c:gapWidth val="150"/>
        <c:shape val="box"/>
        <c:axId val="928727536"/>
        <c:axId val="928723792"/>
        <c:axId val="0"/>
      </c:bar3DChart>
      <c:catAx>
        <c:axId val="92872753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928723792"/>
        <c:crosses val="autoZero"/>
        <c:auto val="1"/>
        <c:lblAlgn val="ctr"/>
        <c:lblOffset val="100"/>
        <c:noMultiLvlLbl val="0"/>
      </c:catAx>
      <c:valAx>
        <c:axId val="928723792"/>
        <c:scaling>
          <c:orientation val="minMax"/>
        </c:scaling>
        <c:delete val="0"/>
        <c:axPos val="l"/>
        <c:majorGridlines>
          <c:spPr>
            <a:ln w="9525" cap="flat" cmpd="sng" algn="ctr">
              <a:solidFill>
                <a:schemeClr val="tx2"/>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9287275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solidFill>
      <a:round/>
    </a:ln>
    <a:effectLst/>
  </c:spPr>
  <c:txPr>
    <a:bodyPr/>
    <a:lstStyle/>
    <a:p>
      <a:pPr>
        <a:defRPr/>
      </a:pPr>
      <a:endParaRPr lang="pl-PL"/>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withinLinear" id="16">
  <a:schemeClr val="accent3"/>
</cs:colorStyle>
</file>

<file path=word/charts/colors31.xml><?xml version="1.0" encoding="utf-8"?>
<cs:colorStyle xmlns:cs="http://schemas.microsoft.com/office/drawing/2012/chartStyle" xmlns:a="http://schemas.openxmlformats.org/drawingml/2006/main" meth="withinLinear" id="16">
  <a:schemeClr val="accent3"/>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3_1">
  <dgm:title val=""/>
  <dgm:desc val=""/>
  <dgm:catLst>
    <dgm:cat type="accent3" pri="11100"/>
  </dgm:catLst>
  <dgm:styleLbl name="node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3">
        <a:shade val="80000"/>
      </a:schemeClr>
    </dgm:linClrLst>
    <dgm:effectClrLst/>
    <dgm:txLinClrLst/>
    <dgm:txFillClrLst/>
    <dgm:txEffectClrLst/>
  </dgm:styleLbl>
  <dgm:styleLbl name="node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f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align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b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dgm:txEffectClrLst/>
  </dgm:styleLbl>
  <dgm:styleLbl name="parChTrans2D2">
    <dgm:fillClrLst meth="repeat">
      <a:schemeClr val="accent3"/>
    </dgm:fillClrLst>
    <dgm:linClrLst meth="repeat">
      <a:schemeClr val="accent3"/>
    </dgm:linClrLst>
    <dgm:effectClrLst/>
    <dgm:txLinClrLst/>
    <dgm:txFillClrLst/>
    <dgm:txEffectClrLst/>
  </dgm:styleLbl>
  <dgm:styleLbl name="parChTrans2D3">
    <dgm:fillClrLst meth="repeat">
      <a:schemeClr val="accent3"/>
    </dgm:fillClrLst>
    <dgm:linClrLst meth="repeat">
      <a:schemeClr val="accent3"/>
    </dgm:linClrLst>
    <dgm:effectClrLst/>
    <dgm:txLinClrLst/>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con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align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trAlignAcc1">
    <dgm:fillClrLst meth="repeat">
      <a:schemeClr val="accent3">
        <a:alpha val="40000"/>
        <a:tint val="40000"/>
      </a:schemeClr>
    </dgm:fillClrLst>
    <dgm:linClrLst meth="repeat">
      <a:schemeClr val="accent3"/>
    </dgm:linClrLst>
    <dgm:effectClrLst/>
    <dgm:txLinClrLst/>
    <dgm:txFillClrLst meth="repeat">
      <a:schemeClr val="dk1"/>
    </dgm:txFillClrLst>
    <dgm:txEffectClrLst/>
  </dgm:styleLbl>
  <dgm:styleLbl name="b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fgAcc0">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2">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3">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4">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3_1">
  <dgm:title val=""/>
  <dgm:desc val=""/>
  <dgm:catLst>
    <dgm:cat type="accent3" pri="11100"/>
  </dgm:catLst>
  <dgm:styleLbl name="node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3">
        <a:shade val="80000"/>
      </a:schemeClr>
    </dgm:linClrLst>
    <dgm:effectClrLst/>
    <dgm:txLinClrLst/>
    <dgm:txFillClrLst/>
    <dgm:txEffectClrLst/>
  </dgm:styleLbl>
  <dgm:styleLbl name="node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f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align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b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dgm:txEffectClrLst/>
  </dgm:styleLbl>
  <dgm:styleLbl name="parChTrans2D2">
    <dgm:fillClrLst meth="repeat">
      <a:schemeClr val="accent3"/>
    </dgm:fillClrLst>
    <dgm:linClrLst meth="repeat">
      <a:schemeClr val="accent3"/>
    </dgm:linClrLst>
    <dgm:effectClrLst/>
    <dgm:txLinClrLst/>
    <dgm:txFillClrLst/>
    <dgm:txEffectClrLst/>
  </dgm:styleLbl>
  <dgm:styleLbl name="parChTrans2D3">
    <dgm:fillClrLst meth="repeat">
      <a:schemeClr val="accent3"/>
    </dgm:fillClrLst>
    <dgm:linClrLst meth="repeat">
      <a:schemeClr val="accent3"/>
    </dgm:linClrLst>
    <dgm:effectClrLst/>
    <dgm:txLinClrLst/>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con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align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trAlignAcc1">
    <dgm:fillClrLst meth="repeat">
      <a:schemeClr val="accent3">
        <a:alpha val="40000"/>
        <a:tint val="40000"/>
      </a:schemeClr>
    </dgm:fillClrLst>
    <dgm:linClrLst meth="repeat">
      <a:schemeClr val="accent3"/>
    </dgm:linClrLst>
    <dgm:effectClrLst/>
    <dgm:txLinClrLst/>
    <dgm:txFillClrLst meth="repeat">
      <a:schemeClr val="dk1"/>
    </dgm:txFillClrLst>
    <dgm:txEffectClrLst/>
  </dgm:styleLbl>
  <dgm:styleLbl name="b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fgAcc0">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2">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3">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4">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3_3">
  <dgm:title val=""/>
  <dgm:desc val=""/>
  <dgm:catLst>
    <dgm:cat type="accent3" pri="11300"/>
  </dgm:catLst>
  <dgm:styleLbl name="node0">
    <dgm:fillClrLst meth="repeat">
      <a:schemeClr val="accent3">
        <a:shade val="80000"/>
      </a:schemeClr>
    </dgm:fillClrLst>
    <dgm:linClrLst meth="repeat">
      <a:schemeClr val="lt1"/>
    </dgm:linClrLst>
    <dgm:effectClrLst/>
    <dgm:txLinClrLst/>
    <dgm:txFillClrLst/>
    <dgm:txEffectClrLst/>
  </dgm:styleLbl>
  <dgm:styleLbl name="node1">
    <dgm:fillClrLst>
      <a:schemeClr val="accent3">
        <a:shade val="80000"/>
      </a:schemeClr>
      <a:schemeClr val="accent3">
        <a:tint val="70000"/>
      </a:schemeClr>
    </dgm:fillClrLst>
    <dgm:linClrLst meth="repeat">
      <a:schemeClr val="lt1"/>
    </dgm:linClrLst>
    <dgm:effectClrLst/>
    <dgm:txLinClrLst/>
    <dgm:txFillClrLst/>
    <dgm:txEffectClrLst/>
  </dgm:styleLbl>
  <dgm:styleLbl name="alignNode1">
    <dgm:fillClrLst>
      <a:schemeClr val="accent3">
        <a:shade val="80000"/>
      </a:schemeClr>
      <a:schemeClr val="accent3">
        <a:tint val="70000"/>
      </a:schemeClr>
    </dgm:fillClrLst>
    <dgm:linClrLst>
      <a:schemeClr val="accent3">
        <a:shade val="80000"/>
      </a:schemeClr>
      <a:schemeClr val="accent3">
        <a:tint val="70000"/>
      </a:schemeClr>
    </dgm:linClrLst>
    <dgm:effectClrLst/>
    <dgm:txLinClrLst/>
    <dgm:txFillClrLst/>
    <dgm:txEffectClrLst/>
  </dgm:styleLbl>
  <dgm:styleLbl name="lnNode1">
    <dgm:fillClrLst>
      <a:schemeClr val="accent3">
        <a:shade val="80000"/>
      </a:schemeClr>
      <a:schemeClr val="accent3">
        <a:tint val="70000"/>
      </a:schemeClr>
    </dgm:fillClrLst>
    <dgm:linClrLst meth="repeat">
      <a:schemeClr val="lt1"/>
    </dgm:linClrLst>
    <dgm:effectClrLst/>
    <dgm:txLinClrLst/>
    <dgm:txFillClrLst/>
    <dgm:txEffectClrLst/>
  </dgm:styleLbl>
  <dgm:styleLbl name="vennNode1">
    <dgm:fillClrLst>
      <a:schemeClr val="accent3">
        <a:shade val="80000"/>
        <a:alpha val="50000"/>
      </a:schemeClr>
      <a:schemeClr val="accent3">
        <a:tint val="70000"/>
        <a:alpha val="50000"/>
      </a:schemeClr>
    </dgm:fillClrLst>
    <dgm:linClrLst meth="repeat">
      <a:schemeClr val="lt1"/>
    </dgm:linClrLst>
    <dgm:effectClrLst/>
    <dgm:txLinClrLst/>
    <dgm:txFillClrLst/>
    <dgm:txEffectClrLst/>
  </dgm:styleLbl>
  <dgm:styleLbl name="node2">
    <dgm:fillClrLst>
      <a:schemeClr val="accent3">
        <a:tint val="99000"/>
      </a:schemeClr>
    </dgm:fillClrLst>
    <dgm:linClrLst meth="repeat">
      <a:schemeClr val="lt1"/>
    </dgm:linClrLst>
    <dgm:effectClrLst/>
    <dgm:txLinClrLst/>
    <dgm:txFillClrLst/>
    <dgm:txEffectClrLst/>
  </dgm:styleLbl>
  <dgm:styleLbl name="node3">
    <dgm:fillClrLst>
      <a:schemeClr val="accent3">
        <a:tint val="80000"/>
      </a:schemeClr>
    </dgm:fillClrLst>
    <dgm:linClrLst meth="repeat">
      <a:schemeClr val="lt1"/>
    </dgm:linClrLst>
    <dgm:effectClrLst/>
    <dgm:txLinClrLst/>
    <dgm:txFillClrLst/>
    <dgm:txEffectClrLst/>
  </dgm:styleLbl>
  <dgm:styleLbl name="node4">
    <dgm:fillClrLst>
      <a:schemeClr val="accent3">
        <a:tint val="70000"/>
      </a:schemeClr>
    </dgm:fillClrLst>
    <dgm:linClrLst meth="repeat">
      <a:schemeClr val="lt1"/>
    </dgm:linClrLst>
    <dgm:effectClrLst/>
    <dgm:txLinClrLst/>
    <dgm:txFillClrLst/>
    <dgm:txEffectClrLst/>
  </dgm:styleLbl>
  <dgm:styleLbl name="f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dgm:txEffectClrLst/>
  </dgm:styleLbl>
  <dgm:styleLbl name="fg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lt1"/>
    </dgm:txFillClrLst>
    <dgm:txEffectClrLst/>
  </dgm:styleLbl>
  <dgm:styleLbl name="bg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lt1"/>
    </dgm:txFillClrLst>
    <dgm:txEffectClrLst/>
  </dgm:styleLbl>
  <dgm:styleLbl name="sibTrans1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accent3">
        <a:shade val="80000"/>
      </a:schemeClr>
    </dgm:fillClrLst>
    <dgm:linClrLst meth="repeat">
      <a:schemeClr val="lt1"/>
    </dgm:linClrLst>
    <dgm:effectClrLst/>
    <dgm:txLinClrLst/>
    <dgm:txFillClrLst/>
    <dgm:txEffectClrLst/>
  </dgm:styleLbl>
  <dgm:styleLbl name="asst1">
    <dgm:fillClrLst meth="repeat">
      <a:schemeClr val="accent3">
        <a:shade val="80000"/>
      </a:schemeClr>
    </dgm:fillClrLst>
    <dgm:linClrLst meth="repeat">
      <a:schemeClr val="lt1"/>
    </dgm:linClrLst>
    <dgm:effectClrLst/>
    <dgm:txLinClrLst/>
    <dgm:txFillClrLst/>
    <dgm:txEffectClrLst/>
  </dgm:styleLbl>
  <dgm:styleLbl name="asst2">
    <dgm:fillClrLst>
      <a:schemeClr val="accent3">
        <a:tint val="99000"/>
      </a:schemeClr>
    </dgm:fillClrLst>
    <dgm:linClrLst meth="repeat">
      <a:schemeClr val="lt1"/>
    </dgm:linClrLst>
    <dgm:effectClrLst/>
    <dgm:txLinClrLst/>
    <dgm:txFillClrLst/>
    <dgm:txEffectClrLst/>
  </dgm:styleLbl>
  <dgm:styleLbl name="asst3">
    <dgm:fillClrLst>
      <a:schemeClr val="accent3">
        <a:tint val="80000"/>
      </a:schemeClr>
    </dgm:fillClrLst>
    <dgm:linClrLst meth="repeat">
      <a:schemeClr val="lt1"/>
    </dgm:linClrLst>
    <dgm:effectClrLst/>
    <dgm:txLinClrLst/>
    <dgm:txFillClrLst/>
    <dgm:txEffectClrLst/>
  </dgm:styleLbl>
  <dgm:styleLbl name="asst4">
    <dgm:fillClrLst>
      <a:schemeClr val="accent3">
        <a:tint val="70000"/>
      </a:schemeClr>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a:tint val="90000"/>
      </a:schemeClr>
    </dgm:fillClrLst>
    <dgm:linClrLst meth="repeat">
      <a:schemeClr val="accent3">
        <a:tint val="90000"/>
      </a:schemeClr>
    </dgm:linClrLst>
    <dgm:effectClrLst/>
    <dgm:txLinClrLst/>
    <dgm:txFillClrLst/>
    <dgm:txEffectClrLst/>
  </dgm:styleLbl>
  <dgm:styleLbl name="parChTrans2D3">
    <dgm:fillClrLst meth="repeat">
      <a:schemeClr val="accent3">
        <a:tint val="70000"/>
      </a:schemeClr>
    </dgm:fillClrLst>
    <dgm:linClrLst meth="repeat">
      <a:schemeClr val="accent3">
        <a:tint val="70000"/>
      </a:schemeClr>
    </dgm:linClrLst>
    <dgm:effectClrLst/>
    <dgm:txLinClrLst/>
    <dgm:txFillClrLst/>
    <dgm:txEffectClrLst/>
  </dgm:styleLbl>
  <dgm:styleLbl name="parChTrans2D4">
    <dgm:fillClrLst meth="repeat">
      <a:schemeClr val="accent3">
        <a:tint val="50000"/>
      </a:schemeClr>
    </dgm:fillClrLst>
    <dgm:linClrLst meth="repeat">
      <a:schemeClr val="accent3">
        <a:tint val="50000"/>
      </a:schemeClr>
    </dgm:linClrLst>
    <dgm:effectClrLst/>
    <dgm:txLinClrLst/>
    <dgm:txFillClrLst meth="repeat">
      <a:schemeClr val="lt1"/>
    </dgm:txFillClrLst>
    <dgm:txEffectClrLst/>
  </dgm:styleLbl>
  <dgm:styleLbl name="parChTrans1D1">
    <dgm:fillClrLst meth="repeat">
      <a:schemeClr val="accent3">
        <a:shade val="80000"/>
      </a:schemeClr>
    </dgm:fillClrLst>
    <dgm:linClrLst meth="repeat">
      <a:schemeClr val="accent3">
        <a:shade val="80000"/>
      </a:schemeClr>
    </dgm:linClrLst>
    <dgm:effectClrLst/>
    <dgm:txLinClrLst/>
    <dgm:txFillClrLst meth="repeat">
      <a:schemeClr val="tx1"/>
    </dgm:txFillClrLst>
    <dgm:txEffectClrLst/>
  </dgm:styleLbl>
  <dgm:styleLbl name="parChTrans1D2">
    <dgm:fillClrLst meth="repeat">
      <a:schemeClr val="accent3">
        <a:tint val="99000"/>
      </a:schemeClr>
    </dgm:fillClrLst>
    <dgm:linClrLst meth="repeat">
      <a:schemeClr val="accent3">
        <a:tint val="99000"/>
      </a:schemeClr>
    </dgm:linClrLst>
    <dgm:effectClrLst/>
    <dgm:txLinClrLst/>
    <dgm:txFillClrLst meth="repeat">
      <a:schemeClr val="tx1"/>
    </dgm:txFillClrLst>
    <dgm:txEffectClrLst/>
  </dgm:styleLbl>
  <dgm:styleLbl name="parChTrans1D3">
    <dgm:fillClrLst meth="repeat">
      <a:schemeClr val="accent3">
        <a:tint val="80000"/>
      </a:schemeClr>
    </dgm:fillClrLst>
    <dgm:linClrLst meth="repeat">
      <a:schemeClr val="accent3">
        <a:tint val="80000"/>
      </a:schemeClr>
    </dgm:linClrLst>
    <dgm:effectClrLst/>
    <dgm:txLinClrLst/>
    <dgm:txFillClrLst meth="repeat">
      <a:schemeClr val="tx1"/>
    </dgm:txFillClrLst>
    <dgm:txEffectClrLst/>
  </dgm:styleLbl>
  <dgm:styleLbl name="parChTrans1D4">
    <dgm:fillClrLst meth="repeat">
      <a:schemeClr val="accent3">
        <a:tint val="70000"/>
      </a:schemeClr>
    </dgm:fillClrLst>
    <dgm:linClrLst meth="repeat">
      <a:schemeClr val="accent3">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3">
        <a:shade val="80000"/>
      </a:schemeClr>
      <a:schemeClr val="accent3">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a:tint val="70000"/>
      </a:schemeClr>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3_3">
  <dgm:title val=""/>
  <dgm:desc val=""/>
  <dgm:catLst>
    <dgm:cat type="accent3" pri="11300"/>
  </dgm:catLst>
  <dgm:styleLbl name="node0">
    <dgm:fillClrLst meth="repeat">
      <a:schemeClr val="accent3">
        <a:shade val="80000"/>
      </a:schemeClr>
    </dgm:fillClrLst>
    <dgm:linClrLst meth="repeat">
      <a:schemeClr val="lt1"/>
    </dgm:linClrLst>
    <dgm:effectClrLst/>
    <dgm:txLinClrLst/>
    <dgm:txFillClrLst/>
    <dgm:txEffectClrLst/>
  </dgm:styleLbl>
  <dgm:styleLbl name="node1">
    <dgm:fillClrLst>
      <a:schemeClr val="accent3">
        <a:shade val="80000"/>
      </a:schemeClr>
      <a:schemeClr val="accent3">
        <a:tint val="70000"/>
      </a:schemeClr>
    </dgm:fillClrLst>
    <dgm:linClrLst meth="repeat">
      <a:schemeClr val="lt1"/>
    </dgm:linClrLst>
    <dgm:effectClrLst/>
    <dgm:txLinClrLst/>
    <dgm:txFillClrLst/>
    <dgm:txEffectClrLst/>
  </dgm:styleLbl>
  <dgm:styleLbl name="alignNode1">
    <dgm:fillClrLst>
      <a:schemeClr val="accent3">
        <a:shade val="80000"/>
      </a:schemeClr>
      <a:schemeClr val="accent3">
        <a:tint val="70000"/>
      </a:schemeClr>
    </dgm:fillClrLst>
    <dgm:linClrLst>
      <a:schemeClr val="accent3">
        <a:shade val="80000"/>
      </a:schemeClr>
      <a:schemeClr val="accent3">
        <a:tint val="70000"/>
      </a:schemeClr>
    </dgm:linClrLst>
    <dgm:effectClrLst/>
    <dgm:txLinClrLst/>
    <dgm:txFillClrLst/>
    <dgm:txEffectClrLst/>
  </dgm:styleLbl>
  <dgm:styleLbl name="lnNode1">
    <dgm:fillClrLst>
      <a:schemeClr val="accent3">
        <a:shade val="80000"/>
      </a:schemeClr>
      <a:schemeClr val="accent3">
        <a:tint val="70000"/>
      </a:schemeClr>
    </dgm:fillClrLst>
    <dgm:linClrLst meth="repeat">
      <a:schemeClr val="lt1"/>
    </dgm:linClrLst>
    <dgm:effectClrLst/>
    <dgm:txLinClrLst/>
    <dgm:txFillClrLst/>
    <dgm:txEffectClrLst/>
  </dgm:styleLbl>
  <dgm:styleLbl name="vennNode1">
    <dgm:fillClrLst>
      <a:schemeClr val="accent3">
        <a:shade val="80000"/>
        <a:alpha val="50000"/>
      </a:schemeClr>
      <a:schemeClr val="accent3">
        <a:tint val="70000"/>
        <a:alpha val="50000"/>
      </a:schemeClr>
    </dgm:fillClrLst>
    <dgm:linClrLst meth="repeat">
      <a:schemeClr val="lt1"/>
    </dgm:linClrLst>
    <dgm:effectClrLst/>
    <dgm:txLinClrLst/>
    <dgm:txFillClrLst/>
    <dgm:txEffectClrLst/>
  </dgm:styleLbl>
  <dgm:styleLbl name="node2">
    <dgm:fillClrLst>
      <a:schemeClr val="accent3">
        <a:tint val="99000"/>
      </a:schemeClr>
    </dgm:fillClrLst>
    <dgm:linClrLst meth="repeat">
      <a:schemeClr val="lt1"/>
    </dgm:linClrLst>
    <dgm:effectClrLst/>
    <dgm:txLinClrLst/>
    <dgm:txFillClrLst/>
    <dgm:txEffectClrLst/>
  </dgm:styleLbl>
  <dgm:styleLbl name="node3">
    <dgm:fillClrLst>
      <a:schemeClr val="accent3">
        <a:tint val="80000"/>
      </a:schemeClr>
    </dgm:fillClrLst>
    <dgm:linClrLst meth="repeat">
      <a:schemeClr val="lt1"/>
    </dgm:linClrLst>
    <dgm:effectClrLst/>
    <dgm:txLinClrLst/>
    <dgm:txFillClrLst/>
    <dgm:txEffectClrLst/>
  </dgm:styleLbl>
  <dgm:styleLbl name="node4">
    <dgm:fillClrLst>
      <a:schemeClr val="accent3">
        <a:tint val="70000"/>
      </a:schemeClr>
    </dgm:fillClrLst>
    <dgm:linClrLst meth="repeat">
      <a:schemeClr val="lt1"/>
    </dgm:linClrLst>
    <dgm:effectClrLst/>
    <dgm:txLinClrLst/>
    <dgm:txFillClrLst/>
    <dgm:txEffectClrLst/>
  </dgm:styleLbl>
  <dgm:styleLbl name="f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dgm:txEffectClrLst/>
  </dgm:styleLbl>
  <dgm:styleLbl name="fg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lt1"/>
    </dgm:txFillClrLst>
    <dgm:txEffectClrLst/>
  </dgm:styleLbl>
  <dgm:styleLbl name="bg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lt1"/>
    </dgm:txFillClrLst>
    <dgm:txEffectClrLst/>
  </dgm:styleLbl>
  <dgm:styleLbl name="sibTrans1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accent3">
        <a:shade val="80000"/>
      </a:schemeClr>
    </dgm:fillClrLst>
    <dgm:linClrLst meth="repeat">
      <a:schemeClr val="lt1"/>
    </dgm:linClrLst>
    <dgm:effectClrLst/>
    <dgm:txLinClrLst/>
    <dgm:txFillClrLst/>
    <dgm:txEffectClrLst/>
  </dgm:styleLbl>
  <dgm:styleLbl name="asst1">
    <dgm:fillClrLst meth="repeat">
      <a:schemeClr val="accent3">
        <a:shade val="80000"/>
      </a:schemeClr>
    </dgm:fillClrLst>
    <dgm:linClrLst meth="repeat">
      <a:schemeClr val="lt1"/>
    </dgm:linClrLst>
    <dgm:effectClrLst/>
    <dgm:txLinClrLst/>
    <dgm:txFillClrLst/>
    <dgm:txEffectClrLst/>
  </dgm:styleLbl>
  <dgm:styleLbl name="asst2">
    <dgm:fillClrLst>
      <a:schemeClr val="accent3">
        <a:tint val="99000"/>
      </a:schemeClr>
    </dgm:fillClrLst>
    <dgm:linClrLst meth="repeat">
      <a:schemeClr val="lt1"/>
    </dgm:linClrLst>
    <dgm:effectClrLst/>
    <dgm:txLinClrLst/>
    <dgm:txFillClrLst/>
    <dgm:txEffectClrLst/>
  </dgm:styleLbl>
  <dgm:styleLbl name="asst3">
    <dgm:fillClrLst>
      <a:schemeClr val="accent3">
        <a:tint val="80000"/>
      </a:schemeClr>
    </dgm:fillClrLst>
    <dgm:linClrLst meth="repeat">
      <a:schemeClr val="lt1"/>
    </dgm:linClrLst>
    <dgm:effectClrLst/>
    <dgm:txLinClrLst/>
    <dgm:txFillClrLst/>
    <dgm:txEffectClrLst/>
  </dgm:styleLbl>
  <dgm:styleLbl name="asst4">
    <dgm:fillClrLst>
      <a:schemeClr val="accent3">
        <a:tint val="70000"/>
      </a:schemeClr>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a:tint val="90000"/>
      </a:schemeClr>
    </dgm:fillClrLst>
    <dgm:linClrLst meth="repeat">
      <a:schemeClr val="accent3">
        <a:tint val="90000"/>
      </a:schemeClr>
    </dgm:linClrLst>
    <dgm:effectClrLst/>
    <dgm:txLinClrLst/>
    <dgm:txFillClrLst/>
    <dgm:txEffectClrLst/>
  </dgm:styleLbl>
  <dgm:styleLbl name="parChTrans2D3">
    <dgm:fillClrLst meth="repeat">
      <a:schemeClr val="accent3">
        <a:tint val="70000"/>
      </a:schemeClr>
    </dgm:fillClrLst>
    <dgm:linClrLst meth="repeat">
      <a:schemeClr val="accent3">
        <a:tint val="70000"/>
      </a:schemeClr>
    </dgm:linClrLst>
    <dgm:effectClrLst/>
    <dgm:txLinClrLst/>
    <dgm:txFillClrLst/>
    <dgm:txEffectClrLst/>
  </dgm:styleLbl>
  <dgm:styleLbl name="parChTrans2D4">
    <dgm:fillClrLst meth="repeat">
      <a:schemeClr val="accent3">
        <a:tint val="50000"/>
      </a:schemeClr>
    </dgm:fillClrLst>
    <dgm:linClrLst meth="repeat">
      <a:schemeClr val="accent3">
        <a:tint val="50000"/>
      </a:schemeClr>
    </dgm:linClrLst>
    <dgm:effectClrLst/>
    <dgm:txLinClrLst/>
    <dgm:txFillClrLst meth="repeat">
      <a:schemeClr val="lt1"/>
    </dgm:txFillClrLst>
    <dgm:txEffectClrLst/>
  </dgm:styleLbl>
  <dgm:styleLbl name="parChTrans1D1">
    <dgm:fillClrLst meth="repeat">
      <a:schemeClr val="accent3">
        <a:shade val="80000"/>
      </a:schemeClr>
    </dgm:fillClrLst>
    <dgm:linClrLst meth="repeat">
      <a:schemeClr val="accent3">
        <a:shade val="80000"/>
      </a:schemeClr>
    </dgm:linClrLst>
    <dgm:effectClrLst/>
    <dgm:txLinClrLst/>
    <dgm:txFillClrLst meth="repeat">
      <a:schemeClr val="tx1"/>
    </dgm:txFillClrLst>
    <dgm:txEffectClrLst/>
  </dgm:styleLbl>
  <dgm:styleLbl name="parChTrans1D2">
    <dgm:fillClrLst meth="repeat">
      <a:schemeClr val="accent3">
        <a:tint val="99000"/>
      </a:schemeClr>
    </dgm:fillClrLst>
    <dgm:linClrLst meth="repeat">
      <a:schemeClr val="accent3">
        <a:tint val="99000"/>
      </a:schemeClr>
    </dgm:linClrLst>
    <dgm:effectClrLst/>
    <dgm:txLinClrLst/>
    <dgm:txFillClrLst meth="repeat">
      <a:schemeClr val="tx1"/>
    </dgm:txFillClrLst>
    <dgm:txEffectClrLst/>
  </dgm:styleLbl>
  <dgm:styleLbl name="parChTrans1D3">
    <dgm:fillClrLst meth="repeat">
      <a:schemeClr val="accent3">
        <a:tint val="80000"/>
      </a:schemeClr>
    </dgm:fillClrLst>
    <dgm:linClrLst meth="repeat">
      <a:schemeClr val="accent3">
        <a:tint val="80000"/>
      </a:schemeClr>
    </dgm:linClrLst>
    <dgm:effectClrLst/>
    <dgm:txLinClrLst/>
    <dgm:txFillClrLst meth="repeat">
      <a:schemeClr val="tx1"/>
    </dgm:txFillClrLst>
    <dgm:txEffectClrLst/>
  </dgm:styleLbl>
  <dgm:styleLbl name="parChTrans1D4">
    <dgm:fillClrLst meth="repeat">
      <a:schemeClr val="accent3">
        <a:tint val="70000"/>
      </a:schemeClr>
    </dgm:fillClrLst>
    <dgm:linClrLst meth="repeat">
      <a:schemeClr val="accent3">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3">
        <a:shade val="80000"/>
      </a:schemeClr>
      <a:schemeClr val="accent3">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a:tint val="70000"/>
      </a:schemeClr>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3_3">
  <dgm:title val=""/>
  <dgm:desc val=""/>
  <dgm:catLst>
    <dgm:cat type="accent3" pri="11300"/>
  </dgm:catLst>
  <dgm:styleLbl name="node0">
    <dgm:fillClrLst meth="repeat">
      <a:schemeClr val="accent3">
        <a:shade val="80000"/>
      </a:schemeClr>
    </dgm:fillClrLst>
    <dgm:linClrLst meth="repeat">
      <a:schemeClr val="lt1"/>
    </dgm:linClrLst>
    <dgm:effectClrLst/>
    <dgm:txLinClrLst/>
    <dgm:txFillClrLst/>
    <dgm:txEffectClrLst/>
  </dgm:styleLbl>
  <dgm:styleLbl name="node1">
    <dgm:fillClrLst>
      <a:schemeClr val="accent3">
        <a:shade val="80000"/>
      </a:schemeClr>
      <a:schemeClr val="accent3">
        <a:tint val="70000"/>
      </a:schemeClr>
    </dgm:fillClrLst>
    <dgm:linClrLst meth="repeat">
      <a:schemeClr val="lt1"/>
    </dgm:linClrLst>
    <dgm:effectClrLst/>
    <dgm:txLinClrLst/>
    <dgm:txFillClrLst/>
    <dgm:txEffectClrLst/>
  </dgm:styleLbl>
  <dgm:styleLbl name="alignNode1">
    <dgm:fillClrLst>
      <a:schemeClr val="accent3">
        <a:shade val="80000"/>
      </a:schemeClr>
      <a:schemeClr val="accent3">
        <a:tint val="70000"/>
      </a:schemeClr>
    </dgm:fillClrLst>
    <dgm:linClrLst>
      <a:schemeClr val="accent3">
        <a:shade val="80000"/>
      </a:schemeClr>
      <a:schemeClr val="accent3">
        <a:tint val="70000"/>
      </a:schemeClr>
    </dgm:linClrLst>
    <dgm:effectClrLst/>
    <dgm:txLinClrLst/>
    <dgm:txFillClrLst/>
    <dgm:txEffectClrLst/>
  </dgm:styleLbl>
  <dgm:styleLbl name="lnNode1">
    <dgm:fillClrLst>
      <a:schemeClr val="accent3">
        <a:shade val="80000"/>
      </a:schemeClr>
      <a:schemeClr val="accent3">
        <a:tint val="70000"/>
      </a:schemeClr>
    </dgm:fillClrLst>
    <dgm:linClrLst meth="repeat">
      <a:schemeClr val="lt1"/>
    </dgm:linClrLst>
    <dgm:effectClrLst/>
    <dgm:txLinClrLst/>
    <dgm:txFillClrLst/>
    <dgm:txEffectClrLst/>
  </dgm:styleLbl>
  <dgm:styleLbl name="vennNode1">
    <dgm:fillClrLst>
      <a:schemeClr val="accent3">
        <a:shade val="80000"/>
        <a:alpha val="50000"/>
      </a:schemeClr>
      <a:schemeClr val="accent3">
        <a:tint val="70000"/>
        <a:alpha val="50000"/>
      </a:schemeClr>
    </dgm:fillClrLst>
    <dgm:linClrLst meth="repeat">
      <a:schemeClr val="lt1"/>
    </dgm:linClrLst>
    <dgm:effectClrLst/>
    <dgm:txLinClrLst/>
    <dgm:txFillClrLst/>
    <dgm:txEffectClrLst/>
  </dgm:styleLbl>
  <dgm:styleLbl name="node2">
    <dgm:fillClrLst>
      <a:schemeClr val="accent3">
        <a:tint val="99000"/>
      </a:schemeClr>
    </dgm:fillClrLst>
    <dgm:linClrLst meth="repeat">
      <a:schemeClr val="lt1"/>
    </dgm:linClrLst>
    <dgm:effectClrLst/>
    <dgm:txLinClrLst/>
    <dgm:txFillClrLst/>
    <dgm:txEffectClrLst/>
  </dgm:styleLbl>
  <dgm:styleLbl name="node3">
    <dgm:fillClrLst>
      <a:schemeClr val="accent3">
        <a:tint val="80000"/>
      </a:schemeClr>
    </dgm:fillClrLst>
    <dgm:linClrLst meth="repeat">
      <a:schemeClr val="lt1"/>
    </dgm:linClrLst>
    <dgm:effectClrLst/>
    <dgm:txLinClrLst/>
    <dgm:txFillClrLst/>
    <dgm:txEffectClrLst/>
  </dgm:styleLbl>
  <dgm:styleLbl name="node4">
    <dgm:fillClrLst>
      <a:schemeClr val="accent3">
        <a:tint val="70000"/>
      </a:schemeClr>
    </dgm:fillClrLst>
    <dgm:linClrLst meth="repeat">
      <a:schemeClr val="lt1"/>
    </dgm:linClrLst>
    <dgm:effectClrLst/>
    <dgm:txLinClrLst/>
    <dgm:txFillClrLst/>
    <dgm:txEffectClrLst/>
  </dgm:styleLbl>
  <dgm:styleLbl name="f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dgm:txEffectClrLst/>
  </dgm:styleLbl>
  <dgm:styleLbl name="fg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lt1"/>
    </dgm:txFillClrLst>
    <dgm:txEffectClrLst/>
  </dgm:styleLbl>
  <dgm:styleLbl name="bg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lt1"/>
    </dgm:txFillClrLst>
    <dgm:txEffectClrLst/>
  </dgm:styleLbl>
  <dgm:styleLbl name="sibTrans1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accent3">
        <a:shade val="80000"/>
      </a:schemeClr>
    </dgm:fillClrLst>
    <dgm:linClrLst meth="repeat">
      <a:schemeClr val="lt1"/>
    </dgm:linClrLst>
    <dgm:effectClrLst/>
    <dgm:txLinClrLst/>
    <dgm:txFillClrLst/>
    <dgm:txEffectClrLst/>
  </dgm:styleLbl>
  <dgm:styleLbl name="asst1">
    <dgm:fillClrLst meth="repeat">
      <a:schemeClr val="accent3">
        <a:shade val="80000"/>
      </a:schemeClr>
    </dgm:fillClrLst>
    <dgm:linClrLst meth="repeat">
      <a:schemeClr val="lt1"/>
    </dgm:linClrLst>
    <dgm:effectClrLst/>
    <dgm:txLinClrLst/>
    <dgm:txFillClrLst/>
    <dgm:txEffectClrLst/>
  </dgm:styleLbl>
  <dgm:styleLbl name="asst2">
    <dgm:fillClrLst>
      <a:schemeClr val="accent3">
        <a:tint val="99000"/>
      </a:schemeClr>
    </dgm:fillClrLst>
    <dgm:linClrLst meth="repeat">
      <a:schemeClr val="lt1"/>
    </dgm:linClrLst>
    <dgm:effectClrLst/>
    <dgm:txLinClrLst/>
    <dgm:txFillClrLst/>
    <dgm:txEffectClrLst/>
  </dgm:styleLbl>
  <dgm:styleLbl name="asst3">
    <dgm:fillClrLst>
      <a:schemeClr val="accent3">
        <a:tint val="80000"/>
      </a:schemeClr>
    </dgm:fillClrLst>
    <dgm:linClrLst meth="repeat">
      <a:schemeClr val="lt1"/>
    </dgm:linClrLst>
    <dgm:effectClrLst/>
    <dgm:txLinClrLst/>
    <dgm:txFillClrLst/>
    <dgm:txEffectClrLst/>
  </dgm:styleLbl>
  <dgm:styleLbl name="asst4">
    <dgm:fillClrLst>
      <a:schemeClr val="accent3">
        <a:tint val="70000"/>
      </a:schemeClr>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a:tint val="90000"/>
      </a:schemeClr>
    </dgm:fillClrLst>
    <dgm:linClrLst meth="repeat">
      <a:schemeClr val="accent3">
        <a:tint val="90000"/>
      </a:schemeClr>
    </dgm:linClrLst>
    <dgm:effectClrLst/>
    <dgm:txLinClrLst/>
    <dgm:txFillClrLst/>
    <dgm:txEffectClrLst/>
  </dgm:styleLbl>
  <dgm:styleLbl name="parChTrans2D3">
    <dgm:fillClrLst meth="repeat">
      <a:schemeClr val="accent3">
        <a:tint val="70000"/>
      </a:schemeClr>
    </dgm:fillClrLst>
    <dgm:linClrLst meth="repeat">
      <a:schemeClr val="accent3">
        <a:tint val="70000"/>
      </a:schemeClr>
    </dgm:linClrLst>
    <dgm:effectClrLst/>
    <dgm:txLinClrLst/>
    <dgm:txFillClrLst/>
    <dgm:txEffectClrLst/>
  </dgm:styleLbl>
  <dgm:styleLbl name="parChTrans2D4">
    <dgm:fillClrLst meth="repeat">
      <a:schemeClr val="accent3">
        <a:tint val="50000"/>
      </a:schemeClr>
    </dgm:fillClrLst>
    <dgm:linClrLst meth="repeat">
      <a:schemeClr val="accent3">
        <a:tint val="50000"/>
      </a:schemeClr>
    </dgm:linClrLst>
    <dgm:effectClrLst/>
    <dgm:txLinClrLst/>
    <dgm:txFillClrLst meth="repeat">
      <a:schemeClr val="lt1"/>
    </dgm:txFillClrLst>
    <dgm:txEffectClrLst/>
  </dgm:styleLbl>
  <dgm:styleLbl name="parChTrans1D1">
    <dgm:fillClrLst meth="repeat">
      <a:schemeClr val="accent3">
        <a:shade val="80000"/>
      </a:schemeClr>
    </dgm:fillClrLst>
    <dgm:linClrLst meth="repeat">
      <a:schemeClr val="accent3">
        <a:shade val="80000"/>
      </a:schemeClr>
    </dgm:linClrLst>
    <dgm:effectClrLst/>
    <dgm:txLinClrLst/>
    <dgm:txFillClrLst meth="repeat">
      <a:schemeClr val="tx1"/>
    </dgm:txFillClrLst>
    <dgm:txEffectClrLst/>
  </dgm:styleLbl>
  <dgm:styleLbl name="parChTrans1D2">
    <dgm:fillClrLst meth="repeat">
      <a:schemeClr val="accent3">
        <a:tint val="99000"/>
      </a:schemeClr>
    </dgm:fillClrLst>
    <dgm:linClrLst meth="repeat">
      <a:schemeClr val="accent3">
        <a:tint val="99000"/>
      </a:schemeClr>
    </dgm:linClrLst>
    <dgm:effectClrLst/>
    <dgm:txLinClrLst/>
    <dgm:txFillClrLst meth="repeat">
      <a:schemeClr val="tx1"/>
    </dgm:txFillClrLst>
    <dgm:txEffectClrLst/>
  </dgm:styleLbl>
  <dgm:styleLbl name="parChTrans1D3">
    <dgm:fillClrLst meth="repeat">
      <a:schemeClr val="accent3">
        <a:tint val="80000"/>
      </a:schemeClr>
    </dgm:fillClrLst>
    <dgm:linClrLst meth="repeat">
      <a:schemeClr val="accent3">
        <a:tint val="80000"/>
      </a:schemeClr>
    </dgm:linClrLst>
    <dgm:effectClrLst/>
    <dgm:txLinClrLst/>
    <dgm:txFillClrLst meth="repeat">
      <a:schemeClr val="tx1"/>
    </dgm:txFillClrLst>
    <dgm:txEffectClrLst/>
  </dgm:styleLbl>
  <dgm:styleLbl name="parChTrans1D4">
    <dgm:fillClrLst meth="repeat">
      <a:schemeClr val="accent3">
        <a:tint val="70000"/>
      </a:schemeClr>
    </dgm:fillClrLst>
    <dgm:linClrLst meth="repeat">
      <a:schemeClr val="accent3">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3">
        <a:shade val="80000"/>
      </a:schemeClr>
      <a:schemeClr val="accent3">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a:tint val="70000"/>
      </a:schemeClr>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3_1">
  <dgm:title val=""/>
  <dgm:desc val=""/>
  <dgm:catLst>
    <dgm:cat type="accent3" pri="11100"/>
  </dgm:catLst>
  <dgm:styleLbl name="node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3">
        <a:shade val="80000"/>
      </a:schemeClr>
    </dgm:linClrLst>
    <dgm:effectClrLst/>
    <dgm:txLinClrLst/>
    <dgm:txFillClrLst/>
    <dgm:txEffectClrLst/>
  </dgm:styleLbl>
  <dgm:styleLbl name="node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f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align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b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dgm:txEffectClrLst/>
  </dgm:styleLbl>
  <dgm:styleLbl name="parChTrans2D2">
    <dgm:fillClrLst meth="repeat">
      <a:schemeClr val="accent3"/>
    </dgm:fillClrLst>
    <dgm:linClrLst meth="repeat">
      <a:schemeClr val="accent3"/>
    </dgm:linClrLst>
    <dgm:effectClrLst/>
    <dgm:txLinClrLst/>
    <dgm:txFillClrLst/>
    <dgm:txEffectClrLst/>
  </dgm:styleLbl>
  <dgm:styleLbl name="parChTrans2D3">
    <dgm:fillClrLst meth="repeat">
      <a:schemeClr val="accent3"/>
    </dgm:fillClrLst>
    <dgm:linClrLst meth="repeat">
      <a:schemeClr val="accent3"/>
    </dgm:linClrLst>
    <dgm:effectClrLst/>
    <dgm:txLinClrLst/>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con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align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trAlignAcc1">
    <dgm:fillClrLst meth="repeat">
      <a:schemeClr val="accent3">
        <a:alpha val="40000"/>
        <a:tint val="40000"/>
      </a:schemeClr>
    </dgm:fillClrLst>
    <dgm:linClrLst meth="repeat">
      <a:schemeClr val="accent3"/>
    </dgm:linClrLst>
    <dgm:effectClrLst/>
    <dgm:txLinClrLst/>
    <dgm:txFillClrLst meth="repeat">
      <a:schemeClr val="dk1"/>
    </dgm:txFillClrLst>
    <dgm:txEffectClrLst/>
  </dgm:styleLbl>
  <dgm:styleLbl name="b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fgAcc0">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2">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3">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4">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307959F-C61D-4D06-80B1-0877FAC948D4}" type="doc">
      <dgm:prSet loTypeId="urn:microsoft.com/office/officeart/2005/8/layout/vProcess5" loCatId="process" qsTypeId="urn:microsoft.com/office/officeart/2005/8/quickstyle/simple1" qsCatId="simple" csTypeId="urn:microsoft.com/office/officeart/2005/8/colors/accent3_1" csCatId="accent3" phldr="1"/>
      <dgm:spPr/>
      <dgm:t>
        <a:bodyPr/>
        <a:lstStyle/>
        <a:p>
          <a:endParaRPr lang="pl-PL"/>
        </a:p>
      </dgm:t>
    </dgm:pt>
    <dgm:pt modelId="{2176B1FE-7497-4C07-BC44-0D851E14635B}">
      <dgm:prSet phldrT="[Tekst]" custT="1"/>
      <dgm:spPr>
        <a:solidFill>
          <a:schemeClr val="bg2"/>
        </a:solidFill>
      </dgm:spPr>
      <dgm:t>
        <a:bodyPr/>
        <a:lstStyle/>
        <a:p>
          <a:r>
            <a:rPr lang="pl-PL" sz="1000" b="1">
              <a:solidFill>
                <a:schemeClr val="accent1"/>
              </a:solidFill>
              <a:latin typeface="+mn-lt"/>
            </a:rPr>
            <a:t>I ETAP: </a:t>
          </a:r>
          <a:r>
            <a:rPr lang="pl-PL" sz="1000" b="0">
              <a:latin typeface="+mn-lt"/>
            </a:rPr>
            <a:t>DIAGNOZA WSTĘPNA, OKREŚLENIE WSTĘPNYCH KIERUNKÓW ROZWOJOWYCH </a:t>
          </a:r>
        </a:p>
      </dgm:t>
    </dgm:pt>
    <dgm:pt modelId="{1030880B-581A-4096-8DB4-5F9D5675CE85}" type="parTrans" cxnId="{C567BF1D-2993-48B3-842F-0EC927BF0DFD}">
      <dgm:prSet/>
      <dgm:spPr/>
      <dgm:t>
        <a:bodyPr/>
        <a:lstStyle/>
        <a:p>
          <a:endParaRPr lang="pl-PL" b="1">
            <a:latin typeface="+mn-lt"/>
          </a:endParaRPr>
        </a:p>
      </dgm:t>
    </dgm:pt>
    <dgm:pt modelId="{74510A40-DC6E-45BE-AB2E-3356F395B152}" type="sibTrans" cxnId="{C567BF1D-2993-48B3-842F-0EC927BF0DFD}">
      <dgm:prSet/>
      <dgm:spPr>
        <a:solidFill>
          <a:schemeClr val="accent1">
            <a:alpha val="90000"/>
          </a:schemeClr>
        </a:solidFill>
        <a:ln>
          <a:solidFill>
            <a:schemeClr val="accent3">
              <a:lumMod val="75000"/>
              <a:alpha val="90000"/>
            </a:schemeClr>
          </a:solidFill>
        </a:ln>
      </dgm:spPr>
      <dgm:t>
        <a:bodyPr/>
        <a:lstStyle/>
        <a:p>
          <a:endParaRPr lang="pl-PL" b="1">
            <a:latin typeface="+mn-lt"/>
          </a:endParaRPr>
        </a:p>
      </dgm:t>
    </dgm:pt>
    <dgm:pt modelId="{E981327D-45B9-4981-849A-333A5ECD60C9}">
      <dgm:prSet phldrT="[Tekst]" custT="1"/>
      <dgm:spPr>
        <a:solidFill>
          <a:schemeClr val="bg2"/>
        </a:solidFill>
      </dgm:spPr>
      <dgm:t>
        <a:bodyPr/>
        <a:lstStyle/>
        <a:p>
          <a:r>
            <a:rPr lang="pl-PL" sz="1000" b="1">
              <a:solidFill>
                <a:schemeClr val="accent1"/>
              </a:solidFill>
              <a:latin typeface="+mn-lt"/>
            </a:rPr>
            <a:t>II ETAP</a:t>
          </a:r>
          <a:r>
            <a:rPr lang="pl-PL" sz="1000" b="0">
              <a:solidFill>
                <a:schemeClr val="tx2"/>
              </a:solidFill>
              <a:latin typeface="+mn-lt"/>
            </a:rPr>
            <a:t>: </a:t>
          </a:r>
          <a:r>
            <a:rPr lang="pl-PL" sz="1000" b="0">
              <a:latin typeface="+mn-lt"/>
            </a:rPr>
            <a:t>DIAGNOZA POGŁĘBIONA-KONTEKSTOWA. ANALIZA PEST </a:t>
          </a:r>
        </a:p>
      </dgm:t>
    </dgm:pt>
    <dgm:pt modelId="{10F68BF4-5614-4B97-93A9-67EA1131690D}" type="parTrans" cxnId="{0B73A4FC-4CEF-45AB-9EEB-B080FEF9B89C}">
      <dgm:prSet/>
      <dgm:spPr/>
      <dgm:t>
        <a:bodyPr/>
        <a:lstStyle/>
        <a:p>
          <a:endParaRPr lang="pl-PL" b="1">
            <a:latin typeface="+mn-lt"/>
          </a:endParaRPr>
        </a:p>
      </dgm:t>
    </dgm:pt>
    <dgm:pt modelId="{F67D6011-BF6A-4423-9F6E-F2E8683FDBB0}" type="sibTrans" cxnId="{0B73A4FC-4CEF-45AB-9EEB-B080FEF9B89C}">
      <dgm:prSet/>
      <dgm:spPr>
        <a:solidFill>
          <a:schemeClr val="accent1">
            <a:alpha val="90000"/>
          </a:schemeClr>
        </a:solidFill>
        <a:ln>
          <a:solidFill>
            <a:schemeClr val="accent3">
              <a:lumMod val="75000"/>
              <a:alpha val="90000"/>
            </a:schemeClr>
          </a:solidFill>
        </a:ln>
      </dgm:spPr>
      <dgm:t>
        <a:bodyPr/>
        <a:lstStyle/>
        <a:p>
          <a:endParaRPr lang="pl-PL" b="1">
            <a:latin typeface="+mn-lt"/>
          </a:endParaRPr>
        </a:p>
      </dgm:t>
    </dgm:pt>
    <dgm:pt modelId="{1CB0E0E0-4658-4E33-A980-BEA21B4FCC08}">
      <dgm:prSet phldrT="[Tekst]" custT="1"/>
      <dgm:spPr>
        <a:solidFill>
          <a:schemeClr val="bg2"/>
        </a:solidFill>
      </dgm:spPr>
      <dgm:t>
        <a:bodyPr/>
        <a:lstStyle/>
        <a:p>
          <a:r>
            <a:rPr lang="pl-PL" sz="1000" b="1">
              <a:solidFill>
                <a:schemeClr val="accent1"/>
              </a:solidFill>
              <a:latin typeface="+mn-lt"/>
            </a:rPr>
            <a:t>V ETAP:  </a:t>
          </a:r>
          <a:r>
            <a:rPr lang="pl-PL" sz="1000" b="0">
              <a:latin typeface="+mn-lt"/>
            </a:rPr>
            <a:t>OKREŚLENIE DETERMINANT I WYZWAŃ ROZWOJOWYCH  </a:t>
          </a:r>
        </a:p>
      </dgm:t>
    </dgm:pt>
    <dgm:pt modelId="{812EC29E-67DE-4990-A5F8-405F20DA82CD}" type="parTrans" cxnId="{B9998724-30B9-4765-B4CA-AABC37D50822}">
      <dgm:prSet/>
      <dgm:spPr/>
      <dgm:t>
        <a:bodyPr/>
        <a:lstStyle/>
        <a:p>
          <a:endParaRPr lang="pl-PL" b="1">
            <a:latin typeface="+mn-lt"/>
          </a:endParaRPr>
        </a:p>
      </dgm:t>
    </dgm:pt>
    <dgm:pt modelId="{86581052-2746-4245-8B47-0E2AAA82A965}" type="sibTrans" cxnId="{B9998724-30B9-4765-B4CA-AABC37D50822}">
      <dgm:prSet/>
      <dgm:spPr/>
      <dgm:t>
        <a:bodyPr/>
        <a:lstStyle/>
        <a:p>
          <a:endParaRPr lang="pl-PL" b="1">
            <a:latin typeface="+mn-lt"/>
          </a:endParaRPr>
        </a:p>
      </dgm:t>
    </dgm:pt>
    <dgm:pt modelId="{75E4BA60-836F-4618-A909-ACD4517D38B2}">
      <dgm:prSet custT="1"/>
      <dgm:spPr>
        <a:solidFill>
          <a:schemeClr val="bg2"/>
        </a:solidFill>
      </dgm:spPr>
      <dgm:t>
        <a:bodyPr/>
        <a:lstStyle/>
        <a:p>
          <a:r>
            <a:rPr lang="pl-PL" sz="1000" b="1">
              <a:solidFill>
                <a:schemeClr val="accent1"/>
              </a:solidFill>
              <a:latin typeface="+mn-lt"/>
            </a:rPr>
            <a:t>IV ETAP: </a:t>
          </a:r>
          <a:r>
            <a:rPr lang="pl-PL" sz="1000" b="0">
              <a:latin typeface="+mn-lt"/>
            </a:rPr>
            <a:t>POTWIERDZENIE ZASADNOŚCI REALIZACJI KIERUNKÓW ROZWOJOWYCH W OPARCIU O WYNIKI DIAGNOZY</a:t>
          </a:r>
          <a:endParaRPr lang="pl-PL" sz="1000" b="0">
            <a:solidFill>
              <a:sysClr val="windowText" lastClr="000000"/>
            </a:solidFill>
            <a:latin typeface="+mn-lt"/>
          </a:endParaRPr>
        </a:p>
      </dgm:t>
    </dgm:pt>
    <dgm:pt modelId="{C0C682CB-B8BD-4652-B39B-4DBA8782918F}" type="parTrans" cxnId="{791BA96F-E5B1-4C7B-8AD9-59EF46595C9F}">
      <dgm:prSet/>
      <dgm:spPr/>
      <dgm:t>
        <a:bodyPr/>
        <a:lstStyle/>
        <a:p>
          <a:endParaRPr lang="pl-PL" b="1">
            <a:latin typeface="+mn-lt"/>
          </a:endParaRPr>
        </a:p>
      </dgm:t>
    </dgm:pt>
    <dgm:pt modelId="{6CDB127B-15BE-4DAB-A78C-0F459DD7504A}" type="sibTrans" cxnId="{791BA96F-E5B1-4C7B-8AD9-59EF46595C9F}">
      <dgm:prSet/>
      <dgm:spPr>
        <a:solidFill>
          <a:schemeClr val="accent1">
            <a:alpha val="90000"/>
          </a:schemeClr>
        </a:solidFill>
        <a:ln>
          <a:solidFill>
            <a:schemeClr val="accent3">
              <a:lumMod val="75000"/>
              <a:alpha val="90000"/>
            </a:schemeClr>
          </a:solidFill>
        </a:ln>
      </dgm:spPr>
      <dgm:t>
        <a:bodyPr/>
        <a:lstStyle/>
        <a:p>
          <a:endParaRPr lang="pl-PL" b="1">
            <a:latin typeface="+mn-lt"/>
          </a:endParaRPr>
        </a:p>
      </dgm:t>
    </dgm:pt>
    <dgm:pt modelId="{4613D2F9-9C9D-463C-BD16-71880C3DAD8B}">
      <dgm:prSet custT="1"/>
      <dgm:spPr>
        <a:solidFill>
          <a:schemeClr val="bg2"/>
        </a:solidFill>
      </dgm:spPr>
      <dgm:t>
        <a:bodyPr/>
        <a:lstStyle/>
        <a:p>
          <a:r>
            <a:rPr lang="pl-PL" sz="1000" b="1">
              <a:solidFill>
                <a:schemeClr val="accent1"/>
              </a:solidFill>
              <a:latin typeface="+mn-lt"/>
            </a:rPr>
            <a:t>III ETAP</a:t>
          </a:r>
          <a:r>
            <a:rPr lang="pl-PL" sz="1000" b="0">
              <a:solidFill>
                <a:schemeClr val="accent1"/>
              </a:solidFill>
              <a:latin typeface="+mn-lt"/>
            </a:rPr>
            <a:t>: </a:t>
          </a:r>
          <a:r>
            <a:rPr lang="pl-PL" sz="1000" b="0">
              <a:latin typeface="+mn-lt"/>
            </a:rPr>
            <a:t>OKREŚLENIE SŁABYCH I MOCNYCH STRON ORAZ SZANS I ZAGROŻEŃ </a:t>
          </a:r>
        </a:p>
      </dgm:t>
    </dgm:pt>
    <dgm:pt modelId="{2F9D7817-2958-4C54-AF68-78A7D51CF0BD}" type="parTrans" cxnId="{E6F5EAA4-04C0-4895-8D75-3FAF9F69F197}">
      <dgm:prSet/>
      <dgm:spPr/>
      <dgm:t>
        <a:bodyPr/>
        <a:lstStyle/>
        <a:p>
          <a:endParaRPr lang="pl-PL" b="1">
            <a:latin typeface="+mn-lt"/>
          </a:endParaRPr>
        </a:p>
      </dgm:t>
    </dgm:pt>
    <dgm:pt modelId="{82AF81A6-B4FF-4721-A5BC-E8E888602431}" type="sibTrans" cxnId="{E6F5EAA4-04C0-4895-8D75-3FAF9F69F197}">
      <dgm:prSet/>
      <dgm:spPr>
        <a:solidFill>
          <a:schemeClr val="accent1">
            <a:alpha val="90000"/>
          </a:schemeClr>
        </a:solidFill>
        <a:ln>
          <a:solidFill>
            <a:schemeClr val="accent3">
              <a:lumMod val="75000"/>
              <a:alpha val="90000"/>
            </a:schemeClr>
          </a:solidFill>
        </a:ln>
      </dgm:spPr>
      <dgm:t>
        <a:bodyPr/>
        <a:lstStyle/>
        <a:p>
          <a:endParaRPr lang="pl-PL" b="1">
            <a:latin typeface="+mn-lt"/>
          </a:endParaRPr>
        </a:p>
      </dgm:t>
    </dgm:pt>
    <dgm:pt modelId="{B5D05110-0994-4113-9D67-E6CA051243B2}" type="pres">
      <dgm:prSet presAssocID="{5307959F-C61D-4D06-80B1-0877FAC948D4}" presName="outerComposite" presStyleCnt="0">
        <dgm:presLayoutVars>
          <dgm:chMax val="5"/>
          <dgm:dir/>
          <dgm:resizeHandles val="exact"/>
        </dgm:presLayoutVars>
      </dgm:prSet>
      <dgm:spPr/>
    </dgm:pt>
    <dgm:pt modelId="{D8754D8A-8658-48EC-8B79-0A584F6B76CF}" type="pres">
      <dgm:prSet presAssocID="{5307959F-C61D-4D06-80B1-0877FAC948D4}" presName="dummyMaxCanvas" presStyleCnt="0">
        <dgm:presLayoutVars/>
      </dgm:prSet>
      <dgm:spPr/>
    </dgm:pt>
    <dgm:pt modelId="{8E3C2826-7830-41E9-BBF9-8992E0376B1E}" type="pres">
      <dgm:prSet presAssocID="{5307959F-C61D-4D06-80B1-0877FAC948D4}" presName="FiveNodes_1" presStyleLbl="node1" presStyleIdx="0" presStyleCnt="5">
        <dgm:presLayoutVars>
          <dgm:bulletEnabled val="1"/>
        </dgm:presLayoutVars>
      </dgm:prSet>
      <dgm:spPr/>
    </dgm:pt>
    <dgm:pt modelId="{14951532-EDAA-4F26-9E6B-AC221756D374}" type="pres">
      <dgm:prSet presAssocID="{5307959F-C61D-4D06-80B1-0877FAC948D4}" presName="FiveNodes_2" presStyleLbl="node1" presStyleIdx="1" presStyleCnt="5">
        <dgm:presLayoutVars>
          <dgm:bulletEnabled val="1"/>
        </dgm:presLayoutVars>
      </dgm:prSet>
      <dgm:spPr/>
    </dgm:pt>
    <dgm:pt modelId="{203AB743-F4B3-40D5-B3C1-0201D3AF5C45}" type="pres">
      <dgm:prSet presAssocID="{5307959F-C61D-4D06-80B1-0877FAC948D4}" presName="FiveNodes_3" presStyleLbl="node1" presStyleIdx="2" presStyleCnt="5" custLinFactNeighborX="1567" custLinFactNeighborY="-2021">
        <dgm:presLayoutVars>
          <dgm:bulletEnabled val="1"/>
        </dgm:presLayoutVars>
      </dgm:prSet>
      <dgm:spPr/>
    </dgm:pt>
    <dgm:pt modelId="{BF8488D1-276C-4975-A830-8CCD31508A16}" type="pres">
      <dgm:prSet presAssocID="{5307959F-C61D-4D06-80B1-0877FAC948D4}" presName="FiveNodes_4" presStyleLbl="node1" presStyleIdx="3" presStyleCnt="5">
        <dgm:presLayoutVars>
          <dgm:bulletEnabled val="1"/>
        </dgm:presLayoutVars>
      </dgm:prSet>
      <dgm:spPr/>
    </dgm:pt>
    <dgm:pt modelId="{260338B6-29B5-4C87-B625-DA450009748E}" type="pres">
      <dgm:prSet presAssocID="{5307959F-C61D-4D06-80B1-0877FAC948D4}" presName="FiveNodes_5" presStyleLbl="node1" presStyleIdx="4" presStyleCnt="5">
        <dgm:presLayoutVars>
          <dgm:bulletEnabled val="1"/>
        </dgm:presLayoutVars>
      </dgm:prSet>
      <dgm:spPr/>
    </dgm:pt>
    <dgm:pt modelId="{C41B5219-FFC6-4419-8F56-38385637F9F2}" type="pres">
      <dgm:prSet presAssocID="{5307959F-C61D-4D06-80B1-0877FAC948D4}" presName="FiveConn_1-2" presStyleLbl="fgAccFollowNode1" presStyleIdx="0" presStyleCnt="4">
        <dgm:presLayoutVars>
          <dgm:bulletEnabled val="1"/>
        </dgm:presLayoutVars>
      </dgm:prSet>
      <dgm:spPr/>
    </dgm:pt>
    <dgm:pt modelId="{E7CC44AA-EE1F-4310-8473-CAF33D8F7651}" type="pres">
      <dgm:prSet presAssocID="{5307959F-C61D-4D06-80B1-0877FAC948D4}" presName="FiveConn_2-3" presStyleLbl="fgAccFollowNode1" presStyleIdx="1" presStyleCnt="4">
        <dgm:presLayoutVars>
          <dgm:bulletEnabled val="1"/>
        </dgm:presLayoutVars>
      </dgm:prSet>
      <dgm:spPr/>
    </dgm:pt>
    <dgm:pt modelId="{3AF97E10-401D-4F5E-9C84-B3746251DFA2}" type="pres">
      <dgm:prSet presAssocID="{5307959F-C61D-4D06-80B1-0877FAC948D4}" presName="FiveConn_3-4" presStyleLbl="fgAccFollowNode1" presStyleIdx="2" presStyleCnt="4">
        <dgm:presLayoutVars>
          <dgm:bulletEnabled val="1"/>
        </dgm:presLayoutVars>
      </dgm:prSet>
      <dgm:spPr/>
    </dgm:pt>
    <dgm:pt modelId="{B1D4537E-7BCA-4CB3-8F67-AE841E21505A}" type="pres">
      <dgm:prSet presAssocID="{5307959F-C61D-4D06-80B1-0877FAC948D4}" presName="FiveConn_4-5" presStyleLbl="fgAccFollowNode1" presStyleIdx="3" presStyleCnt="4">
        <dgm:presLayoutVars>
          <dgm:bulletEnabled val="1"/>
        </dgm:presLayoutVars>
      </dgm:prSet>
      <dgm:spPr/>
    </dgm:pt>
    <dgm:pt modelId="{C94B2923-31D1-4F71-9A2F-EC5CC9D37732}" type="pres">
      <dgm:prSet presAssocID="{5307959F-C61D-4D06-80B1-0877FAC948D4}" presName="FiveNodes_1_text" presStyleLbl="node1" presStyleIdx="4" presStyleCnt="5">
        <dgm:presLayoutVars>
          <dgm:bulletEnabled val="1"/>
        </dgm:presLayoutVars>
      </dgm:prSet>
      <dgm:spPr/>
    </dgm:pt>
    <dgm:pt modelId="{885CD630-B8D0-4397-AC05-9077ADB5C7E1}" type="pres">
      <dgm:prSet presAssocID="{5307959F-C61D-4D06-80B1-0877FAC948D4}" presName="FiveNodes_2_text" presStyleLbl="node1" presStyleIdx="4" presStyleCnt="5">
        <dgm:presLayoutVars>
          <dgm:bulletEnabled val="1"/>
        </dgm:presLayoutVars>
      </dgm:prSet>
      <dgm:spPr/>
    </dgm:pt>
    <dgm:pt modelId="{B5BF3F36-2083-4AD2-BDA5-07B8267D8CFA}" type="pres">
      <dgm:prSet presAssocID="{5307959F-C61D-4D06-80B1-0877FAC948D4}" presName="FiveNodes_3_text" presStyleLbl="node1" presStyleIdx="4" presStyleCnt="5">
        <dgm:presLayoutVars>
          <dgm:bulletEnabled val="1"/>
        </dgm:presLayoutVars>
      </dgm:prSet>
      <dgm:spPr/>
    </dgm:pt>
    <dgm:pt modelId="{53DE1852-32A0-4C75-B330-D64914E3711F}" type="pres">
      <dgm:prSet presAssocID="{5307959F-C61D-4D06-80B1-0877FAC948D4}" presName="FiveNodes_4_text" presStyleLbl="node1" presStyleIdx="4" presStyleCnt="5">
        <dgm:presLayoutVars>
          <dgm:bulletEnabled val="1"/>
        </dgm:presLayoutVars>
      </dgm:prSet>
      <dgm:spPr/>
    </dgm:pt>
    <dgm:pt modelId="{7C775222-E251-4DDF-93A1-9BC77DF9697E}" type="pres">
      <dgm:prSet presAssocID="{5307959F-C61D-4D06-80B1-0877FAC948D4}" presName="FiveNodes_5_text" presStyleLbl="node1" presStyleIdx="4" presStyleCnt="5">
        <dgm:presLayoutVars>
          <dgm:bulletEnabled val="1"/>
        </dgm:presLayoutVars>
      </dgm:prSet>
      <dgm:spPr/>
    </dgm:pt>
  </dgm:ptLst>
  <dgm:cxnLst>
    <dgm:cxn modelId="{F0315001-E823-45DF-90D4-2518B134592E}" type="presOf" srcId="{2176B1FE-7497-4C07-BC44-0D851E14635B}" destId="{8E3C2826-7830-41E9-BBF9-8992E0376B1E}" srcOrd="0" destOrd="0" presId="urn:microsoft.com/office/officeart/2005/8/layout/vProcess5"/>
    <dgm:cxn modelId="{7B9F9C11-644A-4936-BE34-F556745C9967}" type="presOf" srcId="{4613D2F9-9C9D-463C-BD16-71880C3DAD8B}" destId="{B5BF3F36-2083-4AD2-BDA5-07B8267D8CFA}" srcOrd="1" destOrd="0" presId="urn:microsoft.com/office/officeart/2005/8/layout/vProcess5"/>
    <dgm:cxn modelId="{C567BF1D-2993-48B3-842F-0EC927BF0DFD}" srcId="{5307959F-C61D-4D06-80B1-0877FAC948D4}" destId="{2176B1FE-7497-4C07-BC44-0D851E14635B}" srcOrd="0" destOrd="0" parTransId="{1030880B-581A-4096-8DB4-5F9D5675CE85}" sibTransId="{74510A40-DC6E-45BE-AB2E-3356F395B152}"/>
    <dgm:cxn modelId="{B9998724-30B9-4765-B4CA-AABC37D50822}" srcId="{5307959F-C61D-4D06-80B1-0877FAC948D4}" destId="{1CB0E0E0-4658-4E33-A980-BEA21B4FCC08}" srcOrd="4" destOrd="0" parTransId="{812EC29E-67DE-4990-A5F8-405F20DA82CD}" sibTransId="{86581052-2746-4245-8B47-0E2AAA82A965}"/>
    <dgm:cxn modelId="{E0613F2E-D6B9-4B86-B9ED-3C5036211B25}" type="presOf" srcId="{75E4BA60-836F-4618-A909-ACD4517D38B2}" destId="{53DE1852-32A0-4C75-B330-D64914E3711F}" srcOrd="1" destOrd="0" presId="urn:microsoft.com/office/officeart/2005/8/layout/vProcess5"/>
    <dgm:cxn modelId="{B18EBE61-6849-4FC9-83C5-1089DBD97BCE}" type="presOf" srcId="{6CDB127B-15BE-4DAB-A78C-0F459DD7504A}" destId="{B1D4537E-7BCA-4CB3-8F67-AE841E21505A}" srcOrd="0" destOrd="0" presId="urn:microsoft.com/office/officeart/2005/8/layout/vProcess5"/>
    <dgm:cxn modelId="{EB47BC47-0503-40F0-8FAB-A378FBC4D1BA}" type="presOf" srcId="{E981327D-45B9-4981-849A-333A5ECD60C9}" destId="{885CD630-B8D0-4397-AC05-9077ADB5C7E1}" srcOrd="1" destOrd="0" presId="urn:microsoft.com/office/officeart/2005/8/layout/vProcess5"/>
    <dgm:cxn modelId="{791BA96F-E5B1-4C7B-8AD9-59EF46595C9F}" srcId="{5307959F-C61D-4D06-80B1-0877FAC948D4}" destId="{75E4BA60-836F-4618-A909-ACD4517D38B2}" srcOrd="3" destOrd="0" parTransId="{C0C682CB-B8BD-4652-B39B-4DBA8782918F}" sibTransId="{6CDB127B-15BE-4DAB-A78C-0F459DD7504A}"/>
    <dgm:cxn modelId="{393C5756-C385-4192-9B52-00186D7FD7D6}" type="presOf" srcId="{1CB0E0E0-4658-4E33-A980-BEA21B4FCC08}" destId="{7C775222-E251-4DDF-93A1-9BC77DF9697E}" srcOrd="1" destOrd="0" presId="urn:microsoft.com/office/officeart/2005/8/layout/vProcess5"/>
    <dgm:cxn modelId="{76D9AE59-7321-4ECA-B7C1-348668EA4E53}" type="presOf" srcId="{2176B1FE-7497-4C07-BC44-0D851E14635B}" destId="{C94B2923-31D1-4F71-9A2F-EC5CC9D37732}" srcOrd="1" destOrd="0" presId="urn:microsoft.com/office/officeart/2005/8/layout/vProcess5"/>
    <dgm:cxn modelId="{9A839490-579A-4ACC-9E6D-EB206716CAD5}" type="presOf" srcId="{82AF81A6-B4FF-4721-A5BC-E8E888602431}" destId="{3AF97E10-401D-4F5E-9C84-B3746251DFA2}" srcOrd="0" destOrd="0" presId="urn:microsoft.com/office/officeart/2005/8/layout/vProcess5"/>
    <dgm:cxn modelId="{B548C99E-7005-403F-A9A7-8B15B012FBC6}" type="presOf" srcId="{E981327D-45B9-4981-849A-333A5ECD60C9}" destId="{14951532-EDAA-4F26-9E6B-AC221756D374}" srcOrd="0" destOrd="0" presId="urn:microsoft.com/office/officeart/2005/8/layout/vProcess5"/>
    <dgm:cxn modelId="{960AA6A1-BD8A-40EF-8826-91FAFE4CAE51}" type="presOf" srcId="{4613D2F9-9C9D-463C-BD16-71880C3DAD8B}" destId="{203AB743-F4B3-40D5-B3C1-0201D3AF5C45}" srcOrd="0" destOrd="0" presId="urn:microsoft.com/office/officeart/2005/8/layout/vProcess5"/>
    <dgm:cxn modelId="{E6F5EAA4-04C0-4895-8D75-3FAF9F69F197}" srcId="{5307959F-C61D-4D06-80B1-0877FAC948D4}" destId="{4613D2F9-9C9D-463C-BD16-71880C3DAD8B}" srcOrd="2" destOrd="0" parTransId="{2F9D7817-2958-4C54-AF68-78A7D51CF0BD}" sibTransId="{82AF81A6-B4FF-4721-A5BC-E8E888602431}"/>
    <dgm:cxn modelId="{95E613AF-ED7C-43CB-BA5F-EEE2009C3542}" type="presOf" srcId="{74510A40-DC6E-45BE-AB2E-3356F395B152}" destId="{C41B5219-FFC6-4419-8F56-38385637F9F2}" srcOrd="0" destOrd="0" presId="urn:microsoft.com/office/officeart/2005/8/layout/vProcess5"/>
    <dgm:cxn modelId="{DD0589D7-7471-413A-ABD8-CE32BCF827AB}" type="presOf" srcId="{F67D6011-BF6A-4423-9F6E-F2E8683FDBB0}" destId="{E7CC44AA-EE1F-4310-8473-CAF33D8F7651}" srcOrd="0" destOrd="0" presId="urn:microsoft.com/office/officeart/2005/8/layout/vProcess5"/>
    <dgm:cxn modelId="{DDD91DDA-5A8C-47AF-AB7A-1677A7E00615}" type="presOf" srcId="{75E4BA60-836F-4618-A909-ACD4517D38B2}" destId="{BF8488D1-276C-4975-A830-8CCD31508A16}" srcOrd="0" destOrd="0" presId="urn:microsoft.com/office/officeart/2005/8/layout/vProcess5"/>
    <dgm:cxn modelId="{0EE433E0-641A-4853-952B-92236E9C4DF4}" type="presOf" srcId="{5307959F-C61D-4D06-80B1-0877FAC948D4}" destId="{B5D05110-0994-4113-9D67-E6CA051243B2}" srcOrd="0" destOrd="0" presId="urn:microsoft.com/office/officeart/2005/8/layout/vProcess5"/>
    <dgm:cxn modelId="{0B73A4FC-4CEF-45AB-9EEB-B080FEF9B89C}" srcId="{5307959F-C61D-4D06-80B1-0877FAC948D4}" destId="{E981327D-45B9-4981-849A-333A5ECD60C9}" srcOrd="1" destOrd="0" parTransId="{10F68BF4-5614-4B97-93A9-67EA1131690D}" sibTransId="{F67D6011-BF6A-4423-9F6E-F2E8683FDBB0}"/>
    <dgm:cxn modelId="{246B80FD-7E99-437A-93A5-8CAED1F85CA5}" type="presOf" srcId="{1CB0E0E0-4658-4E33-A980-BEA21B4FCC08}" destId="{260338B6-29B5-4C87-B625-DA450009748E}" srcOrd="0" destOrd="0" presId="urn:microsoft.com/office/officeart/2005/8/layout/vProcess5"/>
    <dgm:cxn modelId="{5C479BC8-F81C-4335-8F8D-8F746FA4FF8C}" type="presParOf" srcId="{B5D05110-0994-4113-9D67-E6CA051243B2}" destId="{D8754D8A-8658-48EC-8B79-0A584F6B76CF}" srcOrd="0" destOrd="0" presId="urn:microsoft.com/office/officeart/2005/8/layout/vProcess5"/>
    <dgm:cxn modelId="{E9FA1FC3-E3DF-4CAF-8483-5F6081846AA6}" type="presParOf" srcId="{B5D05110-0994-4113-9D67-E6CA051243B2}" destId="{8E3C2826-7830-41E9-BBF9-8992E0376B1E}" srcOrd="1" destOrd="0" presId="urn:microsoft.com/office/officeart/2005/8/layout/vProcess5"/>
    <dgm:cxn modelId="{F406A921-9C72-47DE-AF51-AD728237B035}" type="presParOf" srcId="{B5D05110-0994-4113-9D67-E6CA051243B2}" destId="{14951532-EDAA-4F26-9E6B-AC221756D374}" srcOrd="2" destOrd="0" presId="urn:microsoft.com/office/officeart/2005/8/layout/vProcess5"/>
    <dgm:cxn modelId="{5B6C33CE-9610-431B-B492-BAC160FFC19A}" type="presParOf" srcId="{B5D05110-0994-4113-9D67-E6CA051243B2}" destId="{203AB743-F4B3-40D5-B3C1-0201D3AF5C45}" srcOrd="3" destOrd="0" presId="urn:microsoft.com/office/officeart/2005/8/layout/vProcess5"/>
    <dgm:cxn modelId="{370BEDC6-7C8E-4631-9CFD-09D992C8AE69}" type="presParOf" srcId="{B5D05110-0994-4113-9D67-E6CA051243B2}" destId="{BF8488D1-276C-4975-A830-8CCD31508A16}" srcOrd="4" destOrd="0" presId="urn:microsoft.com/office/officeart/2005/8/layout/vProcess5"/>
    <dgm:cxn modelId="{148D9612-70F0-4A71-9A70-64703CDAB507}" type="presParOf" srcId="{B5D05110-0994-4113-9D67-E6CA051243B2}" destId="{260338B6-29B5-4C87-B625-DA450009748E}" srcOrd="5" destOrd="0" presId="urn:microsoft.com/office/officeart/2005/8/layout/vProcess5"/>
    <dgm:cxn modelId="{26D6BC0E-2589-4D50-B911-C7044F75B939}" type="presParOf" srcId="{B5D05110-0994-4113-9D67-E6CA051243B2}" destId="{C41B5219-FFC6-4419-8F56-38385637F9F2}" srcOrd="6" destOrd="0" presId="urn:microsoft.com/office/officeart/2005/8/layout/vProcess5"/>
    <dgm:cxn modelId="{8721135B-8336-4518-9D64-FD62D8079F2A}" type="presParOf" srcId="{B5D05110-0994-4113-9D67-E6CA051243B2}" destId="{E7CC44AA-EE1F-4310-8473-CAF33D8F7651}" srcOrd="7" destOrd="0" presId="urn:microsoft.com/office/officeart/2005/8/layout/vProcess5"/>
    <dgm:cxn modelId="{D46B4C4A-770A-400B-B348-52B3673441FB}" type="presParOf" srcId="{B5D05110-0994-4113-9D67-E6CA051243B2}" destId="{3AF97E10-401D-4F5E-9C84-B3746251DFA2}" srcOrd="8" destOrd="0" presId="urn:microsoft.com/office/officeart/2005/8/layout/vProcess5"/>
    <dgm:cxn modelId="{7A03C5ED-7EF4-4F7D-AA20-BFFD9D910304}" type="presParOf" srcId="{B5D05110-0994-4113-9D67-E6CA051243B2}" destId="{B1D4537E-7BCA-4CB3-8F67-AE841E21505A}" srcOrd="9" destOrd="0" presId="urn:microsoft.com/office/officeart/2005/8/layout/vProcess5"/>
    <dgm:cxn modelId="{0F99C566-E035-4088-982B-9B188304282D}" type="presParOf" srcId="{B5D05110-0994-4113-9D67-E6CA051243B2}" destId="{C94B2923-31D1-4F71-9A2F-EC5CC9D37732}" srcOrd="10" destOrd="0" presId="urn:microsoft.com/office/officeart/2005/8/layout/vProcess5"/>
    <dgm:cxn modelId="{F877E994-6BFF-4E8D-B5F0-FA58B913F8DB}" type="presParOf" srcId="{B5D05110-0994-4113-9D67-E6CA051243B2}" destId="{885CD630-B8D0-4397-AC05-9077ADB5C7E1}" srcOrd="11" destOrd="0" presId="urn:microsoft.com/office/officeart/2005/8/layout/vProcess5"/>
    <dgm:cxn modelId="{80562ED3-2338-403B-A13E-33E36904F798}" type="presParOf" srcId="{B5D05110-0994-4113-9D67-E6CA051243B2}" destId="{B5BF3F36-2083-4AD2-BDA5-07B8267D8CFA}" srcOrd="12" destOrd="0" presId="urn:microsoft.com/office/officeart/2005/8/layout/vProcess5"/>
    <dgm:cxn modelId="{AAB3EBC3-377D-4FD4-8C40-C92D694C29F5}" type="presParOf" srcId="{B5D05110-0994-4113-9D67-E6CA051243B2}" destId="{53DE1852-32A0-4C75-B330-D64914E3711F}" srcOrd="13" destOrd="0" presId="urn:microsoft.com/office/officeart/2005/8/layout/vProcess5"/>
    <dgm:cxn modelId="{8C0A91C6-6EE7-46F3-B721-E4EC7C9590B0}" type="presParOf" srcId="{B5D05110-0994-4113-9D67-E6CA051243B2}" destId="{7C775222-E251-4DDF-93A1-9BC77DF9697E}" srcOrd="14" destOrd="0" presId="urn:microsoft.com/office/officeart/2005/8/layout/vProcess5"/>
  </dgm:cxnLst>
  <dgm:bg/>
  <dgm:whole>
    <a:ln>
      <a:solidFill>
        <a:schemeClr val="tx2"/>
      </a:solidFill>
    </a:ln>
  </dgm:whole>
  <dgm:extLst>
    <a:ext uri="http://schemas.microsoft.com/office/drawing/2008/diagram">
      <dsp:dataModelExt xmlns:dsp="http://schemas.microsoft.com/office/drawing/2008/diagram" relId="rId23"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3B158C9D-B61A-4FC2-B0D0-B6053DC1F1DA}" type="doc">
      <dgm:prSet loTypeId="urn:microsoft.com/office/officeart/2005/8/layout/cycle4" loCatId="matrix" qsTypeId="urn:microsoft.com/office/officeart/2005/8/quickstyle/simple1" qsCatId="simple" csTypeId="urn:microsoft.com/office/officeart/2005/8/colors/accent3_1" csCatId="accent3" phldr="1"/>
      <dgm:spPr/>
      <dgm:t>
        <a:bodyPr/>
        <a:lstStyle/>
        <a:p>
          <a:endParaRPr lang="pl-PL"/>
        </a:p>
      </dgm:t>
    </dgm:pt>
    <dgm:pt modelId="{6D28F7F7-B4B1-4242-B7E2-A4770392E4B0}">
      <dgm:prSet phldrT="[Tekst]" custT="1"/>
      <dgm:spPr>
        <a:ln>
          <a:solidFill>
            <a:schemeClr val="accent1"/>
          </a:solidFill>
        </a:ln>
      </dgm:spPr>
      <dgm:t>
        <a:bodyPr/>
        <a:lstStyle/>
        <a:p>
          <a:pPr algn="ctr"/>
          <a:r>
            <a:rPr lang="pl-PL" sz="900" b="1"/>
            <a:t>Konkurencyjna gospodarka oparta na endogennych potencjałach Partnerstwa  </a:t>
          </a:r>
        </a:p>
      </dgm:t>
    </dgm:pt>
    <dgm:pt modelId="{FA02F68D-1D66-44C4-8482-1ACC513005FD}" type="parTrans" cxnId="{6B97064F-9708-4675-920A-168B1192215C}">
      <dgm:prSet/>
      <dgm:spPr/>
      <dgm:t>
        <a:bodyPr/>
        <a:lstStyle/>
        <a:p>
          <a:pPr algn="ctr"/>
          <a:endParaRPr lang="pl-PL"/>
        </a:p>
      </dgm:t>
    </dgm:pt>
    <dgm:pt modelId="{EFE2F28A-CA32-4D20-94C6-B62516BFDA75}" type="sibTrans" cxnId="{6B97064F-9708-4675-920A-168B1192215C}">
      <dgm:prSet/>
      <dgm:spPr/>
      <dgm:t>
        <a:bodyPr/>
        <a:lstStyle/>
        <a:p>
          <a:pPr algn="ctr"/>
          <a:endParaRPr lang="pl-PL"/>
        </a:p>
      </dgm:t>
    </dgm:pt>
    <dgm:pt modelId="{BC2C72CC-8ED4-46DC-9773-25A9D42D1C72}">
      <dgm:prSet phldrT="[Tekst]" custT="1"/>
      <dgm:spPr>
        <a:ln>
          <a:solidFill>
            <a:schemeClr val="accent1"/>
          </a:solidFill>
        </a:ln>
      </dgm:spPr>
      <dgm:t>
        <a:bodyPr/>
        <a:lstStyle/>
        <a:p>
          <a:pPr algn="ctr"/>
          <a:r>
            <a:rPr lang="pl-PL" sz="900" b="1"/>
            <a:t>Dostępny komunikacyjnie </a:t>
          </a:r>
          <a:br>
            <a:rPr lang="pl-PL" sz="900" b="1"/>
          </a:br>
          <a:r>
            <a:rPr lang="pl-PL" sz="900" b="1"/>
            <a:t>w wymiarze wewnętrznym </a:t>
          </a:r>
          <a:br>
            <a:rPr lang="pl-PL" sz="900" b="1"/>
          </a:br>
          <a:r>
            <a:rPr lang="pl-PL" sz="900" b="1"/>
            <a:t>i zewnętrznym obszar Partnerstwa</a:t>
          </a:r>
        </a:p>
      </dgm:t>
    </dgm:pt>
    <dgm:pt modelId="{81D5B1CF-9677-4BD4-927B-F22516145B10}" type="parTrans" cxnId="{8606581A-151D-4D08-B10F-E50685C2363F}">
      <dgm:prSet/>
      <dgm:spPr/>
      <dgm:t>
        <a:bodyPr/>
        <a:lstStyle/>
        <a:p>
          <a:pPr algn="ctr"/>
          <a:endParaRPr lang="pl-PL"/>
        </a:p>
      </dgm:t>
    </dgm:pt>
    <dgm:pt modelId="{86ED9952-9C2C-4999-BF91-BB16317F2420}" type="sibTrans" cxnId="{8606581A-151D-4D08-B10F-E50685C2363F}">
      <dgm:prSet/>
      <dgm:spPr/>
      <dgm:t>
        <a:bodyPr/>
        <a:lstStyle/>
        <a:p>
          <a:pPr algn="ctr"/>
          <a:endParaRPr lang="pl-PL"/>
        </a:p>
      </dgm:t>
    </dgm:pt>
    <dgm:pt modelId="{187B0E9F-C394-4EA7-9C4B-BE9668F49DF9}">
      <dgm:prSet phldrT="[Tekst]" custT="1"/>
      <dgm:spPr>
        <a:solidFill>
          <a:schemeClr val="accent1">
            <a:lumMod val="20000"/>
            <a:lumOff val="80000"/>
          </a:schemeClr>
        </a:solidFill>
        <a:ln>
          <a:solidFill>
            <a:schemeClr val="accent1"/>
          </a:solidFill>
        </a:ln>
      </dgm:spPr>
      <dgm:t>
        <a:bodyPr/>
        <a:lstStyle/>
        <a:p>
          <a:pPr algn="ctr"/>
          <a:r>
            <a:rPr lang="pl-PL" sz="900" b="1"/>
            <a:t>Wymiar </a:t>
          </a:r>
          <a:br>
            <a:rPr lang="pl-PL" sz="900" b="1"/>
          </a:br>
          <a:r>
            <a:rPr lang="pl-PL" sz="900" b="1"/>
            <a:t>przestrzenny </a:t>
          </a:r>
          <a:br>
            <a:rPr lang="pl-PL" sz="900" b="1"/>
          </a:br>
          <a:r>
            <a:rPr lang="pl-PL" sz="900" b="1"/>
            <a:t>strategii</a:t>
          </a:r>
        </a:p>
      </dgm:t>
    </dgm:pt>
    <dgm:pt modelId="{A5A5BFEF-5A5C-4B92-89A2-6536397D73FF}" type="parTrans" cxnId="{580FF056-6BA5-4C53-ABFB-14A6FD2309B6}">
      <dgm:prSet/>
      <dgm:spPr/>
      <dgm:t>
        <a:bodyPr/>
        <a:lstStyle/>
        <a:p>
          <a:pPr algn="ctr"/>
          <a:endParaRPr lang="pl-PL"/>
        </a:p>
      </dgm:t>
    </dgm:pt>
    <dgm:pt modelId="{5525259E-2D7E-4B61-BD50-1D8F1FA8F334}" type="sibTrans" cxnId="{580FF056-6BA5-4C53-ABFB-14A6FD2309B6}">
      <dgm:prSet/>
      <dgm:spPr/>
      <dgm:t>
        <a:bodyPr/>
        <a:lstStyle/>
        <a:p>
          <a:pPr algn="ctr"/>
          <a:endParaRPr lang="pl-PL"/>
        </a:p>
      </dgm:t>
    </dgm:pt>
    <dgm:pt modelId="{419EEE57-FDE1-4E94-B2CD-B90266EA15BD}">
      <dgm:prSet phldrT="[Tekst]" custT="1"/>
      <dgm:spPr>
        <a:ln>
          <a:solidFill>
            <a:schemeClr val="accent1"/>
          </a:solidFill>
        </a:ln>
      </dgm:spPr>
      <dgm:t>
        <a:bodyPr/>
        <a:lstStyle/>
        <a:p>
          <a:pPr algn="ctr"/>
          <a:r>
            <a:rPr lang="pl-PL" sz="900" b="1"/>
            <a:t>Nowoczesna </a:t>
          </a:r>
          <a:br>
            <a:rPr lang="pl-PL" sz="900" b="1"/>
          </a:br>
          <a:r>
            <a:rPr lang="pl-PL" sz="900" b="1"/>
            <a:t>i zintegrowana   administracja Partnerstwa </a:t>
          </a:r>
        </a:p>
      </dgm:t>
    </dgm:pt>
    <dgm:pt modelId="{90485C8E-63FA-47E1-88C6-99F8B2797048}" type="parTrans" cxnId="{4A8D043C-28B1-4609-B9F1-DA967F36C472}">
      <dgm:prSet/>
      <dgm:spPr/>
      <dgm:t>
        <a:bodyPr/>
        <a:lstStyle/>
        <a:p>
          <a:pPr algn="ctr"/>
          <a:endParaRPr lang="pl-PL"/>
        </a:p>
      </dgm:t>
    </dgm:pt>
    <dgm:pt modelId="{7167428E-4991-4A3B-87B1-BAE8107E55B4}" type="sibTrans" cxnId="{4A8D043C-28B1-4609-B9F1-DA967F36C472}">
      <dgm:prSet/>
      <dgm:spPr/>
      <dgm:t>
        <a:bodyPr/>
        <a:lstStyle/>
        <a:p>
          <a:pPr algn="ctr"/>
          <a:endParaRPr lang="pl-PL"/>
        </a:p>
      </dgm:t>
    </dgm:pt>
    <dgm:pt modelId="{E6E1D3A5-620F-41B4-8E61-01FEBFDDF59B}">
      <dgm:prSet phldrT="[Tekst]" custT="1"/>
      <dgm:spPr>
        <a:solidFill>
          <a:schemeClr val="accent1">
            <a:lumMod val="20000"/>
            <a:lumOff val="80000"/>
            <a:alpha val="90000"/>
          </a:schemeClr>
        </a:solidFill>
        <a:ln>
          <a:solidFill>
            <a:schemeClr val="accent1"/>
          </a:solidFill>
        </a:ln>
      </dgm:spPr>
      <dgm:t>
        <a:bodyPr/>
        <a:lstStyle/>
        <a:p>
          <a:pPr algn="ctr"/>
          <a:r>
            <a:rPr lang="pl-PL" sz="900" b="1"/>
            <a:t>Wymiar instytucjonalny strategii </a:t>
          </a:r>
        </a:p>
      </dgm:t>
    </dgm:pt>
    <dgm:pt modelId="{D33054C5-5E7F-4D89-BC40-F3AC988E0A8C}" type="parTrans" cxnId="{3787FBBC-3655-4070-BBC2-BDE757AE5637}">
      <dgm:prSet/>
      <dgm:spPr/>
      <dgm:t>
        <a:bodyPr/>
        <a:lstStyle/>
        <a:p>
          <a:pPr algn="ctr"/>
          <a:endParaRPr lang="pl-PL"/>
        </a:p>
      </dgm:t>
    </dgm:pt>
    <dgm:pt modelId="{3091F685-6A2C-49D1-A538-C5E0A54113CC}" type="sibTrans" cxnId="{3787FBBC-3655-4070-BBC2-BDE757AE5637}">
      <dgm:prSet/>
      <dgm:spPr/>
      <dgm:t>
        <a:bodyPr/>
        <a:lstStyle/>
        <a:p>
          <a:pPr algn="ctr"/>
          <a:endParaRPr lang="pl-PL"/>
        </a:p>
      </dgm:t>
    </dgm:pt>
    <dgm:pt modelId="{103BAEFE-0E09-4FB0-99F4-6B9E24959C26}">
      <dgm:prSet phldrT="[Tekst]" custT="1"/>
      <dgm:spPr>
        <a:ln>
          <a:solidFill>
            <a:schemeClr val="accent1"/>
          </a:solidFill>
        </a:ln>
      </dgm:spPr>
      <dgm:t>
        <a:bodyPr/>
        <a:lstStyle/>
        <a:p>
          <a:pPr algn="ctr"/>
          <a:r>
            <a:rPr lang="pl-PL" sz="900" b="1"/>
            <a:t>Wyspecjalizo-wane</a:t>
          </a:r>
          <a:br>
            <a:rPr lang="pl-PL" sz="900" b="1"/>
          </a:br>
          <a:r>
            <a:rPr lang="pl-PL" sz="900" b="1"/>
            <a:t> i dostępne usługi społeczne na obszarze Partnerstwa</a:t>
          </a:r>
        </a:p>
      </dgm:t>
    </dgm:pt>
    <dgm:pt modelId="{A8E9B261-E5D1-47B4-AFC2-5C281443F951}" type="parTrans" cxnId="{E55015D9-72B7-4D08-A3D7-55D878F40441}">
      <dgm:prSet/>
      <dgm:spPr/>
      <dgm:t>
        <a:bodyPr/>
        <a:lstStyle/>
        <a:p>
          <a:pPr algn="ctr"/>
          <a:endParaRPr lang="pl-PL"/>
        </a:p>
      </dgm:t>
    </dgm:pt>
    <dgm:pt modelId="{FBECFAAE-2F6B-48CD-BBB1-F43F5DE89E57}" type="sibTrans" cxnId="{E55015D9-72B7-4D08-A3D7-55D878F40441}">
      <dgm:prSet/>
      <dgm:spPr/>
      <dgm:t>
        <a:bodyPr/>
        <a:lstStyle/>
        <a:p>
          <a:pPr algn="ctr"/>
          <a:endParaRPr lang="pl-PL"/>
        </a:p>
      </dgm:t>
    </dgm:pt>
    <dgm:pt modelId="{D7F72DF0-1751-499C-A984-831BAFAA106A}">
      <dgm:prSet phldrT="[Tekst]" custT="1"/>
      <dgm:spPr>
        <a:solidFill>
          <a:schemeClr val="accent1">
            <a:lumMod val="20000"/>
            <a:lumOff val="80000"/>
            <a:alpha val="90000"/>
          </a:schemeClr>
        </a:solidFill>
        <a:ln>
          <a:solidFill>
            <a:schemeClr val="accent1"/>
          </a:solidFill>
        </a:ln>
      </dgm:spPr>
      <dgm:t>
        <a:bodyPr/>
        <a:lstStyle/>
        <a:p>
          <a:pPr algn="ctr"/>
          <a:r>
            <a:rPr lang="pl-PL" sz="900" b="1"/>
            <a:t>Wymiar </a:t>
          </a:r>
          <a:br>
            <a:rPr lang="pl-PL" sz="900" b="1"/>
          </a:br>
          <a:r>
            <a:rPr lang="pl-PL" sz="900" b="1"/>
            <a:t>społeczny </a:t>
          </a:r>
          <a:br>
            <a:rPr lang="pl-PL" sz="900" b="1"/>
          </a:br>
          <a:r>
            <a:rPr lang="pl-PL" sz="900" b="1"/>
            <a:t>strategii </a:t>
          </a:r>
        </a:p>
      </dgm:t>
    </dgm:pt>
    <dgm:pt modelId="{F1C3472A-0EB7-4F01-8481-4332A8972DC3}" type="parTrans" cxnId="{65EF260C-FD8B-4754-81E4-E94E90975964}">
      <dgm:prSet/>
      <dgm:spPr/>
      <dgm:t>
        <a:bodyPr/>
        <a:lstStyle/>
        <a:p>
          <a:pPr algn="ctr"/>
          <a:endParaRPr lang="pl-PL"/>
        </a:p>
      </dgm:t>
    </dgm:pt>
    <dgm:pt modelId="{43DCF3C6-697A-4993-8E36-6010EFE6DEB0}" type="sibTrans" cxnId="{65EF260C-FD8B-4754-81E4-E94E90975964}">
      <dgm:prSet/>
      <dgm:spPr/>
      <dgm:t>
        <a:bodyPr/>
        <a:lstStyle/>
        <a:p>
          <a:pPr algn="ctr"/>
          <a:endParaRPr lang="pl-PL"/>
        </a:p>
      </dgm:t>
    </dgm:pt>
    <dgm:pt modelId="{2A4406FF-E860-4A53-841D-5B5B6B4B0DB2}">
      <dgm:prSet phldrT="[Tekst]" custT="1"/>
      <dgm:spPr>
        <a:solidFill>
          <a:schemeClr val="accent1">
            <a:lumMod val="20000"/>
            <a:lumOff val="80000"/>
          </a:schemeClr>
        </a:solidFill>
        <a:ln>
          <a:solidFill>
            <a:schemeClr val="accent1"/>
          </a:solidFill>
        </a:ln>
      </dgm:spPr>
      <dgm:t>
        <a:bodyPr/>
        <a:lstStyle/>
        <a:p>
          <a:pPr algn="ctr"/>
          <a:endParaRPr lang="pl-PL" sz="900"/>
        </a:p>
      </dgm:t>
    </dgm:pt>
    <dgm:pt modelId="{A801A16F-239A-454D-894A-B52B1F5DA3CB}" type="parTrans" cxnId="{718C8DA3-7642-45CB-A3B0-B138A8CFE675}">
      <dgm:prSet/>
      <dgm:spPr/>
      <dgm:t>
        <a:bodyPr/>
        <a:lstStyle/>
        <a:p>
          <a:pPr algn="ctr"/>
          <a:endParaRPr lang="pl-PL"/>
        </a:p>
      </dgm:t>
    </dgm:pt>
    <dgm:pt modelId="{4C07404D-D473-4101-8F76-D7E1011BB94E}" type="sibTrans" cxnId="{718C8DA3-7642-45CB-A3B0-B138A8CFE675}">
      <dgm:prSet/>
      <dgm:spPr/>
      <dgm:t>
        <a:bodyPr/>
        <a:lstStyle/>
        <a:p>
          <a:pPr algn="ctr"/>
          <a:endParaRPr lang="pl-PL"/>
        </a:p>
      </dgm:t>
    </dgm:pt>
    <dgm:pt modelId="{2ADEC0C0-6C42-4FF0-9C6D-1EB5A620CADE}">
      <dgm:prSet phldrT="[Tekst]" custT="1"/>
      <dgm:spPr>
        <a:solidFill>
          <a:schemeClr val="accent1">
            <a:lumMod val="20000"/>
            <a:lumOff val="80000"/>
            <a:alpha val="90000"/>
          </a:schemeClr>
        </a:solidFill>
        <a:ln>
          <a:solidFill>
            <a:schemeClr val="accent1"/>
          </a:solidFill>
        </a:ln>
      </dgm:spPr>
      <dgm:t>
        <a:bodyPr/>
        <a:lstStyle/>
        <a:p>
          <a:pPr algn="ctr"/>
          <a:endParaRPr lang="pl-PL" sz="900" b="1"/>
        </a:p>
      </dgm:t>
    </dgm:pt>
    <dgm:pt modelId="{2F7B2610-DBC7-42C6-9ABF-178EBB8063D6}" type="sibTrans" cxnId="{607BA9CB-0D94-4F40-ADA7-C926A32A5B7F}">
      <dgm:prSet/>
      <dgm:spPr/>
      <dgm:t>
        <a:bodyPr/>
        <a:lstStyle/>
        <a:p>
          <a:pPr algn="ctr"/>
          <a:endParaRPr lang="pl-PL"/>
        </a:p>
      </dgm:t>
    </dgm:pt>
    <dgm:pt modelId="{C0F83B86-A937-48AF-A986-FD084F4F528D}" type="parTrans" cxnId="{607BA9CB-0D94-4F40-ADA7-C926A32A5B7F}">
      <dgm:prSet/>
      <dgm:spPr/>
      <dgm:t>
        <a:bodyPr/>
        <a:lstStyle/>
        <a:p>
          <a:pPr algn="ctr"/>
          <a:endParaRPr lang="pl-PL"/>
        </a:p>
      </dgm:t>
    </dgm:pt>
    <dgm:pt modelId="{A5B0824A-CD36-4AE0-B4A1-5EC9D57A0DD6}">
      <dgm:prSet phldrT="[Tekst]" custT="1"/>
      <dgm:spPr>
        <a:solidFill>
          <a:schemeClr val="accent1">
            <a:lumMod val="20000"/>
            <a:lumOff val="80000"/>
            <a:alpha val="90000"/>
          </a:schemeClr>
        </a:solidFill>
        <a:ln>
          <a:solidFill>
            <a:schemeClr val="accent1"/>
          </a:solidFill>
        </a:ln>
      </dgm:spPr>
      <dgm:t>
        <a:bodyPr/>
        <a:lstStyle/>
        <a:p>
          <a:pPr algn="ctr"/>
          <a:r>
            <a:rPr lang="pl-PL" sz="900" b="1"/>
            <a:t>Wymiar </a:t>
          </a:r>
          <a:br>
            <a:rPr lang="pl-PL" sz="900" b="1"/>
          </a:br>
          <a:r>
            <a:rPr lang="pl-PL" sz="900" b="1"/>
            <a:t>gospodarczy </a:t>
          </a:r>
          <a:br>
            <a:rPr lang="pl-PL" sz="900" b="1"/>
          </a:br>
          <a:r>
            <a:rPr lang="pl-PL" sz="900" b="1"/>
            <a:t>strategii </a:t>
          </a:r>
        </a:p>
      </dgm:t>
    </dgm:pt>
    <dgm:pt modelId="{125FF380-1AE8-4F15-A56A-69F304209F8D}" type="sibTrans" cxnId="{9CEBA8A3-20EA-443B-9A3E-C47E31407293}">
      <dgm:prSet/>
      <dgm:spPr/>
      <dgm:t>
        <a:bodyPr/>
        <a:lstStyle/>
        <a:p>
          <a:pPr algn="ctr"/>
          <a:endParaRPr lang="pl-PL"/>
        </a:p>
      </dgm:t>
    </dgm:pt>
    <dgm:pt modelId="{F30ABC65-3474-4FE7-BB3B-C76FAD208726}" type="parTrans" cxnId="{9CEBA8A3-20EA-443B-9A3E-C47E31407293}">
      <dgm:prSet/>
      <dgm:spPr/>
      <dgm:t>
        <a:bodyPr/>
        <a:lstStyle/>
        <a:p>
          <a:pPr algn="ctr"/>
          <a:endParaRPr lang="pl-PL"/>
        </a:p>
      </dgm:t>
    </dgm:pt>
    <dgm:pt modelId="{F6976550-9244-44BB-95E5-CEDE587FE56D}" type="pres">
      <dgm:prSet presAssocID="{3B158C9D-B61A-4FC2-B0D0-B6053DC1F1DA}" presName="cycleMatrixDiagram" presStyleCnt="0">
        <dgm:presLayoutVars>
          <dgm:chMax val="1"/>
          <dgm:dir/>
          <dgm:animLvl val="lvl"/>
          <dgm:resizeHandles val="exact"/>
        </dgm:presLayoutVars>
      </dgm:prSet>
      <dgm:spPr/>
    </dgm:pt>
    <dgm:pt modelId="{622500B0-D13A-41D7-AA83-65D38912ACDA}" type="pres">
      <dgm:prSet presAssocID="{3B158C9D-B61A-4FC2-B0D0-B6053DC1F1DA}" presName="children" presStyleCnt="0"/>
      <dgm:spPr/>
    </dgm:pt>
    <dgm:pt modelId="{9C1BCDB0-233C-4674-B749-D23F65B54C4F}" type="pres">
      <dgm:prSet presAssocID="{3B158C9D-B61A-4FC2-B0D0-B6053DC1F1DA}" presName="child1group" presStyleCnt="0"/>
      <dgm:spPr/>
    </dgm:pt>
    <dgm:pt modelId="{813212A6-646E-4175-8E58-C1FEF38212BB}" type="pres">
      <dgm:prSet presAssocID="{3B158C9D-B61A-4FC2-B0D0-B6053DC1F1DA}" presName="child1" presStyleLbl="bgAcc1" presStyleIdx="0" presStyleCnt="4" custLinFactNeighborX="-4526" custLinFactNeighborY="7622"/>
      <dgm:spPr/>
    </dgm:pt>
    <dgm:pt modelId="{7A27BBEF-8F47-41FA-9C7C-590A654EDE28}" type="pres">
      <dgm:prSet presAssocID="{3B158C9D-B61A-4FC2-B0D0-B6053DC1F1DA}" presName="child1Text" presStyleLbl="bgAcc1" presStyleIdx="0" presStyleCnt="4">
        <dgm:presLayoutVars>
          <dgm:bulletEnabled val="1"/>
        </dgm:presLayoutVars>
      </dgm:prSet>
      <dgm:spPr/>
    </dgm:pt>
    <dgm:pt modelId="{A52403D5-3B5C-4D2D-A68B-0632DB919386}" type="pres">
      <dgm:prSet presAssocID="{3B158C9D-B61A-4FC2-B0D0-B6053DC1F1DA}" presName="child2group" presStyleCnt="0"/>
      <dgm:spPr/>
    </dgm:pt>
    <dgm:pt modelId="{1B8D206B-EC87-40E4-B8A9-6BB820533689}" type="pres">
      <dgm:prSet presAssocID="{3B158C9D-B61A-4FC2-B0D0-B6053DC1F1DA}" presName="child2" presStyleLbl="bgAcc1" presStyleIdx="1" presStyleCnt="4" custLinFactNeighborX="8709" custLinFactNeighborY="18526"/>
      <dgm:spPr/>
    </dgm:pt>
    <dgm:pt modelId="{4C317B26-503D-4E9B-AF75-4CA218D89EA1}" type="pres">
      <dgm:prSet presAssocID="{3B158C9D-B61A-4FC2-B0D0-B6053DC1F1DA}" presName="child2Text" presStyleLbl="bgAcc1" presStyleIdx="1" presStyleCnt="4">
        <dgm:presLayoutVars>
          <dgm:bulletEnabled val="1"/>
        </dgm:presLayoutVars>
      </dgm:prSet>
      <dgm:spPr/>
    </dgm:pt>
    <dgm:pt modelId="{FA7101E3-F638-4667-8115-155D1E76DE90}" type="pres">
      <dgm:prSet presAssocID="{3B158C9D-B61A-4FC2-B0D0-B6053DC1F1DA}" presName="child3group" presStyleCnt="0"/>
      <dgm:spPr/>
    </dgm:pt>
    <dgm:pt modelId="{676A5A61-1B62-4623-AB69-CCAFC5E3BDE2}" type="pres">
      <dgm:prSet presAssocID="{3B158C9D-B61A-4FC2-B0D0-B6053DC1F1DA}" presName="child3" presStyleLbl="bgAcc1" presStyleIdx="2" presStyleCnt="4" custLinFactNeighborX="6172" custLinFactNeighborY="-9527"/>
      <dgm:spPr/>
    </dgm:pt>
    <dgm:pt modelId="{6E7A4509-5882-495F-82F9-A839681511A8}" type="pres">
      <dgm:prSet presAssocID="{3B158C9D-B61A-4FC2-B0D0-B6053DC1F1DA}" presName="child3Text" presStyleLbl="bgAcc1" presStyleIdx="2" presStyleCnt="4">
        <dgm:presLayoutVars>
          <dgm:bulletEnabled val="1"/>
        </dgm:presLayoutVars>
      </dgm:prSet>
      <dgm:spPr/>
    </dgm:pt>
    <dgm:pt modelId="{4CF589B0-0E28-4120-9D2E-67A36072FFEE}" type="pres">
      <dgm:prSet presAssocID="{3B158C9D-B61A-4FC2-B0D0-B6053DC1F1DA}" presName="child4group" presStyleCnt="0"/>
      <dgm:spPr/>
    </dgm:pt>
    <dgm:pt modelId="{37C68B41-5B0A-4E74-817F-DC158C1242A9}" type="pres">
      <dgm:prSet presAssocID="{3B158C9D-B61A-4FC2-B0D0-B6053DC1F1DA}" presName="child4" presStyleLbl="bgAcc1" presStyleIdx="3" presStyleCnt="4" custLinFactNeighborX="-3703" custLinFactNeighborY="-8892"/>
      <dgm:spPr/>
    </dgm:pt>
    <dgm:pt modelId="{434C613C-4B73-415E-B541-ECBD3CE63518}" type="pres">
      <dgm:prSet presAssocID="{3B158C9D-B61A-4FC2-B0D0-B6053DC1F1DA}" presName="child4Text" presStyleLbl="bgAcc1" presStyleIdx="3" presStyleCnt="4">
        <dgm:presLayoutVars>
          <dgm:bulletEnabled val="1"/>
        </dgm:presLayoutVars>
      </dgm:prSet>
      <dgm:spPr/>
    </dgm:pt>
    <dgm:pt modelId="{CDDB5CF9-9931-46A0-80CB-734BFBF4DB2E}" type="pres">
      <dgm:prSet presAssocID="{3B158C9D-B61A-4FC2-B0D0-B6053DC1F1DA}" presName="childPlaceholder" presStyleCnt="0"/>
      <dgm:spPr/>
    </dgm:pt>
    <dgm:pt modelId="{6376FA48-F3A5-4261-B76D-49EC868B55F1}" type="pres">
      <dgm:prSet presAssocID="{3B158C9D-B61A-4FC2-B0D0-B6053DC1F1DA}" presName="circle" presStyleCnt="0"/>
      <dgm:spPr/>
    </dgm:pt>
    <dgm:pt modelId="{A4EFBC4B-85C7-43B3-B302-8D7E2CBF8835}" type="pres">
      <dgm:prSet presAssocID="{3B158C9D-B61A-4FC2-B0D0-B6053DC1F1DA}" presName="quadrant1" presStyleLbl="node1" presStyleIdx="0" presStyleCnt="4" custLinFactNeighborX="-506" custLinFactNeighborY="1013">
        <dgm:presLayoutVars>
          <dgm:chMax val="1"/>
          <dgm:bulletEnabled val="1"/>
        </dgm:presLayoutVars>
      </dgm:prSet>
      <dgm:spPr/>
    </dgm:pt>
    <dgm:pt modelId="{62D50C55-C3C9-4A82-89AA-132672BEAB72}" type="pres">
      <dgm:prSet presAssocID="{3B158C9D-B61A-4FC2-B0D0-B6053DC1F1DA}" presName="quadrant2" presStyleLbl="node1" presStyleIdx="1" presStyleCnt="4" custScaleX="99048" custScaleY="99532">
        <dgm:presLayoutVars>
          <dgm:chMax val="1"/>
          <dgm:bulletEnabled val="1"/>
        </dgm:presLayoutVars>
      </dgm:prSet>
      <dgm:spPr/>
    </dgm:pt>
    <dgm:pt modelId="{2CEBBD29-03E3-4A43-AFD6-C8CD7496D919}" type="pres">
      <dgm:prSet presAssocID="{3B158C9D-B61A-4FC2-B0D0-B6053DC1F1DA}" presName="quadrant3" presStyleLbl="node1" presStyleIdx="2" presStyleCnt="4">
        <dgm:presLayoutVars>
          <dgm:chMax val="1"/>
          <dgm:bulletEnabled val="1"/>
        </dgm:presLayoutVars>
      </dgm:prSet>
      <dgm:spPr/>
    </dgm:pt>
    <dgm:pt modelId="{CD68F7C0-53FD-4041-82A7-45D9792405ED}" type="pres">
      <dgm:prSet presAssocID="{3B158C9D-B61A-4FC2-B0D0-B6053DC1F1DA}" presName="quadrant4" presStyleLbl="node1" presStyleIdx="3" presStyleCnt="4" custScaleX="99786">
        <dgm:presLayoutVars>
          <dgm:chMax val="1"/>
          <dgm:bulletEnabled val="1"/>
        </dgm:presLayoutVars>
      </dgm:prSet>
      <dgm:spPr/>
    </dgm:pt>
    <dgm:pt modelId="{BAE7F71F-2E6D-4DB4-92F0-2EA12612A14F}" type="pres">
      <dgm:prSet presAssocID="{3B158C9D-B61A-4FC2-B0D0-B6053DC1F1DA}" presName="quadrantPlaceholder" presStyleCnt="0"/>
      <dgm:spPr/>
    </dgm:pt>
    <dgm:pt modelId="{BF4371C4-3C17-4E27-8991-278FAF98BC02}" type="pres">
      <dgm:prSet presAssocID="{3B158C9D-B61A-4FC2-B0D0-B6053DC1F1DA}" presName="center1" presStyleLbl="fgShp" presStyleIdx="0" presStyleCnt="2" custScaleX="83612" custScaleY="79622"/>
      <dgm:spPr>
        <a:solidFill>
          <a:schemeClr val="bg2">
            <a:lumMod val="75000"/>
          </a:schemeClr>
        </a:solidFill>
        <a:ln>
          <a:solidFill>
            <a:schemeClr val="bg2">
              <a:lumMod val="75000"/>
            </a:schemeClr>
          </a:solidFill>
        </a:ln>
      </dgm:spPr>
    </dgm:pt>
    <dgm:pt modelId="{E07754C6-D280-47F8-BF38-09411A626001}" type="pres">
      <dgm:prSet presAssocID="{3B158C9D-B61A-4FC2-B0D0-B6053DC1F1DA}" presName="center2" presStyleLbl="fgShp" presStyleIdx="1" presStyleCnt="2" custScaleX="86545" custScaleY="82997"/>
      <dgm:spPr>
        <a:solidFill>
          <a:schemeClr val="bg2">
            <a:lumMod val="75000"/>
          </a:schemeClr>
        </a:solidFill>
        <a:ln>
          <a:solidFill>
            <a:schemeClr val="bg2">
              <a:lumMod val="75000"/>
            </a:schemeClr>
          </a:solidFill>
        </a:ln>
      </dgm:spPr>
    </dgm:pt>
  </dgm:ptLst>
  <dgm:cxnLst>
    <dgm:cxn modelId="{65EF260C-FD8B-4754-81E4-E94E90975964}" srcId="{103BAEFE-0E09-4FB0-99F4-6B9E24959C26}" destId="{D7F72DF0-1751-499C-A984-831BAFAA106A}" srcOrd="0" destOrd="0" parTransId="{F1C3472A-0EB7-4F01-8481-4332A8972DC3}" sibTransId="{43DCF3C6-697A-4993-8E36-6010EFE6DEB0}"/>
    <dgm:cxn modelId="{44F66A14-4BFA-4A18-AAC9-7867B9B67817}" type="presOf" srcId="{2A4406FF-E860-4A53-841D-5B5B6B4B0DB2}" destId="{4C317B26-503D-4E9B-AF75-4CA218D89EA1}" srcOrd="1" destOrd="0" presId="urn:microsoft.com/office/officeart/2005/8/layout/cycle4"/>
    <dgm:cxn modelId="{8606581A-151D-4D08-B10F-E50685C2363F}" srcId="{3B158C9D-B61A-4FC2-B0D0-B6053DC1F1DA}" destId="{BC2C72CC-8ED4-46DC-9773-25A9D42D1C72}" srcOrd="1" destOrd="0" parTransId="{81D5B1CF-9677-4BD4-927B-F22516145B10}" sibTransId="{86ED9952-9C2C-4999-BF91-BB16317F2420}"/>
    <dgm:cxn modelId="{5F03D823-2197-4050-AEFF-C9238FB3F3FD}" type="presOf" srcId="{187B0E9F-C394-4EA7-9C4B-BE9668F49DF9}" destId="{1B8D206B-EC87-40E4-B8A9-6BB820533689}" srcOrd="0" destOrd="1" presId="urn:microsoft.com/office/officeart/2005/8/layout/cycle4"/>
    <dgm:cxn modelId="{4A8D043C-28B1-4609-B9F1-DA967F36C472}" srcId="{3B158C9D-B61A-4FC2-B0D0-B6053DC1F1DA}" destId="{419EEE57-FDE1-4E94-B2CD-B90266EA15BD}" srcOrd="2" destOrd="0" parTransId="{90485C8E-63FA-47E1-88C6-99F8B2797048}" sibTransId="{7167428E-4991-4A3B-87B1-BAE8107E55B4}"/>
    <dgm:cxn modelId="{1057D747-113F-4E63-B955-45CB244A86ED}" type="presOf" srcId="{2ADEC0C0-6C42-4FF0-9C6D-1EB5A620CADE}" destId="{813212A6-646E-4175-8E58-C1FEF38212BB}" srcOrd="0" destOrd="0" presId="urn:microsoft.com/office/officeart/2005/8/layout/cycle4"/>
    <dgm:cxn modelId="{C694434C-F2A6-45C7-85F2-F3815D82793C}" type="presOf" srcId="{A5B0824A-CD36-4AE0-B4A1-5EC9D57A0DD6}" destId="{7A27BBEF-8F47-41FA-9C7C-590A654EDE28}" srcOrd="1" destOrd="1" presId="urn:microsoft.com/office/officeart/2005/8/layout/cycle4"/>
    <dgm:cxn modelId="{6B97064F-9708-4675-920A-168B1192215C}" srcId="{3B158C9D-B61A-4FC2-B0D0-B6053DC1F1DA}" destId="{6D28F7F7-B4B1-4242-B7E2-A4770392E4B0}" srcOrd="0" destOrd="0" parTransId="{FA02F68D-1D66-44C4-8482-1ACC513005FD}" sibTransId="{EFE2F28A-CA32-4D20-94C6-B62516BFDA75}"/>
    <dgm:cxn modelId="{DA33DF51-461C-4A77-85C6-F22E6047D148}" type="presOf" srcId="{E6E1D3A5-620F-41B4-8E61-01FEBFDDF59B}" destId="{676A5A61-1B62-4623-AB69-CCAFC5E3BDE2}" srcOrd="0" destOrd="0" presId="urn:microsoft.com/office/officeart/2005/8/layout/cycle4"/>
    <dgm:cxn modelId="{406D0D73-784A-4FF3-8BB7-BE7A34FE7C37}" type="presOf" srcId="{2ADEC0C0-6C42-4FF0-9C6D-1EB5A620CADE}" destId="{7A27BBEF-8F47-41FA-9C7C-590A654EDE28}" srcOrd="1" destOrd="0" presId="urn:microsoft.com/office/officeart/2005/8/layout/cycle4"/>
    <dgm:cxn modelId="{8A169273-C75C-4462-9DBE-C6576389DC1C}" type="presOf" srcId="{103BAEFE-0E09-4FB0-99F4-6B9E24959C26}" destId="{CD68F7C0-53FD-4041-82A7-45D9792405ED}" srcOrd="0" destOrd="0" presId="urn:microsoft.com/office/officeart/2005/8/layout/cycle4"/>
    <dgm:cxn modelId="{580FF056-6BA5-4C53-ABFB-14A6FD2309B6}" srcId="{BC2C72CC-8ED4-46DC-9773-25A9D42D1C72}" destId="{187B0E9F-C394-4EA7-9C4B-BE9668F49DF9}" srcOrd="1" destOrd="0" parTransId="{A5A5BFEF-5A5C-4B92-89A2-6536397D73FF}" sibTransId="{5525259E-2D7E-4B61-BD50-1D8F1FA8F334}"/>
    <dgm:cxn modelId="{1B5ACA59-C684-49BF-95ED-0EAB8A7C9071}" type="presOf" srcId="{D7F72DF0-1751-499C-A984-831BAFAA106A}" destId="{37C68B41-5B0A-4E74-817F-DC158C1242A9}" srcOrd="0" destOrd="0" presId="urn:microsoft.com/office/officeart/2005/8/layout/cycle4"/>
    <dgm:cxn modelId="{86B0CC7C-1CAA-4B30-9FD4-F02FF70BE611}" type="presOf" srcId="{6D28F7F7-B4B1-4242-B7E2-A4770392E4B0}" destId="{A4EFBC4B-85C7-43B3-B302-8D7E2CBF8835}" srcOrd="0" destOrd="0" presId="urn:microsoft.com/office/officeart/2005/8/layout/cycle4"/>
    <dgm:cxn modelId="{C9F5737D-8413-48C1-9569-A1DA55793CA3}" type="presOf" srcId="{187B0E9F-C394-4EA7-9C4B-BE9668F49DF9}" destId="{4C317B26-503D-4E9B-AF75-4CA218D89EA1}" srcOrd="1" destOrd="1" presId="urn:microsoft.com/office/officeart/2005/8/layout/cycle4"/>
    <dgm:cxn modelId="{EC854490-D2AB-4030-9AED-EC65FFE7DE68}" type="presOf" srcId="{E6E1D3A5-620F-41B4-8E61-01FEBFDDF59B}" destId="{6E7A4509-5882-495F-82F9-A839681511A8}" srcOrd="1" destOrd="0" presId="urn:microsoft.com/office/officeart/2005/8/layout/cycle4"/>
    <dgm:cxn modelId="{79A6FE9F-0F18-40CC-AE78-C06532BF5C63}" type="presOf" srcId="{D7F72DF0-1751-499C-A984-831BAFAA106A}" destId="{434C613C-4B73-415E-B541-ECBD3CE63518}" srcOrd="1" destOrd="0" presId="urn:microsoft.com/office/officeart/2005/8/layout/cycle4"/>
    <dgm:cxn modelId="{718C8DA3-7642-45CB-A3B0-B138A8CFE675}" srcId="{BC2C72CC-8ED4-46DC-9773-25A9D42D1C72}" destId="{2A4406FF-E860-4A53-841D-5B5B6B4B0DB2}" srcOrd="0" destOrd="0" parTransId="{A801A16F-239A-454D-894A-B52B1F5DA3CB}" sibTransId="{4C07404D-D473-4101-8F76-D7E1011BB94E}"/>
    <dgm:cxn modelId="{9CEBA8A3-20EA-443B-9A3E-C47E31407293}" srcId="{6D28F7F7-B4B1-4242-B7E2-A4770392E4B0}" destId="{A5B0824A-CD36-4AE0-B4A1-5EC9D57A0DD6}" srcOrd="1" destOrd="0" parTransId="{F30ABC65-3474-4FE7-BB3B-C76FAD208726}" sibTransId="{125FF380-1AE8-4F15-A56A-69F304209F8D}"/>
    <dgm:cxn modelId="{3787FBBC-3655-4070-BBC2-BDE757AE5637}" srcId="{419EEE57-FDE1-4E94-B2CD-B90266EA15BD}" destId="{E6E1D3A5-620F-41B4-8E61-01FEBFDDF59B}" srcOrd="0" destOrd="0" parTransId="{D33054C5-5E7F-4D89-BC40-F3AC988E0A8C}" sibTransId="{3091F685-6A2C-49D1-A538-C5E0A54113CC}"/>
    <dgm:cxn modelId="{986DC9BF-7730-4D87-8DD8-C26A198933C9}" type="presOf" srcId="{A5B0824A-CD36-4AE0-B4A1-5EC9D57A0DD6}" destId="{813212A6-646E-4175-8E58-C1FEF38212BB}" srcOrd="0" destOrd="1" presId="urn:microsoft.com/office/officeart/2005/8/layout/cycle4"/>
    <dgm:cxn modelId="{607BA9CB-0D94-4F40-ADA7-C926A32A5B7F}" srcId="{6D28F7F7-B4B1-4242-B7E2-A4770392E4B0}" destId="{2ADEC0C0-6C42-4FF0-9C6D-1EB5A620CADE}" srcOrd="0" destOrd="0" parTransId="{C0F83B86-A937-48AF-A986-FD084F4F528D}" sibTransId="{2F7B2610-DBC7-42C6-9ABF-178EBB8063D6}"/>
    <dgm:cxn modelId="{72E02DCF-0D21-45F2-BA2D-7B076331949D}" type="presOf" srcId="{BC2C72CC-8ED4-46DC-9773-25A9D42D1C72}" destId="{62D50C55-C3C9-4A82-89AA-132672BEAB72}" srcOrd="0" destOrd="0" presId="urn:microsoft.com/office/officeart/2005/8/layout/cycle4"/>
    <dgm:cxn modelId="{B2E41BD4-0A08-4E79-A99F-39F53209C2BC}" type="presOf" srcId="{419EEE57-FDE1-4E94-B2CD-B90266EA15BD}" destId="{2CEBBD29-03E3-4A43-AFD6-C8CD7496D919}" srcOrd="0" destOrd="0" presId="urn:microsoft.com/office/officeart/2005/8/layout/cycle4"/>
    <dgm:cxn modelId="{E55015D9-72B7-4D08-A3D7-55D878F40441}" srcId="{3B158C9D-B61A-4FC2-B0D0-B6053DC1F1DA}" destId="{103BAEFE-0E09-4FB0-99F4-6B9E24959C26}" srcOrd="3" destOrd="0" parTransId="{A8E9B261-E5D1-47B4-AFC2-5C281443F951}" sibTransId="{FBECFAAE-2F6B-48CD-BBB1-F43F5DE89E57}"/>
    <dgm:cxn modelId="{D9EE2DF0-9824-4DB6-9567-4A0369D5FBA5}" type="presOf" srcId="{2A4406FF-E860-4A53-841D-5B5B6B4B0DB2}" destId="{1B8D206B-EC87-40E4-B8A9-6BB820533689}" srcOrd="0" destOrd="0" presId="urn:microsoft.com/office/officeart/2005/8/layout/cycle4"/>
    <dgm:cxn modelId="{588D8DF1-3E8C-40ED-84E3-BDC4B0F6D8BA}" type="presOf" srcId="{3B158C9D-B61A-4FC2-B0D0-B6053DC1F1DA}" destId="{F6976550-9244-44BB-95E5-CEDE587FE56D}" srcOrd="0" destOrd="0" presId="urn:microsoft.com/office/officeart/2005/8/layout/cycle4"/>
    <dgm:cxn modelId="{90A5A540-2C5D-4256-BBBF-5454AC4E5599}" type="presParOf" srcId="{F6976550-9244-44BB-95E5-CEDE587FE56D}" destId="{622500B0-D13A-41D7-AA83-65D38912ACDA}" srcOrd="0" destOrd="0" presId="urn:microsoft.com/office/officeart/2005/8/layout/cycle4"/>
    <dgm:cxn modelId="{39C65243-5368-42A4-8314-DCD5984F644E}" type="presParOf" srcId="{622500B0-D13A-41D7-AA83-65D38912ACDA}" destId="{9C1BCDB0-233C-4674-B749-D23F65B54C4F}" srcOrd="0" destOrd="0" presId="urn:microsoft.com/office/officeart/2005/8/layout/cycle4"/>
    <dgm:cxn modelId="{A42F1DB0-2BF2-409F-96CB-ACFAA2AB1FF8}" type="presParOf" srcId="{9C1BCDB0-233C-4674-B749-D23F65B54C4F}" destId="{813212A6-646E-4175-8E58-C1FEF38212BB}" srcOrd="0" destOrd="0" presId="urn:microsoft.com/office/officeart/2005/8/layout/cycle4"/>
    <dgm:cxn modelId="{C59EC8F7-CFB5-4390-A3EF-CC59ACFE7AFF}" type="presParOf" srcId="{9C1BCDB0-233C-4674-B749-D23F65B54C4F}" destId="{7A27BBEF-8F47-41FA-9C7C-590A654EDE28}" srcOrd="1" destOrd="0" presId="urn:microsoft.com/office/officeart/2005/8/layout/cycle4"/>
    <dgm:cxn modelId="{ECEB54DB-292D-4661-A797-BD1B7103579B}" type="presParOf" srcId="{622500B0-D13A-41D7-AA83-65D38912ACDA}" destId="{A52403D5-3B5C-4D2D-A68B-0632DB919386}" srcOrd="1" destOrd="0" presId="urn:microsoft.com/office/officeart/2005/8/layout/cycle4"/>
    <dgm:cxn modelId="{DCE6CD3D-22A5-472E-9F5A-4E84C5CD49F6}" type="presParOf" srcId="{A52403D5-3B5C-4D2D-A68B-0632DB919386}" destId="{1B8D206B-EC87-40E4-B8A9-6BB820533689}" srcOrd="0" destOrd="0" presId="urn:microsoft.com/office/officeart/2005/8/layout/cycle4"/>
    <dgm:cxn modelId="{47549A6E-2954-4541-B849-5EECCE4FE647}" type="presParOf" srcId="{A52403D5-3B5C-4D2D-A68B-0632DB919386}" destId="{4C317B26-503D-4E9B-AF75-4CA218D89EA1}" srcOrd="1" destOrd="0" presId="urn:microsoft.com/office/officeart/2005/8/layout/cycle4"/>
    <dgm:cxn modelId="{B3B10892-F96E-4838-B2B8-2F7C32C1DDC6}" type="presParOf" srcId="{622500B0-D13A-41D7-AA83-65D38912ACDA}" destId="{FA7101E3-F638-4667-8115-155D1E76DE90}" srcOrd="2" destOrd="0" presId="urn:microsoft.com/office/officeart/2005/8/layout/cycle4"/>
    <dgm:cxn modelId="{D46A7C51-D11E-46D7-BF3B-2C67D7486FBD}" type="presParOf" srcId="{FA7101E3-F638-4667-8115-155D1E76DE90}" destId="{676A5A61-1B62-4623-AB69-CCAFC5E3BDE2}" srcOrd="0" destOrd="0" presId="urn:microsoft.com/office/officeart/2005/8/layout/cycle4"/>
    <dgm:cxn modelId="{BE9C52BC-8267-4FA7-8C98-520889F0CB61}" type="presParOf" srcId="{FA7101E3-F638-4667-8115-155D1E76DE90}" destId="{6E7A4509-5882-495F-82F9-A839681511A8}" srcOrd="1" destOrd="0" presId="urn:microsoft.com/office/officeart/2005/8/layout/cycle4"/>
    <dgm:cxn modelId="{4FA88F96-85DC-4DD8-A2E8-D79DD66F3832}" type="presParOf" srcId="{622500B0-D13A-41D7-AA83-65D38912ACDA}" destId="{4CF589B0-0E28-4120-9D2E-67A36072FFEE}" srcOrd="3" destOrd="0" presId="urn:microsoft.com/office/officeart/2005/8/layout/cycle4"/>
    <dgm:cxn modelId="{8117B588-38DD-44E7-96CC-92901BB36E7C}" type="presParOf" srcId="{4CF589B0-0E28-4120-9D2E-67A36072FFEE}" destId="{37C68B41-5B0A-4E74-817F-DC158C1242A9}" srcOrd="0" destOrd="0" presId="urn:microsoft.com/office/officeart/2005/8/layout/cycle4"/>
    <dgm:cxn modelId="{AFCAD591-15FF-4A65-B22E-AB05D845A4A9}" type="presParOf" srcId="{4CF589B0-0E28-4120-9D2E-67A36072FFEE}" destId="{434C613C-4B73-415E-B541-ECBD3CE63518}" srcOrd="1" destOrd="0" presId="urn:microsoft.com/office/officeart/2005/8/layout/cycle4"/>
    <dgm:cxn modelId="{0DED8956-04B2-4E4C-91A0-4532B75459C8}" type="presParOf" srcId="{622500B0-D13A-41D7-AA83-65D38912ACDA}" destId="{CDDB5CF9-9931-46A0-80CB-734BFBF4DB2E}" srcOrd="4" destOrd="0" presId="urn:microsoft.com/office/officeart/2005/8/layout/cycle4"/>
    <dgm:cxn modelId="{828D54AD-C64E-47DD-9D84-771E47775867}" type="presParOf" srcId="{F6976550-9244-44BB-95E5-CEDE587FE56D}" destId="{6376FA48-F3A5-4261-B76D-49EC868B55F1}" srcOrd="1" destOrd="0" presId="urn:microsoft.com/office/officeart/2005/8/layout/cycle4"/>
    <dgm:cxn modelId="{34FE4B5D-9973-466D-A865-41D5065A0373}" type="presParOf" srcId="{6376FA48-F3A5-4261-B76D-49EC868B55F1}" destId="{A4EFBC4B-85C7-43B3-B302-8D7E2CBF8835}" srcOrd="0" destOrd="0" presId="urn:microsoft.com/office/officeart/2005/8/layout/cycle4"/>
    <dgm:cxn modelId="{99F9931C-6D76-4BDC-B0D5-754F71381F96}" type="presParOf" srcId="{6376FA48-F3A5-4261-B76D-49EC868B55F1}" destId="{62D50C55-C3C9-4A82-89AA-132672BEAB72}" srcOrd="1" destOrd="0" presId="urn:microsoft.com/office/officeart/2005/8/layout/cycle4"/>
    <dgm:cxn modelId="{F5D72AAB-390C-4760-9129-42F513298A4D}" type="presParOf" srcId="{6376FA48-F3A5-4261-B76D-49EC868B55F1}" destId="{2CEBBD29-03E3-4A43-AFD6-C8CD7496D919}" srcOrd="2" destOrd="0" presId="urn:microsoft.com/office/officeart/2005/8/layout/cycle4"/>
    <dgm:cxn modelId="{F22200E9-EEBD-42DE-BE74-2D2D272A7BDB}" type="presParOf" srcId="{6376FA48-F3A5-4261-B76D-49EC868B55F1}" destId="{CD68F7C0-53FD-4041-82A7-45D9792405ED}" srcOrd="3" destOrd="0" presId="urn:microsoft.com/office/officeart/2005/8/layout/cycle4"/>
    <dgm:cxn modelId="{8E30EF8C-04AC-4A7F-9242-EE8C7E642D1F}" type="presParOf" srcId="{6376FA48-F3A5-4261-B76D-49EC868B55F1}" destId="{BAE7F71F-2E6D-4DB4-92F0-2EA12612A14F}" srcOrd="4" destOrd="0" presId="urn:microsoft.com/office/officeart/2005/8/layout/cycle4"/>
    <dgm:cxn modelId="{D506AD40-6721-4507-AA56-55E7F92F7BF2}" type="presParOf" srcId="{F6976550-9244-44BB-95E5-CEDE587FE56D}" destId="{BF4371C4-3C17-4E27-8991-278FAF98BC02}" srcOrd="2" destOrd="0" presId="urn:microsoft.com/office/officeart/2005/8/layout/cycle4"/>
    <dgm:cxn modelId="{CBFDB8D4-CB7E-4B2C-99A4-04D83B477A6A}" type="presParOf" srcId="{F6976550-9244-44BB-95E5-CEDE587FE56D}" destId="{E07754C6-D280-47F8-BF38-09411A626001}" srcOrd="3" destOrd="0" presId="urn:microsoft.com/office/officeart/2005/8/layout/cycle4"/>
  </dgm:cxnLst>
  <dgm:bg/>
  <dgm:whole>
    <a:ln>
      <a:solidFill>
        <a:schemeClr val="tx2"/>
      </a:solidFill>
    </a:ln>
  </dgm:whole>
  <dgm:extLst>
    <a:ext uri="http://schemas.microsoft.com/office/drawing/2008/diagram">
      <dsp:dataModelExt xmlns:dsp="http://schemas.microsoft.com/office/drawing/2008/diagram" relId="rId28"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ACDFE34B-7F2A-4632-A241-BA032E6F3698}" type="doc">
      <dgm:prSet loTypeId="urn:microsoft.com/office/officeart/2005/8/layout/list1" loCatId="list" qsTypeId="urn:microsoft.com/office/officeart/2005/8/quickstyle/simple1" qsCatId="simple" csTypeId="urn:microsoft.com/office/officeart/2005/8/colors/accent3_3" csCatId="accent3" phldr="1"/>
      <dgm:spPr/>
      <dgm:t>
        <a:bodyPr/>
        <a:lstStyle/>
        <a:p>
          <a:endParaRPr lang="pl-PL"/>
        </a:p>
      </dgm:t>
    </dgm:pt>
    <dgm:pt modelId="{78B95D6D-8C34-4C88-A03F-DC13AB7B1393}">
      <dgm:prSet phldrT="[Tekst]" custT="1"/>
      <dgm:spPr>
        <a:ln w="9525">
          <a:solidFill>
            <a:schemeClr val="tx1"/>
          </a:solidFill>
        </a:ln>
      </dgm:spPr>
      <dgm:t>
        <a:bodyPr/>
        <a:lstStyle/>
        <a:p>
          <a:pPr algn="l"/>
          <a:r>
            <a:rPr lang="pl-PL" sz="1000" b="1">
              <a:solidFill>
                <a:schemeClr val="tx1"/>
              </a:solidFill>
            </a:rPr>
            <a:t>Sytuacja demograficzna </a:t>
          </a:r>
        </a:p>
      </dgm:t>
    </dgm:pt>
    <dgm:pt modelId="{42E22A63-76A4-4B4C-ABE2-9933EFED514B}" type="parTrans" cxnId="{897DCFFB-0F88-4225-9353-89F16DC2335D}">
      <dgm:prSet/>
      <dgm:spPr/>
      <dgm:t>
        <a:bodyPr/>
        <a:lstStyle/>
        <a:p>
          <a:pPr algn="l"/>
          <a:endParaRPr lang="pl-PL" sz="1100">
            <a:solidFill>
              <a:schemeClr val="tx1"/>
            </a:solidFill>
          </a:endParaRPr>
        </a:p>
      </dgm:t>
    </dgm:pt>
    <dgm:pt modelId="{97CA3FCC-549E-43D8-901B-0CCC355C55BE}" type="sibTrans" cxnId="{897DCFFB-0F88-4225-9353-89F16DC2335D}">
      <dgm:prSet/>
      <dgm:spPr/>
      <dgm:t>
        <a:bodyPr/>
        <a:lstStyle/>
        <a:p>
          <a:pPr algn="l"/>
          <a:endParaRPr lang="pl-PL" sz="1100">
            <a:solidFill>
              <a:schemeClr val="tx1"/>
            </a:solidFill>
          </a:endParaRPr>
        </a:p>
      </dgm:t>
    </dgm:pt>
    <dgm:pt modelId="{82F20999-CA8D-4480-86C3-F7294149342E}">
      <dgm:prSet phldrT="[Tekst]" custT="1"/>
      <dgm:spPr>
        <a:ln w="9525">
          <a:solidFill>
            <a:schemeClr val="tx1"/>
          </a:solidFill>
        </a:ln>
      </dgm:spPr>
      <dgm:t>
        <a:bodyPr/>
        <a:lstStyle/>
        <a:p>
          <a:pPr algn="l"/>
          <a:r>
            <a:rPr lang="pl-PL" sz="1000" b="1">
              <a:solidFill>
                <a:schemeClr val="tx1"/>
              </a:solidFill>
            </a:rPr>
            <a:t>Dostępność i jakość zasobów mieszkaniowych  </a:t>
          </a:r>
        </a:p>
      </dgm:t>
    </dgm:pt>
    <dgm:pt modelId="{7990362F-BE58-48DB-973E-C5D21DEB8006}" type="parTrans" cxnId="{0958696C-040D-4178-B2D9-7DAC954B0FE6}">
      <dgm:prSet/>
      <dgm:spPr/>
      <dgm:t>
        <a:bodyPr/>
        <a:lstStyle/>
        <a:p>
          <a:pPr algn="l"/>
          <a:endParaRPr lang="pl-PL" sz="1100">
            <a:solidFill>
              <a:schemeClr val="tx1"/>
            </a:solidFill>
          </a:endParaRPr>
        </a:p>
      </dgm:t>
    </dgm:pt>
    <dgm:pt modelId="{74CE069B-E755-4CF7-8642-8886F0FDDC68}" type="sibTrans" cxnId="{0958696C-040D-4178-B2D9-7DAC954B0FE6}">
      <dgm:prSet/>
      <dgm:spPr/>
      <dgm:t>
        <a:bodyPr/>
        <a:lstStyle/>
        <a:p>
          <a:pPr algn="l"/>
          <a:endParaRPr lang="pl-PL" sz="1100">
            <a:solidFill>
              <a:schemeClr val="tx1"/>
            </a:solidFill>
          </a:endParaRPr>
        </a:p>
      </dgm:t>
    </dgm:pt>
    <dgm:pt modelId="{FBA2BA96-62DE-4805-B0CA-3A11A193C0D4}">
      <dgm:prSet phldrT="[Tekst]" custT="1"/>
      <dgm:spPr>
        <a:ln w="9525">
          <a:solidFill>
            <a:schemeClr val="tx1"/>
          </a:solidFill>
        </a:ln>
      </dgm:spPr>
      <dgm:t>
        <a:bodyPr/>
        <a:lstStyle/>
        <a:p>
          <a:pPr algn="l"/>
          <a:r>
            <a:rPr lang="pl-PL" sz="1000" b="1">
              <a:solidFill>
                <a:schemeClr val="tx1"/>
              </a:solidFill>
            </a:rPr>
            <a:t>Zasoby instytucjonalne, integracja</a:t>
          </a:r>
          <a:r>
            <a:rPr lang="pl-PL" sz="1000">
              <a:solidFill>
                <a:schemeClr val="tx1"/>
              </a:solidFill>
            </a:rPr>
            <a:t> </a:t>
          </a:r>
          <a:r>
            <a:rPr lang="pl-PL" sz="1000" b="1">
              <a:solidFill>
                <a:schemeClr val="tx1"/>
              </a:solidFill>
            </a:rPr>
            <a:t>i kapitał społeczny</a:t>
          </a:r>
        </a:p>
      </dgm:t>
    </dgm:pt>
    <dgm:pt modelId="{07FF7AAF-733E-4913-8EAD-DEC813B589E6}" type="parTrans" cxnId="{BAF5C4D3-AE80-4510-84CA-C5391FF1665A}">
      <dgm:prSet/>
      <dgm:spPr/>
      <dgm:t>
        <a:bodyPr/>
        <a:lstStyle/>
        <a:p>
          <a:pPr algn="l"/>
          <a:endParaRPr lang="pl-PL" sz="1100">
            <a:solidFill>
              <a:schemeClr val="tx1"/>
            </a:solidFill>
          </a:endParaRPr>
        </a:p>
      </dgm:t>
    </dgm:pt>
    <dgm:pt modelId="{393D0BE7-E8E3-4DD3-A6C3-ABAAEE6F6786}" type="sibTrans" cxnId="{BAF5C4D3-AE80-4510-84CA-C5391FF1665A}">
      <dgm:prSet/>
      <dgm:spPr/>
      <dgm:t>
        <a:bodyPr/>
        <a:lstStyle/>
        <a:p>
          <a:pPr algn="l"/>
          <a:endParaRPr lang="pl-PL" sz="1100">
            <a:solidFill>
              <a:schemeClr val="tx1"/>
            </a:solidFill>
          </a:endParaRPr>
        </a:p>
      </dgm:t>
    </dgm:pt>
    <dgm:pt modelId="{7A5175DC-F2B1-4B9E-87AE-69E614689FAA}">
      <dgm:prSet custT="1"/>
      <dgm:spPr>
        <a:ln w="9525">
          <a:solidFill>
            <a:schemeClr val="tx1"/>
          </a:solidFill>
        </a:ln>
      </dgm:spPr>
      <dgm:t>
        <a:bodyPr/>
        <a:lstStyle/>
        <a:p>
          <a:pPr algn="l"/>
          <a:r>
            <a:rPr lang="pl-PL" sz="1000" b="1">
              <a:solidFill>
                <a:schemeClr val="tx1"/>
              </a:solidFill>
            </a:rPr>
            <a:t>Bezpieczeństwo mieszkańców </a:t>
          </a:r>
        </a:p>
      </dgm:t>
    </dgm:pt>
    <dgm:pt modelId="{8A36BCFC-4767-4868-927F-271F23A3EF1E}" type="parTrans" cxnId="{72B78EFD-2694-44A4-A5FF-924C3DEE2BEA}">
      <dgm:prSet/>
      <dgm:spPr/>
      <dgm:t>
        <a:bodyPr/>
        <a:lstStyle/>
        <a:p>
          <a:pPr algn="l"/>
          <a:endParaRPr lang="pl-PL" sz="1100">
            <a:solidFill>
              <a:schemeClr val="tx1"/>
            </a:solidFill>
          </a:endParaRPr>
        </a:p>
      </dgm:t>
    </dgm:pt>
    <dgm:pt modelId="{799E16B0-8003-42E5-9CCD-2C9D9550E882}" type="sibTrans" cxnId="{72B78EFD-2694-44A4-A5FF-924C3DEE2BEA}">
      <dgm:prSet/>
      <dgm:spPr/>
      <dgm:t>
        <a:bodyPr/>
        <a:lstStyle/>
        <a:p>
          <a:pPr algn="l"/>
          <a:endParaRPr lang="pl-PL" sz="1100">
            <a:solidFill>
              <a:schemeClr val="tx1"/>
            </a:solidFill>
          </a:endParaRPr>
        </a:p>
      </dgm:t>
    </dgm:pt>
    <dgm:pt modelId="{1CEA5986-7889-496C-A9EE-101DCBE723AE}">
      <dgm:prSet custT="1"/>
      <dgm:spPr>
        <a:ln w="9525">
          <a:solidFill>
            <a:schemeClr val="tx1"/>
          </a:solidFill>
        </a:ln>
      </dgm:spPr>
      <dgm:t>
        <a:bodyPr/>
        <a:lstStyle/>
        <a:p>
          <a:pPr algn="l"/>
          <a:r>
            <a:rPr lang="pl-PL" sz="1000" b="1">
              <a:solidFill>
                <a:schemeClr val="tx1"/>
              </a:solidFill>
            </a:rPr>
            <a:t>Dostępność i jakość usług i infrastruktury </a:t>
          </a:r>
        </a:p>
      </dgm:t>
    </dgm:pt>
    <dgm:pt modelId="{0CD01E75-A62E-48EC-BE05-6937E1CFDEB4}" type="parTrans" cxnId="{E36E2B32-B9C7-40F6-9E42-9716991643D1}">
      <dgm:prSet/>
      <dgm:spPr/>
      <dgm:t>
        <a:bodyPr/>
        <a:lstStyle/>
        <a:p>
          <a:pPr algn="l"/>
          <a:endParaRPr lang="pl-PL" sz="1100">
            <a:solidFill>
              <a:schemeClr val="tx1"/>
            </a:solidFill>
          </a:endParaRPr>
        </a:p>
      </dgm:t>
    </dgm:pt>
    <dgm:pt modelId="{4FAF20B8-6EDC-4058-B4A3-66F7C219928E}" type="sibTrans" cxnId="{E36E2B32-B9C7-40F6-9E42-9716991643D1}">
      <dgm:prSet/>
      <dgm:spPr/>
      <dgm:t>
        <a:bodyPr/>
        <a:lstStyle/>
        <a:p>
          <a:pPr algn="l"/>
          <a:endParaRPr lang="pl-PL" sz="1100">
            <a:solidFill>
              <a:schemeClr val="tx1"/>
            </a:solidFill>
          </a:endParaRPr>
        </a:p>
      </dgm:t>
    </dgm:pt>
    <dgm:pt modelId="{C4BB1D7F-77A9-499A-B4D0-67EDACD6E9E3}" type="pres">
      <dgm:prSet presAssocID="{ACDFE34B-7F2A-4632-A241-BA032E6F3698}" presName="linear" presStyleCnt="0">
        <dgm:presLayoutVars>
          <dgm:dir/>
          <dgm:animLvl val="lvl"/>
          <dgm:resizeHandles val="exact"/>
        </dgm:presLayoutVars>
      </dgm:prSet>
      <dgm:spPr/>
    </dgm:pt>
    <dgm:pt modelId="{E4A041F8-9058-42AF-86C2-42F6C5CE5B7C}" type="pres">
      <dgm:prSet presAssocID="{78B95D6D-8C34-4C88-A03F-DC13AB7B1393}" presName="parentLin" presStyleCnt="0"/>
      <dgm:spPr/>
    </dgm:pt>
    <dgm:pt modelId="{19D3021D-941D-461B-A8A7-A56385B0DAC8}" type="pres">
      <dgm:prSet presAssocID="{78B95D6D-8C34-4C88-A03F-DC13AB7B1393}" presName="parentLeftMargin" presStyleLbl="node1" presStyleIdx="0" presStyleCnt="5"/>
      <dgm:spPr/>
    </dgm:pt>
    <dgm:pt modelId="{527AD44A-1BB9-4E99-A230-91FA33DC146E}" type="pres">
      <dgm:prSet presAssocID="{78B95D6D-8C34-4C88-A03F-DC13AB7B1393}" presName="parentText" presStyleLbl="node1" presStyleIdx="0" presStyleCnt="5" custLinFactNeighborX="6921" custLinFactNeighborY="-2515">
        <dgm:presLayoutVars>
          <dgm:chMax val="0"/>
          <dgm:bulletEnabled val="1"/>
        </dgm:presLayoutVars>
      </dgm:prSet>
      <dgm:spPr/>
    </dgm:pt>
    <dgm:pt modelId="{15C2A75E-5D21-45F2-988F-8974FDA18E12}" type="pres">
      <dgm:prSet presAssocID="{78B95D6D-8C34-4C88-A03F-DC13AB7B1393}" presName="negativeSpace" presStyleCnt="0"/>
      <dgm:spPr/>
    </dgm:pt>
    <dgm:pt modelId="{5FF1D88C-085C-4568-8142-4251A032BE87}" type="pres">
      <dgm:prSet presAssocID="{78B95D6D-8C34-4C88-A03F-DC13AB7B1393}" presName="childText" presStyleLbl="conFgAcc1" presStyleIdx="0" presStyleCnt="5">
        <dgm:presLayoutVars>
          <dgm:bulletEnabled val="1"/>
        </dgm:presLayoutVars>
        <dgm:style>
          <a:lnRef idx="2">
            <a:schemeClr val="accent5"/>
          </a:lnRef>
          <a:fillRef idx="1">
            <a:schemeClr val="lt1"/>
          </a:fillRef>
          <a:effectRef idx="0">
            <a:schemeClr val="accent5"/>
          </a:effectRef>
          <a:fontRef idx="minor">
            <a:schemeClr val="dk1"/>
          </a:fontRef>
        </dgm:style>
      </dgm:prSet>
      <dgm:spPr>
        <a:solidFill>
          <a:schemeClr val="accent1">
            <a:lumMod val="20000"/>
            <a:lumOff val="80000"/>
          </a:schemeClr>
        </a:solidFill>
      </dgm:spPr>
    </dgm:pt>
    <dgm:pt modelId="{3DE4C094-11AF-470E-8241-43CAEA41D9B9}" type="pres">
      <dgm:prSet presAssocID="{97CA3FCC-549E-43D8-901B-0CCC355C55BE}" presName="spaceBetweenRectangles" presStyleCnt="0"/>
      <dgm:spPr/>
    </dgm:pt>
    <dgm:pt modelId="{634B6B88-315C-4F73-B72C-339D0877D521}" type="pres">
      <dgm:prSet presAssocID="{1CEA5986-7889-496C-A9EE-101DCBE723AE}" presName="parentLin" presStyleCnt="0"/>
      <dgm:spPr/>
    </dgm:pt>
    <dgm:pt modelId="{84941800-1724-4A2B-8FBA-45DF66BF7258}" type="pres">
      <dgm:prSet presAssocID="{1CEA5986-7889-496C-A9EE-101DCBE723AE}" presName="parentLeftMargin" presStyleLbl="node1" presStyleIdx="0" presStyleCnt="5"/>
      <dgm:spPr/>
    </dgm:pt>
    <dgm:pt modelId="{7BB8D1C5-FD2A-44A3-9CDF-223B6B66A80B}" type="pres">
      <dgm:prSet presAssocID="{1CEA5986-7889-496C-A9EE-101DCBE723AE}" presName="parentText" presStyleLbl="node1" presStyleIdx="1" presStyleCnt="5">
        <dgm:presLayoutVars>
          <dgm:chMax val="0"/>
          <dgm:bulletEnabled val="1"/>
        </dgm:presLayoutVars>
      </dgm:prSet>
      <dgm:spPr/>
    </dgm:pt>
    <dgm:pt modelId="{F9148544-7F28-4CEB-8FCF-7AC94B69316C}" type="pres">
      <dgm:prSet presAssocID="{1CEA5986-7889-496C-A9EE-101DCBE723AE}" presName="negativeSpace" presStyleCnt="0"/>
      <dgm:spPr/>
    </dgm:pt>
    <dgm:pt modelId="{C3ADBBD4-4E5B-401F-A817-075DD7F1806C}" type="pres">
      <dgm:prSet presAssocID="{1CEA5986-7889-496C-A9EE-101DCBE723AE}" presName="childText" presStyleLbl="conFgAcc1" presStyleIdx="1" presStyleCnt="5">
        <dgm:presLayoutVars>
          <dgm:bulletEnabled val="1"/>
        </dgm:presLayoutVars>
        <dgm:style>
          <a:lnRef idx="2">
            <a:schemeClr val="accent5"/>
          </a:lnRef>
          <a:fillRef idx="1">
            <a:schemeClr val="lt1"/>
          </a:fillRef>
          <a:effectRef idx="0">
            <a:schemeClr val="accent5"/>
          </a:effectRef>
          <a:fontRef idx="minor">
            <a:schemeClr val="dk1"/>
          </a:fontRef>
        </dgm:style>
      </dgm:prSet>
      <dgm:spPr>
        <a:solidFill>
          <a:schemeClr val="accent1">
            <a:lumMod val="20000"/>
            <a:lumOff val="80000"/>
          </a:schemeClr>
        </a:solidFill>
      </dgm:spPr>
    </dgm:pt>
    <dgm:pt modelId="{84C3D89C-76E4-4A7D-A77F-8CF50DA4E869}" type="pres">
      <dgm:prSet presAssocID="{4FAF20B8-6EDC-4058-B4A3-66F7C219928E}" presName="spaceBetweenRectangles" presStyleCnt="0"/>
      <dgm:spPr/>
    </dgm:pt>
    <dgm:pt modelId="{5C05283C-6655-4B5B-8F76-0B0D204A2513}" type="pres">
      <dgm:prSet presAssocID="{82F20999-CA8D-4480-86C3-F7294149342E}" presName="parentLin" presStyleCnt="0"/>
      <dgm:spPr/>
    </dgm:pt>
    <dgm:pt modelId="{49BBCE11-4ABB-4995-AE04-8D38EF72EB32}" type="pres">
      <dgm:prSet presAssocID="{82F20999-CA8D-4480-86C3-F7294149342E}" presName="parentLeftMargin" presStyleLbl="node1" presStyleIdx="1" presStyleCnt="5"/>
      <dgm:spPr/>
    </dgm:pt>
    <dgm:pt modelId="{AD3E9CAC-4E5F-4B4A-AC2E-E3DBB0F74D4C}" type="pres">
      <dgm:prSet presAssocID="{82F20999-CA8D-4480-86C3-F7294149342E}" presName="parentText" presStyleLbl="node1" presStyleIdx="2" presStyleCnt="5">
        <dgm:presLayoutVars>
          <dgm:chMax val="0"/>
          <dgm:bulletEnabled val="1"/>
        </dgm:presLayoutVars>
      </dgm:prSet>
      <dgm:spPr/>
    </dgm:pt>
    <dgm:pt modelId="{A065E189-2D30-4FF8-9044-4D30A52CDCA6}" type="pres">
      <dgm:prSet presAssocID="{82F20999-CA8D-4480-86C3-F7294149342E}" presName="negativeSpace" presStyleCnt="0"/>
      <dgm:spPr/>
    </dgm:pt>
    <dgm:pt modelId="{0FD3764A-6231-451A-8E8D-ED3275560677}" type="pres">
      <dgm:prSet presAssocID="{82F20999-CA8D-4480-86C3-F7294149342E}" presName="childText" presStyleLbl="conFgAcc1" presStyleIdx="2" presStyleCnt="5">
        <dgm:presLayoutVars>
          <dgm:bulletEnabled val="1"/>
        </dgm:presLayoutVars>
        <dgm:style>
          <a:lnRef idx="2">
            <a:schemeClr val="accent5"/>
          </a:lnRef>
          <a:fillRef idx="1">
            <a:schemeClr val="lt1"/>
          </a:fillRef>
          <a:effectRef idx="0">
            <a:schemeClr val="accent5"/>
          </a:effectRef>
          <a:fontRef idx="minor">
            <a:schemeClr val="dk1"/>
          </a:fontRef>
        </dgm:style>
      </dgm:prSet>
      <dgm:spPr>
        <a:solidFill>
          <a:schemeClr val="accent1">
            <a:lumMod val="20000"/>
            <a:lumOff val="80000"/>
          </a:schemeClr>
        </a:solidFill>
      </dgm:spPr>
    </dgm:pt>
    <dgm:pt modelId="{AF870FB1-7B8A-4D34-A43E-A0714AA559FE}" type="pres">
      <dgm:prSet presAssocID="{74CE069B-E755-4CF7-8642-8886F0FDDC68}" presName="spaceBetweenRectangles" presStyleCnt="0"/>
      <dgm:spPr/>
    </dgm:pt>
    <dgm:pt modelId="{E335E0DB-7934-46E6-8E92-23CDADAAF669}" type="pres">
      <dgm:prSet presAssocID="{7A5175DC-F2B1-4B9E-87AE-69E614689FAA}" presName="parentLin" presStyleCnt="0"/>
      <dgm:spPr/>
    </dgm:pt>
    <dgm:pt modelId="{7547F29F-665E-497D-9D92-2143F9C1FDB2}" type="pres">
      <dgm:prSet presAssocID="{7A5175DC-F2B1-4B9E-87AE-69E614689FAA}" presName="parentLeftMargin" presStyleLbl="node1" presStyleIdx="2" presStyleCnt="5"/>
      <dgm:spPr/>
    </dgm:pt>
    <dgm:pt modelId="{9F940F8B-E9D7-4928-BA3D-322F053CBE61}" type="pres">
      <dgm:prSet presAssocID="{7A5175DC-F2B1-4B9E-87AE-69E614689FAA}" presName="parentText" presStyleLbl="node1" presStyleIdx="3" presStyleCnt="5">
        <dgm:presLayoutVars>
          <dgm:chMax val="0"/>
          <dgm:bulletEnabled val="1"/>
        </dgm:presLayoutVars>
      </dgm:prSet>
      <dgm:spPr/>
    </dgm:pt>
    <dgm:pt modelId="{B1F366BC-134F-42F9-9773-DE993BDF887E}" type="pres">
      <dgm:prSet presAssocID="{7A5175DC-F2B1-4B9E-87AE-69E614689FAA}" presName="negativeSpace" presStyleCnt="0"/>
      <dgm:spPr/>
    </dgm:pt>
    <dgm:pt modelId="{B948A329-928F-425B-9693-E4310B8CE127}" type="pres">
      <dgm:prSet presAssocID="{7A5175DC-F2B1-4B9E-87AE-69E614689FAA}" presName="childText" presStyleLbl="conFgAcc1" presStyleIdx="3" presStyleCnt="5">
        <dgm:presLayoutVars>
          <dgm:bulletEnabled val="1"/>
        </dgm:presLayoutVars>
        <dgm:style>
          <a:lnRef idx="2">
            <a:schemeClr val="accent5"/>
          </a:lnRef>
          <a:fillRef idx="1">
            <a:schemeClr val="lt1"/>
          </a:fillRef>
          <a:effectRef idx="0">
            <a:schemeClr val="accent5"/>
          </a:effectRef>
          <a:fontRef idx="minor">
            <a:schemeClr val="dk1"/>
          </a:fontRef>
        </dgm:style>
      </dgm:prSet>
      <dgm:spPr>
        <a:solidFill>
          <a:schemeClr val="accent1">
            <a:lumMod val="20000"/>
            <a:lumOff val="80000"/>
          </a:schemeClr>
        </a:solidFill>
      </dgm:spPr>
    </dgm:pt>
    <dgm:pt modelId="{B16A7042-9989-4BCA-AB59-990D5363DE1A}" type="pres">
      <dgm:prSet presAssocID="{799E16B0-8003-42E5-9CCD-2C9D9550E882}" presName="spaceBetweenRectangles" presStyleCnt="0"/>
      <dgm:spPr/>
    </dgm:pt>
    <dgm:pt modelId="{95D44CE1-250B-4743-8A57-497C81771BAC}" type="pres">
      <dgm:prSet presAssocID="{FBA2BA96-62DE-4805-B0CA-3A11A193C0D4}" presName="parentLin" presStyleCnt="0"/>
      <dgm:spPr/>
    </dgm:pt>
    <dgm:pt modelId="{C5092059-D87B-4479-AC31-2CBFEAE665FD}" type="pres">
      <dgm:prSet presAssocID="{FBA2BA96-62DE-4805-B0CA-3A11A193C0D4}" presName="parentLeftMargin" presStyleLbl="node1" presStyleIdx="3" presStyleCnt="5"/>
      <dgm:spPr/>
    </dgm:pt>
    <dgm:pt modelId="{308AAE2F-90DC-4466-9EF0-FD8A67EEC416}" type="pres">
      <dgm:prSet presAssocID="{FBA2BA96-62DE-4805-B0CA-3A11A193C0D4}" presName="parentText" presStyleLbl="node1" presStyleIdx="4" presStyleCnt="5">
        <dgm:presLayoutVars>
          <dgm:chMax val="0"/>
          <dgm:bulletEnabled val="1"/>
        </dgm:presLayoutVars>
      </dgm:prSet>
      <dgm:spPr/>
    </dgm:pt>
    <dgm:pt modelId="{C2DBE51D-8A55-4C1C-83FC-81424E0FE438}" type="pres">
      <dgm:prSet presAssocID="{FBA2BA96-62DE-4805-B0CA-3A11A193C0D4}" presName="negativeSpace" presStyleCnt="0"/>
      <dgm:spPr/>
    </dgm:pt>
    <dgm:pt modelId="{F845698B-7977-44FB-9366-3CFF26FD71BF}" type="pres">
      <dgm:prSet presAssocID="{FBA2BA96-62DE-4805-B0CA-3A11A193C0D4}" presName="childText" presStyleLbl="conFgAcc1" presStyleIdx="4" presStyleCnt="5" custLinFactY="100000" custLinFactNeighborX="3355" custLinFactNeighborY="159675">
        <dgm:presLayoutVars>
          <dgm:bulletEnabled val="1"/>
        </dgm:presLayoutVars>
        <dgm:style>
          <a:lnRef idx="2">
            <a:schemeClr val="accent5"/>
          </a:lnRef>
          <a:fillRef idx="1">
            <a:schemeClr val="lt1"/>
          </a:fillRef>
          <a:effectRef idx="0">
            <a:schemeClr val="accent5"/>
          </a:effectRef>
          <a:fontRef idx="minor">
            <a:schemeClr val="dk1"/>
          </a:fontRef>
        </dgm:style>
      </dgm:prSet>
      <dgm:spPr>
        <a:solidFill>
          <a:schemeClr val="accent1">
            <a:lumMod val="20000"/>
            <a:lumOff val="80000"/>
          </a:schemeClr>
        </a:solidFill>
      </dgm:spPr>
    </dgm:pt>
  </dgm:ptLst>
  <dgm:cxnLst>
    <dgm:cxn modelId="{616A9A13-E824-4117-B377-932CD5EB90F8}" type="presOf" srcId="{82F20999-CA8D-4480-86C3-F7294149342E}" destId="{49BBCE11-4ABB-4995-AE04-8D38EF72EB32}" srcOrd="0" destOrd="0" presId="urn:microsoft.com/office/officeart/2005/8/layout/list1"/>
    <dgm:cxn modelId="{19DC9C22-E9F4-42EF-A179-D731CC310D93}" type="presOf" srcId="{7A5175DC-F2B1-4B9E-87AE-69E614689FAA}" destId="{9F940F8B-E9D7-4928-BA3D-322F053CBE61}" srcOrd="1" destOrd="0" presId="urn:microsoft.com/office/officeart/2005/8/layout/list1"/>
    <dgm:cxn modelId="{E36E2B32-B9C7-40F6-9E42-9716991643D1}" srcId="{ACDFE34B-7F2A-4632-A241-BA032E6F3698}" destId="{1CEA5986-7889-496C-A9EE-101DCBE723AE}" srcOrd="1" destOrd="0" parTransId="{0CD01E75-A62E-48EC-BE05-6937E1CFDEB4}" sibTransId="{4FAF20B8-6EDC-4058-B4A3-66F7C219928E}"/>
    <dgm:cxn modelId="{0966183E-8822-4B38-8B58-505B3D12E78E}" type="presOf" srcId="{7A5175DC-F2B1-4B9E-87AE-69E614689FAA}" destId="{7547F29F-665E-497D-9D92-2143F9C1FDB2}" srcOrd="0" destOrd="0" presId="urn:microsoft.com/office/officeart/2005/8/layout/list1"/>
    <dgm:cxn modelId="{347BDB40-24F6-4A19-9702-7EEE65EAC3B4}" type="presOf" srcId="{78B95D6D-8C34-4C88-A03F-DC13AB7B1393}" destId="{527AD44A-1BB9-4E99-A230-91FA33DC146E}" srcOrd="1" destOrd="0" presId="urn:microsoft.com/office/officeart/2005/8/layout/list1"/>
    <dgm:cxn modelId="{0958696C-040D-4178-B2D9-7DAC954B0FE6}" srcId="{ACDFE34B-7F2A-4632-A241-BA032E6F3698}" destId="{82F20999-CA8D-4480-86C3-F7294149342E}" srcOrd="2" destOrd="0" parTransId="{7990362F-BE58-48DB-973E-C5D21DEB8006}" sibTransId="{74CE069B-E755-4CF7-8642-8886F0FDDC68}"/>
    <dgm:cxn modelId="{C2216F88-972C-4D44-BFCF-8FE04A89A6B3}" type="presOf" srcId="{1CEA5986-7889-496C-A9EE-101DCBE723AE}" destId="{7BB8D1C5-FD2A-44A3-9CDF-223B6B66A80B}" srcOrd="1" destOrd="0" presId="urn:microsoft.com/office/officeart/2005/8/layout/list1"/>
    <dgm:cxn modelId="{18F9F08D-96D7-4F97-9537-0D6C6AB8369F}" type="presOf" srcId="{1CEA5986-7889-496C-A9EE-101DCBE723AE}" destId="{84941800-1724-4A2B-8FBA-45DF66BF7258}" srcOrd="0" destOrd="0" presId="urn:microsoft.com/office/officeart/2005/8/layout/list1"/>
    <dgm:cxn modelId="{63D33599-9B71-4515-9B83-0B2DFC0AEB27}" type="presOf" srcId="{78B95D6D-8C34-4C88-A03F-DC13AB7B1393}" destId="{19D3021D-941D-461B-A8A7-A56385B0DAC8}" srcOrd="0" destOrd="0" presId="urn:microsoft.com/office/officeart/2005/8/layout/list1"/>
    <dgm:cxn modelId="{FD47D0AA-18ED-422D-A504-4D559A4527A4}" type="presOf" srcId="{ACDFE34B-7F2A-4632-A241-BA032E6F3698}" destId="{C4BB1D7F-77A9-499A-B4D0-67EDACD6E9E3}" srcOrd="0" destOrd="0" presId="urn:microsoft.com/office/officeart/2005/8/layout/list1"/>
    <dgm:cxn modelId="{990F94BE-4B5E-4FD3-A25B-540AF56D63DB}" type="presOf" srcId="{FBA2BA96-62DE-4805-B0CA-3A11A193C0D4}" destId="{308AAE2F-90DC-4466-9EF0-FD8A67EEC416}" srcOrd="1" destOrd="0" presId="urn:microsoft.com/office/officeart/2005/8/layout/list1"/>
    <dgm:cxn modelId="{9E6970C7-3839-4AF7-B214-F88E7B7CBB59}" type="presOf" srcId="{FBA2BA96-62DE-4805-B0CA-3A11A193C0D4}" destId="{C5092059-D87B-4479-AC31-2CBFEAE665FD}" srcOrd="0" destOrd="0" presId="urn:microsoft.com/office/officeart/2005/8/layout/list1"/>
    <dgm:cxn modelId="{BAF5C4D3-AE80-4510-84CA-C5391FF1665A}" srcId="{ACDFE34B-7F2A-4632-A241-BA032E6F3698}" destId="{FBA2BA96-62DE-4805-B0CA-3A11A193C0D4}" srcOrd="4" destOrd="0" parTransId="{07FF7AAF-733E-4913-8EAD-DEC813B589E6}" sibTransId="{393D0BE7-E8E3-4DD3-A6C3-ABAAEE6F6786}"/>
    <dgm:cxn modelId="{897DCFFB-0F88-4225-9353-89F16DC2335D}" srcId="{ACDFE34B-7F2A-4632-A241-BA032E6F3698}" destId="{78B95D6D-8C34-4C88-A03F-DC13AB7B1393}" srcOrd="0" destOrd="0" parTransId="{42E22A63-76A4-4B4C-ABE2-9933EFED514B}" sibTransId="{97CA3FCC-549E-43D8-901B-0CCC355C55BE}"/>
    <dgm:cxn modelId="{72B78EFD-2694-44A4-A5FF-924C3DEE2BEA}" srcId="{ACDFE34B-7F2A-4632-A241-BA032E6F3698}" destId="{7A5175DC-F2B1-4B9E-87AE-69E614689FAA}" srcOrd="3" destOrd="0" parTransId="{8A36BCFC-4767-4868-927F-271F23A3EF1E}" sibTransId="{799E16B0-8003-42E5-9CCD-2C9D9550E882}"/>
    <dgm:cxn modelId="{E21311FF-B786-4B3E-8809-4898F01CD92F}" type="presOf" srcId="{82F20999-CA8D-4480-86C3-F7294149342E}" destId="{AD3E9CAC-4E5F-4B4A-AC2E-E3DBB0F74D4C}" srcOrd="1" destOrd="0" presId="urn:microsoft.com/office/officeart/2005/8/layout/list1"/>
    <dgm:cxn modelId="{C68EBA35-9D7E-4C4B-AB5B-B189EEFBA2AB}" type="presParOf" srcId="{C4BB1D7F-77A9-499A-B4D0-67EDACD6E9E3}" destId="{E4A041F8-9058-42AF-86C2-42F6C5CE5B7C}" srcOrd="0" destOrd="0" presId="urn:microsoft.com/office/officeart/2005/8/layout/list1"/>
    <dgm:cxn modelId="{DFB0C3D0-2411-4B5A-8762-B3E0F3118FC3}" type="presParOf" srcId="{E4A041F8-9058-42AF-86C2-42F6C5CE5B7C}" destId="{19D3021D-941D-461B-A8A7-A56385B0DAC8}" srcOrd="0" destOrd="0" presId="urn:microsoft.com/office/officeart/2005/8/layout/list1"/>
    <dgm:cxn modelId="{90CE8116-6EC1-44CD-AF56-1EAE803CE881}" type="presParOf" srcId="{E4A041F8-9058-42AF-86C2-42F6C5CE5B7C}" destId="{527AD44A-1BB9-4E99-A230-91FA33DC146E}" srcOrd="1" destOrd="0" presId="urn:microsoft.com/office/officeart/2005/8/layout/list1"/>
    <dgm:cxn modelId="{16108300-4CFE-47BC-ABA2-BE71E2184D0E}" type="presParOf" srcId="{C4BB1D7F-77A9-499A-B4D0-67EDACD6E9E3}" destId="{15C2A75E-5D21-45F2-988F-8974FDA18E12}" srcOrd="1" destOrd="0" presId="urn:microsoft.com/office/officeart/2005/8/layout/list1"/>
    <dgm:cxn modelId="{198E6043-AA81-462C-B082-B07399A793E6}" type="presParOf" srcId="{C4BB1D7F-77A9-499A-B4D0-67EDACD6E9E3}" destId="{5FF1D88C-085C-4568-8142-4251A032BE87}" srcOrd="2" destOrd="0" presId="urn:microsoft.com/office/officeart/2005/8/layout/list1"/>
    <dgm:cxn modelId="{14DEF9CF-5BFE-47A4-8FF9-1D99B1FD5D53}" type="presParOf" srcId="{C4BB1D7F-77A9-499A-B4D0-67EDACD6E9E3}" destId="{3DE4C094-11AF-470E-8241-43CAEA41D9B9}" srcOrd="3" destOrd="0" presId="urn:microsoft.com/office/officeart/2005/8/layout/list1"/>
    <dgm:cxn modelId="{754665CA-E1E6-4521-B5D8-D62095EB1D11}" type="presParOf" srcId="{C4BB1D7F-77A9-499A-B4D0-67EDACD6E9E3}" destId="{634B6B88-315C-4F73-B72C-339D0877D521}" srcOrd="4" destOrd="0" presId="urn:microsoft.com/office/officeart/2005/8/layout/list1"/>
    <dgm:cxn modelId="{4EE4714E-98D9-4B9B-B439-1D947AAE41F2}" type="presParOf" srcId="{634B6B88-315C-4F73-B72C-339D0877D521}" destId="{84941800-1724-4A2B-8FBA-45DF66BF7258}" srcOrd="0" destOrd="0" presId="urn:microsoft.com/office/officeart/2005/8/layout/list1"/>
    <dgm:cxn modelId="{9A15A87B-5F21-419C-9518-103D9D6146FD}" type="presParOf" srcId="{634B6B88-315C-4F73-B72C-339D0877D521}" destId="{7BB8D1C5-FD2A-44A3-9CDF-223B6B66A80B}" srcOrd="1" destOrd="0" presId="urn:microsoft.com/office/officeart/2005/8/layout/list1"/>
    <dgm:cxn modelId="{1228ABF0-EFFE-42F8-A758-082E1A9FF176}" type="presParOf" srcId="{C4BB1D7F-77A9-499A-B4D0-67EDACD6E9E3}" destId="{F9148544-7F28-4CEB-8FCF-7AC94B69316C}" srcOrd="5" destOrd="0" presId="urn:microsoft.com/office/officeart/2005/8/layout/list1"/>
    <dgm:cxn modelId="{B4EAFB24-9B26-47F9-8F83-E89CE726DFE6}" type="presParOf" srcId="{C4BB1D7F-77A9-499A-B4D0-67EDACD6E9E3}" destId="{C3ADBBD4-4E5B-401F-A817-075DD7F1806C}" srcOrd="6" destOrd="0" presId="urn:microsoft.com/office/officeart/2005/8/layout/list1"/>
    <dgm:cxn modelId="{EF309964-E022-439B-9417-BE9F0B6F8031}" type="presParOf" srcId="{C4BB1D7F-77A9-499A-B4D0-67EDACD6E9E3}" destId="{84C3D89C-76E4-4A7D-A77F-8CF50DA4E869}" srcOrd="7" destOrd="0" presId="urn:microsoft.com/office/officeart/2005/8/layout/list1"/>
    <dgm:cxn modelId="{A25C3315-6383-495A-A844-A163FFAFAB46}" type="presParOf" srcId="{C4BB1D7F-77A9-499A-B4D0-67EDACD6E9E3}" destId="{5C05283C-6655-4B5B-8F76-0B0D204A2513}" srcOrd="8" destOrd="0" presId="urn:microsoft.com/office/officeart/2005/8/layout/list1"/>
    <dgm:cxn modelId="{D12CAB13-40F0-44C2-9801-C194D2333EBD}" type="presParOf" srcId="{5C05283C-6655-4B5B-8F76-0B0D204A2513}" destId="{49BBCE11-4ABB-4995-AE04-8D38EF72EB32}" srcOrd="0" destOrd="0" presId="urn:microsoft.com/office/officeart/2005/8/layout/list1"/>
    <dgm:cxn modelId="{CA700228-7315-4770-939B-0D9D1A0F66AB}" type="presParOf" srcId="{5C05283C-6655-4B5B-8F76-0B0D204A2513}" destId="{AD3E9CAC-4E5F-4B4A-AC2E-E3DBB0F74D4C}" srcOrd="1" destOrd="0" presId="urn:microsoft.com/office/officeart/2005/8/layout/list1"/>
    <dgm:cxn modelId="{7D7B882E-A19A-48D6-B892-CB9DF378BE89}" type="presParOf" srcId="{C4BB1D7F-77A9-499A-B4D0-67EDACD6E9E3}" destId="{A065E189-2D30-4FF8-9044-4D30A52CDCA6}" srcOrd="9" destOrd="0" presId="urn:microsoft.com/office/officeart/2005/8/layout/list1"/>
    <dgm:cxn modelId="{94A7C056-027D-4C8F-9CF3-04D4EBA00AF6}" type="presParOf" srcId="{C4BB1D7F-77A9-499A-B4D0-67EDACD6E9E3}" destId="{0FD3764A-6231-451A-8E8D-ED3275560677}" srcOrd="10" destOrd="0" presId="urn:microsoft.com/office/officeart/2005/8/layout/list1"/>
    <dgm:cxn modelId="{B9DDDED6-E0CE-411D-AC46-78C9D8A6693B}" type="presParOf" srcId="{C4BB1D7F-77A9-499A-B4D0-67EDACD6E9E3}" destId="{AF870FB1-7B8A-4D34-A43E-A0714AA559FE}" srcOrd="11" destOrd="0" presId="urn:microsoft.com/office/officeart/2005/8/layout/list1"/>
    <dgm:cxn modelId="{F7424C82-760A-4E16-A856-C82048051156}" type="presParOf" srcId="{C4BB1D7F-77A9-499A-B4D0-67EDACD6E9E3}" destId="{E335E0DB-7934-46E6-8E92-23CDADAAF669}" srcOrd="12" destOrd="0" presId="urn:microsoft.com/office/officeart/2005/8/layout/list1"/>
    <dgm:cxn modelId="{234373E9-B070-4408-88C1-C0D6A50DC189}" type="presParOf" srcId="{E335E0DB-7934-46E6-8E92-23CDADAAF669}" destId="{7547F29F-665E-497D-9D92-2143F9C1FDB2}" srcOrd="0" destOrd="0" presId="urn:microsoft.com/office/officeart/2005/8/layout/list1"/>
    <dgm:cxn modelId="{611C7845-B3EE-4E2D-B180-F46271A4849F}" type="presParOf" srcId="{E335E0DB-7934-46E6-8E92-23CDADAAF669}" destId="{9F940F8B-E9D7-4928-BA3D-322F053CBE61}" srcOrd="1" destOrd="0" presId="urn:microsoft.com/office/officeart/2005/8/layout/list1"/>
    <dgm:cxn modelId="{D495CC80-D4E4-42EC-BE02-15F0B439F1BC}" type="presParOf" srcId="{C4BB1D7F-77A9-499A-B4D0-67EDACD6E9E3}" destId="{B1F366BC-134F-42F9-9773-DE993BDF887E}" srcOrd="13" destOrd="0" presId="urn:microsoft.com/office/officeart/2005/8/layout/list1"/>
    <dgm:cxn modelId="{73069E16-9CDF-45B3-8E14-1946EFEA4C3F}" type="presParOf" srcId="{C4BB1D7F-77A9-499A-B4D0-67EDACD6E9E3}" destId="{B948A329-928F-425B-9693-E4310B8CE127}" srcOrd="14" destOrd="0" presId="urn:microsoft.com/office/officeart/2005/8/layout/list1"/>
    <dgm:cxn modelId="{1D9B2F28-0AC8-4DCC-8E7A-A1DA07DDADA0}" type="presParOf" srcId="{C4BB1D7F-77A9-499A-B4D0-67EDACD6E9E3}" destId="{B16A7042-9989-4BCA-AB59-990D5363DE1A}" srcOrd="15" destOrd="0" presId="urn:microsoft.com/office/officeart/2005/8/layout/list1"/>
    <dgm:cxn modelId="{7230ADD3-4EFC-4850-8481-05B377EF2D2F}" type="presParOf" srcId="{C4BB1D7F-77A9-499A-B4D0-67EDACD6E9E3}" destId="{95D44CE1-250B-4743-8A57-497C81771BAC}" srcOrd="16" destOrd="0" presId="urn:microsoft.com/office/officeart/2005/8/layout/list1"/>
    <dgm:cxn modelId="{D56531F7-53DD-4AEA-ADF5-9B9A7A630AD4}" type="presParOf" srcId="{95D44CE1-250B-4743-8A57-497C81771BAC}" destId="{C5092059-D87B-4479-AC31-2CBFEAE665FD}" srcOrd="0" destOrd="0" presId="urn:microsoft.com/office/officeart/2005/8/layout/list1"/>
    <dgm:cxn modelId="{746C8673-B3B4-4CE2-833D-2CBD06E76F91}" type="presParOf" srcId="{95D44CE1-250B-4743-8A57-497C81771BAC}" destId="{308AAE2F-90DC-4466-9EF0-FD8A67EEC416}" srcOrd="1" destOrd="0" presId="urn:microsoft.com/office/officeart/2005/8/layout/list1"/>
    <dgm:cxn modelId="{64AFEDB3-C701-4B83-BE88-8436586BC06D}" type="presParOf" srcId="{C4BB1D7F-77A9-499A-B4D0-67EDACD6E9E3}" destId="{C2DBE51D-8A55-4C1C-83FC-81424E0FE438}" srcOrd="17" destOrd="0" presId="urn:microsoft.com/office/officeart/2005/8/layout/list1"/>
    <dgm:cxn modelId="{45EEABDB-DB46-473A-BC79-B21CBE9B7534}" type="presParOf" srcId="{C4BB1D7F-77A9-499A-B4D0-67EDACD6E9E3}" destId="{F845698B-7977-44FB-9366-3CFF26FD71BF}" srcOrd="18" destOrd="0" presId="urn:microsoft.com/office/officeart/2005/8/layout/list1"/>
  </dgm:cxnLst>
  <dgm:bg/>
  <dgm:whole/>
  <dgm:extLst>
    <a:ext uri="http://schemas.microsoft.com/office/drawing/2008/diagram">
      <dsp:dataModelExt xmlns:dsp="http://schemas.microsoft.com/office/drawing/2008/diagram" relId="rId53"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ACDFE34B-7F2A-4632-A241-BA032E6F3698}" type="doc">
      <dgm:prSet loTypeId="urn:microsoft.com/office/officeart/2005/8/layout/list1" loCatId="list" qsTypeId="urn:microsoft.com/office/officeart/2005/8/quickstyle/simple1" qsCatId="simple" csTypeId="urn:microsoft.com/office/officeart/2005/8/colors/accent3_3" csCatId="accent3" phldr="1"/>
      <dgm:spPr/>
      <dgm:t>
        <a:bodyPr/>
        <a:lstStyle/>
        <a:p>
          <a:endParaRPr lang="pl-PL"/>
        </a:p>
      </dgm:t>
    </dgm:pt>
    <dgm:pt modelId="{78B95D6D-8C34-4C88-A03F-DC13AB7B1393}">
      <dgm:prSet phldrT="[Tekst]" custT="1"/>
      <dgm:spPr>
        <a:ln w="9525">
          <a:solidFill>
            <a:schemeClr val="tx1"/>
          </a:solidFill>
        </a:ln>
      </dgm:spPr>
      <dgm:t>
        <a:bodyPr/>
        <a:lstStyle/>
        <a:p>
          <a:pPr algn="l"/>
          <a:r>
            <a:rPr lang="pl-PL" sz="1000" b="1">
              <a:solidFill>
                <a:schemeClr val="tx1"/>
              </a:solidFill>
            </a:rPr>
            <a:t>Potencjał i konkurencyjność lokalnej gospodarki</a:t>
          </a:r>
        </a:p>
      </dgm:t>
    </dgm:pt>
    <dgm:pt modelId="{42E22A63-76A4-4B4C-ABE2-9933EFED514B}" type="parTrans" cxnId="{897DCFFB-0F88-4225-9353-89F16DC2335D}">
      <dgm:prSet/>
      <dgm:spPr/>
      <dgm:t>
        <a:bodyPr/>
        <a:lstStyle/>
        <a:p>
          <a:pPr algn="l"/>
          <a:endParaRPr lang="pl-PL" sz="1100">
            <a:solidFill>
              <a:schemeClr val="tx1"/>
            </a:solidFill>
          </a:endParaRPr>
        </a:p>
      </dgm:t>
    </dgm:pt>
    <dgm:pt modelId="{97CA3FCC-549E-43D8-901B-0CCC355C55BE}" type="sibTrans" cxnId="{897DCFFB-0F88-4225-9353-89F16DC2335D}">
      <dgm:prSet/>
      <dgm:spPr/>
      <dgm:t>
        <a:bodyPr/>
        <a:lstStyle/>
        <a:p>
          <a:pPr algn="l"/>
          <a:endParaRPr lang="pl-PL" sz="1100">
            <a:solidFill>
              <a:schemeClr val="tx1"/>
            </a:solidFill>
          </a:endParaRPr>
        </a:p>
      </dgm:t>
    </dgm:pt>
    <dgm:pt modelId="{82F20999-CA8D-4480-86C3-F7294149342E}">
      <dgm:prSet phldrT="[Tekst]" custT="1"/>
      <dgm:spPr>
        <a:ln w="9525">
          <a:solidFill>
            <a:schemeClr val="tx1"/>
          </a:solidFill>
        </a:ln>
      </dgm:spPr>
      <dgm:t>
        <a:bodyPr/>
        <a:lstStyle/>
        <a:p>
          <a:pPr algn="l"/>
          <a:r>
            <a:rPr lang="pl-PL" sz="1000" b="1">
              <a:solidFill>
                <a:schemeClr val="tx1"/>
              </a:solidFill>
            </a:rPr>
            <a:t>Potencjał ekonomiczny społeczności lokalnej </a:t>
          </a:r>
        </a:p>
      </dgm:t>
    </dgm:pt>
    <dgm:pt modelId="{7990362F-BE58-48DB-973E-C5D21DEB8006}" type="parTrans" cxnId="{0958696C-040D-4178-B2D9-7DAC954B0FE6}">
      <dgm:prSet/>
      <dgm:spPr/>
      <dgm:t>
        <a:bodyPr/>
        <a:lstStyle/>
        <a:p>
          <a:pPr algn="l"/>
          <a:endParaRPr lang="pl-PL" sz="1100">
            <a:solidFill>
              <a:schemeClr val="tx1"/>
            </a:solidFill>
          </a:endParaRPr>
        </a:p>
      </dgm:t>
    </dgm:pt>
    <dgm:pt modelId="{74CE069B-E755-4CF7-8642-8886F0FDDC68}" type="sibTrans" cxnId="{0958696C-040D-4178-B2D9-7DAC954B0FE6}">
      <dgm:prSet/>
      <dgm:spPr/>
      <dgm:t>
        <a:bodyPr/>
        <a:lstStyle/>
        <a:p>
          <a:pPr algn="l"/>
          <a:endParaRPr lang="pl-PL" sz="1100">
            <a:solidFill>
              <a:schemeClr val="tx1"/>
            </a:solidFill>
          </a:endParaRPr>
        </a:p>
      </dgm:t>
    </dgm:pt>
    <dgm:pt modelId="{7A5175DC-F2B1-4B9E-87AE-69E614689FAA}">
      <dgm:prSet custT="1"/>
      <dgm:spPr>
        <a:ln w="9525">
          <a:solidFill>
            <a:schemeClr val="tx1"/>
          </a:solidFill>
        </a:ln>
      </dgm:spPr>
      <dgm:t>
        <a:bodyPr/>
        <a:lstStyle/>
        <a:p>
          <a:pPr algn="l"/>
          <a:r>
            <a:rPr lang="pl-PL" sz="1000" b="1">
              <a:solidFill>
                <a:schemeClr val="tx1"/>
              </a:solidFill>
            </a:rPr>
            <a:t>Zdolność finansowania rozwoju </a:t>
          </a:r>
        </a:p>
      </dgm:t>
    </dgm:pt>
    <dgm:pt modelId="{8A36BCFC-4767-4868-927F-271F23A3EF1E}" type="parTrans" cxnId="{72B78EFD-2694-44A4-A5FF-924C3DEE2BEA}">
      <dgm:prSet/>
      <dgm:spPr/>
      <dgm:t>
        <a:bodyPr/>
        <a:lstStyle/>
        <a:p>
          <a:pPr algn="l"/>
          <a:endParaRPr lang="pl-PL" sz="1100">
            <a:solidFill>
              <a:schemeClr val="tx1"/>
            </a:solidFill>
          </a:endParaRPr>
        </a:p>
      </dgm:t>
    </dgm:pt>
    <dgm:pt modelId="{799E16B0-8003-42E5-9CCD-2C9D9550E882}" type="sibTrans" cxnId="{72B78EFD-2694-44A4-A5FF-924C3DEE2BEA}">
      <dgm:prSet/>
      <dgm:spPr/>
      <dgm:t>
        <a:bodyPr/>
        <a:lstStyle/>
        <a:p>
          <a:pPr algn="l"/>
          <a:endParaRPr lang="pl-PL" sz="1100">
            <a:solidFill>
              <a:schemeClr val="tx1"/>
            </a:solidFill>
          </a:endParaRPr>
        </a:p>
      </dgm:t>
    </dgm:pt>
    <dgm:pt modelId="{1CEA5986-7889-496C-A9EE-101DCBE723AE}">
      <dgm:prSet custT="1"/>
      <dgm:spPr>
        <a:ln w="9525">
          <a:solidFill>
            <a:schemeClr val="tx1"/>
          </a:solidFill>
        </a:ln>
      </dgm:spPr>
      <dgm:t>
        <a:bodyPr/>
        <a:lstStyle/>
        <a:p>
          <a:pPr algn="l"/>
          <a:r>
            <a:rPr lang="pl-PL" sz="1000" b="1">
              <a:solidFill>
                <a:schemeClr val="tx1"/>
              </a:solidFill>
            </a:rPr>
            <a:t>Rynek pracy i kwalifikacje siły roboczej </a:t>
          </a:r>
        </a:p>
      </dgm:t>
    </dgm:pt>
    <dgm:pt modelId="{0CD01E75-A62E-48EC-BE05-6937E1CFDEB4}" type="parTrans" cxnId="{E36E2B32-B9C7-40F6-9E42-9716991643D1}">
      <dgm:prSet/>
      <dgm:spPr/>
      <dgm:t>
        <a:bodyPr/>
        <a:lstStyle/>
        <a:p>
          <a:pPr algn="l"/>
          <a:endParaRPr lang="pl-PL" sz="1100">
            <a:solidFill>
              <a:schemeClr val="tx1"/>
            </a:solidFill>
          </a:endParaRPr>
        </a:p>
      </dgm:t>
    </dgm:pt>
    <dgm:pt modelId="{4FAF20B8-6EDC-4058-B4A3-66F7C219928E}" type="sibTrans" cxnId="{E36E2B32-B9C7-40F6-9E42-9716991643D1}">
      <dgm:prSet/>
      <dgm:spPr/>
      <dgm:t>
        <a:bodyPr/>
        <a:lstStyle/>
        <a:p>
          <a:pPr algn="l"/>
          <a:endParaRPr lang="pl-PL" sz="1100">
            <a:solidFill>
              <a:schemeClr val="tx1"/>
            </a:solidFill>
          </a:endParaRPr>
        </a:p>
      </dgm:t>
    </dgm:pt>
    <dgm:pt modelId="{C4BB1D7F-77A9-499A-B4D0-67EDACD6E9E3}" type="pres">
      <dgm:prSet presAssocID="{ACDFE34B-7F2A-4632-A241-BA032E6F3698}" presName="linear" presStyleCnt="0">
        <dgm:presLayoutVars>
          <dgm:dir/>
          <dgm:animLvl val="lvl"/>
          <dgm:resizeHandles val="exact"/>
        </dgm:presLayoutVars>
      </dgm:prSet>
      <dgm:spPr/>
    </dgm:pt>
    <dgm:pt modelId="{E4A041F8-9058-42AF-86C2-42F6C5CE5B7C}" type="pres">
      <dgm:prSet presAssocID="{78B95D6D-8C34-4C88-A03F-DC13AB7B1393}" presName="parentLin" presStyleCnt="0"/>
      <dgm:spPr/>
    </dgm:pt>
    <dgm:pt modelId="{19D3021D-941D-461B-A8A7-A56385B0DAC8}" type="pres">
      <dgm:prSet presAssocID="{78B95D6D-8C34-4C88-A03F-DC13AB7B1393}" presName="parentLeftMargin" presStyleLbl="node1" presStyleIdx="0" presStyleCnt="4"/>
      <dgm:spPr/>
    </dgm:pt>
    <dgm:pt modelId="{527AD44A-1BB9-4E99-A230-91FA33DC146E}" type="pres">
      <dgm:prSet presAssocID="{78B95D6D-8C34-4C88-A03F-DC13AB7B1393}" presName="parentText" presStyleLbl="node1" presStyleIdx="0" presStyleCnt="4" custLinFactNeighborY="-5736">
        <dgm:presLayoutVars>
          <dgm:chMax val="0"/>
          <dgm:bulletEnabled val="1"/>
        </dgm:presLayoutVars>
      </dgm:prSet>
      <dgm:spPr/>
    </dgm:pt>
    <dgm:pt modelId="{15C2A75E-5D21-45F2-988F-8974FDA18E12}" type="pres">
      <dgm:prSet presAssocID="{78B95D6D-8C34-4C88-A03F-DC13AB7B1393}" presName="negativeSpace" presStyleCnt="0"/>
      <dgm:spPr/>
    </dgm:pt>
    <dgm:pt modelId="{5FF1D88C-085C-4568-8142-4251A032BE87}" type="pres">
      <dgm:prSet presAssocID="{78B95D6D-8C34-4C88-A03F-DC13AB7B1393}" presName="childText" presStyleLbl="conFgAcc1" presStyleIdx="0" presStyleCnt="4">
        <dgm:presLayoutVars>
          <dgm:bulletEnabled val="1"/>
        </dgm:presLayoutVars>
        <dgm:style>
          <a:lnRef idx="2">
            <a:schemeClr val="accent4"/>
          </a:lnRef>
          <a:fillRef idx="1">
            <a:schemeClr val="lt1"/>
          </a:fillRef>
          <a:effectRef idx="0">
            <a:schemeClr val="accent4"/>
          </a:effectRef>
          <a:fontRef idx="minor">
            <a:schemeClr val="dk1"/>
          </a:fontRef>
        </dgm:style>
      </dgm:prSet>
      <dgm:spPr>
        <a:solidFill>
          <a:srgbClr val="FFF8E5"/>
        </a:solidFill>
      </dgm:spPr>
    </dgm:pt>
    <dgm:pt modelId="{3DE4C094-11AF-470E-8241-43CAEA41D9B9}" type="pres">
      <dgm:prSet presAssocID="{97CA3FCC-549E-43D8-901B-0CCC355C55BE}" presName="spaceBetweenRectangles" presStyleCnt="0"/>
      <dgm:spPr/>
    </dgm:pt>
    <dgm:pt modelId="{634B6B88-315C-4F73-B72C-339D0877D521}" type="pres">
      <dgm:prSet presAssocID="{1CEA5986-7889-496C-A9EE-101DCBE723AE}" presName="parentLin" presStyleCnt="0"/>
      <dgm:spPr/>
    </dgm:pt>
    <dgm:pt modelId="{84941800-1724-4A2B-8FBA-45DF66BF7258}" type="pres">
      <dgm:prSet presAssocID="{1CEA5986-7889-496C-A9EE-101DCBE723AE}" presName="parentLeftMargin" presStyleLbl="node1" presStyleIdx="0" presStyleCnt="4"/>
      <dgm:spPr/>
    </dgm:pt>
    <dgm:pt modelId="{7BB8D1C5-FD2A-44A3-9CDF-223B6B66A80B}" type="pres">
      <dgm:prSet presAssocID="{1CEA5986-7889-496C-A9EE-101DCBE723AE}" presName="parentText" presStyleLbl="node1" presStyleIdx="1" presStyleCnt="4">
        <dgm:presLayoutVars>
          <dgm:chMax val="0"/>
          <dgm:bulletEnabled val="1"/>
        </dgm:presLayoutVars>
      </dgm:prSet>
      <dgm:spPr/>
    </dgm:pt>
    <dgm:pt modelId="{F9148544-7F28-4CEB-8FCF-7AC94B69316C}" type="pres">
      <dgm:prSet presAssocID="{1CEA5986-7889-496C-A9EE-101DCBE723AE}" presName="negativeSpace" presStyleCnt="0"/>
      <dgm:spPr/>
    </dgm:pt>
    <dgm:pt modelId="{C3ADBBD4-4E5B-401F-A817-075DD7F1806C}" type="pres">
      <dgm:prSet presAssocID="{1CEA5986-7889-496C-A9EE-101DCBE723AE}" presName="childText" presStyleLbl="conFgAcc1" presStyleIdx="1" presStyleCnt="4">
        <dgm:presLayoutVars>
          <dgm:bulletEnabled val="1"/>
        </dgm:presLayoutVars>
        <dgm:style>
          <a:lnRef idx="2">
            <a:schemeClr val="accent4"/>
          </a:lnRef>
          <a:fillRef idx="1">
            <a:schemeClr val="lt1"/>
          </a:fillRef>
          <a:effectRef idx="0">
            <a:schemeClr val="accent4"/>
          </a:effectRef>
          <a:fontRef idx="minor">
            <a:schemeClr val="dk1"/>
          </a:fontRef>
        </dgm:style>
      </dgm:prSet>
      <dgm:spPr>
        <a:solidFill>
          <a:srgbClr val="FFF8E5"/>
        </a:solidFill>
      </dgm:spPr>
    </dgm:pt>
    <dgm:pt modelId="{84C3D89C-76E4-4A7D-A77F-8CF50DA4E869}" type="pres">
      <dgm:prSet presAssocID="{4FAF20B8-6EDC-4058-B4A3-66F7C219928E}" presName="spaceBetweenRectangles" presStyleCnt="0"/>
      <dgm:spPr/>
    </dgm:pt>
    <dgm:pt modelId="{5C05283C-6655-4B5B-8F76-0B0D204A2513}" type="pres">
      <dgm:prSet presAssocID="{82F20999-CA8D-4480-86C3-F7294149342E}" presName="parentLin" presStyleCnt="0"/>
      <dgm:spPr/>
    </dgm:pt>
    <dgm:pt modelId="{49BBCE11-4ABB-4995-AE04-8D38EF72EB32}" type="pres">
      <dgm:prSet presAssocID="{82F20999-CA8D-4480-86C3-F7294149342E}" presName="parentLeftMargin" presStyleLbl="node1" presStyleIdx="1" presStyleCnt="4"/>
      <dgm:spPr/>
    </dgm:pt>
    <dgm:pt modelId="{AD3E9CAC-4E5F-4B4A-AC2E-E3DBB0F74D4C}" type="pres">
      <dgm:prSet presAssocID="{82F20999-CA8D-4480-86C3-F7294149342E}" presName="parentText" presStyleLbl="node1" presStyleIdx="2" presStyleCnt="4">
        <dgm:presLayoutVars>
          <dgm:chMax val="0"/>
          <dgm:bulletEnabled val="1"/>
        </dgm:presLayoutVars>
      </dgm:prSet>
      <dgm:spPr/>
    </dgm:pt>
    <dgm:pt modelId="{A065E189-2D30-4FF8-9044-4D30A52CDCA6}" type="pres">
      <dgm:prSet presAssocID="{82F20999-CA8D-4480-86C3-F7294149342E}" presName="negativeSpace" presStyleCnt="0"/>
      <dgm:spPr/>
    </dgm:pt>
    <dgm:pt modelId="{0FD3764A-6231-451A-8E8D-ED3275560677}" type="pres">
      <dgm:prSet presAssocID="{82F20999-CA8D-4480-86C3-F7294149342E}" presName="childText" presStyleLbl="conFgAcc1" presStyleIdx="2" presStyleCnt="4">
        <dgm:presLayoutVars>
          <dgm:bulletEnabled val="1"/>
        </dgm:presLayoutVars>
        <dgm:style>
          <a:lnRef idx="2">
            <a:schemeClr val="accent4"/>
          </a:lnRef>
          <a:fillRef idx="1">
            <a:schemeClr val="lt1"/>
          </a:fillRef>
          <a:effectRef idx="0">
            <a:schemeClr val="accent4"/>
          </a:effectRef>
          <a:fontRef idx="minor">
            <a:schemeClr val="dk1"/>
          </a:fontRef>
        </dgm:style>
      </dgm:prSet>
      <dgm:spPr>
        <a:solidFill>
          <a:srgbClr val="FFF8E5"/>
        </a:solidFill>
      </dgm:spPr>
    </dgm:pt>
    <dgm:pt modelId="{AF870FB1-7B8A-4D34-A43E-A0714AA559FE}" type="pres">
      <dgm:prSet presAssocID="{74CE069B-E755-4CF7-8642-8886F0FDDC68}" presName="spaceBetweenRectangles" presStyleCnt="0"/>
      <dgm:spPr/>
    </dgm:pt>
    <dgm:pt modelId="{E335E0DB-7934-46E6-8E92-23CDADAAF669}" type="pres">
      <dgm:prSet presAssocID="{7A5175DC-F2B1-4B9E-87AE-69E614689FAA}" presName="parentLin" presStyleCnt="0"/>
      <dgm:spPr/>
    </dgm:pt>
    <dgm:pt modelId="{7547F29F-665E-497D-9D92-2143F9C1FDB2}" type="pres">
      <dgm:prSet presAssocID="{7A5175DC-F2B1-4B9E-87AE-69E614689FAA}" presName="parentLeftMargin" presStyleLbl="node1" presStyleIdx="2" presStyleCnt="4"/>
      <dgm:spPr/>
    </dgm:pt>
    <dgm:pt modelId="{9F940F8B-E9D7-4928-BA3D-322F053CBE61}" type="pres">
      <dgm:prSet presAssocID="{7A5175DC-F2B1-4B9E-87AE-69E614689FAA}" presName="parentText" presStyleLbl="node1" presStyleIdx="3" presStyleCnt="4">
        <dgm:presLayoutVars>
          <dgm:chMax val="0"/>
          <dgm:bulletEnabled val="1"/>
        </dgm:presLayoutVars>
      </dgm:prSet>
      <dgm:spPr/>
    </dgm:pt>
    <dgm:pt modelId="{B1F366BC-134F-42F9-9773-DE993BDF887E}" type="pres">
      <dgm:prSet presAssocID="{7A5175DC-F2B1-4B9E-87AE-69E614689FAA}" presName="negativeSpace" presStyleCnt="0"/>
      <dgm:spPr/>
    </dgm:pt>
    <dgm:pt modelId="{B948A329-928F-425B-9693-E4310B8CE127}" type="pres">
      <dgm:prSet presAssocID="{7A5175DC-F2B1-4B9E-87AE-69E614689FAA}" presName="childText" presStyleLbl="conFgAcc1" presStyleIdx="3" presStyleCnt="4">
        <dgm:presLayoutVars>
          <dgm:bulletEnabled val="1"/>
        </dgm:presLayoutVars>
        <dgm:style>
          <a:lnRef idx="2">
            <a:schemeClr val="accent4"/>
          </a:lnRef>
          <a:fillRef idx="1">
            <a:schemeClr val="lt1"/>
          </a:fillRef>
          <a:effectRef idx="0">
            <a:schemeClr val="accent4"/>
          </a:effectRef>
          <a:fontRef idx="minor">
            <a:schemeClr val="dk1"/>
          </a:fontRef>
        </dgm:style>
      </dgm:prSet>
      <dgm:spPr>
        <a:solidFill>
          <a:srgbClr val="FFF8E5"/>
        </a:solidFill>
      </dgm:spPr>
    </dgm:pt>
  </dgm:ptLst>
  <dgm:cxnLst>
    <dgm:cxn modelId="{616A9A13-E824-4117-B377-932CD5EB90F8}" type="presOf" srcId="{82F20999-CA8D-4480-86C3-F7294149342E}" destId="{49BBCE11-4ABB-4995-AE04-8D38EF72EB32}" srcOrd="0" destOrd="0" presId="urn:microsoft.com/office/officeart/2005/8/layout/list1"/>
    <dgm:cxn modelId="{19DC9C22-E9F4-42EF-A179-D731CC310D93}" type="presOf" srcId="{7A5175DC-F2B1-4B9E-87AE-69E614689FAA}" destId="{9F940F8B-E9D7-4928-BA3D-322F053CBE61}" srcOrd="1" destOrd="0" presId="urn:microsoft.com/office/officeart/2005/8/layout/list1"/>
    <dgm:cxn modelId="{E36E2B32-B9C7-40F6-9E42-9716991643D1}" srcId="{ACDFE34B-7F2A-4632-A241-BA032E6F3698}" destId="{1CEA5986-7889-496C-A9EE-101DCBE723AE}" srcOrd="1" destOrd="0" parTransId="{0CD01E75-A62E-48EC-BE05-6937E1CFDEB4}" sibTransId="{4FAF20B8-6EDC-4058-B4A3-66F7C219928E}"/>
    <dgm:cxn modelId="{0966183E-8822-4B38-8B58-505B3D12E78E}" type="presOf" srcId="{7A5175DC-F2B1-4B9E-87AE-69E614689FAA}" destId="{7547F29F-665E-497D-9D92-2143F9C1FDB2}" srcOrd="0" destOrd="0" presId="urn:microsoft.com/office/officeart/2005/8/layout/list1"/>
    <dgm:cxn modelId="{347BDB40-24F6-4A19-9702-7EEE65EAC3B4}" type="presOf" srcId="{78B95D6D-8C34-4C88-A03F-DC13AB7B1393}" destId="{527AD44A-1BB9-4E99-A230-91FA33DC146E}" srcOrd="1" destOrd="0" presId="urn:microsoft.com/office/officeart/2005/8/layout/list1"/>
    <dgm:cxn modelId="{0958696C-040D-4178-B2D9-7DAC954B0FE6}" srcId="{ACDFE34B-7F2A-4632-A241-BA032E6F3698}" destId="{82F20999-CA8D-4480-86C3-F7294149342E}" srcOrd="2" destOrd="0" parTransId="{7990362F-BE58-48DB-973E-C5D21DEB8006}" sibTransId="{74CE069B-E755-4CF7-8642-8886F0FDDC68}"/>
    <dgm:cxn modelId="{C2216F88-972C-4D44-BFCF-8FE04A89A6B3}" type="presOf" srcId="{1CEA5986-7889-496C-A9EE-101DCBE723AE}" destId="{7BB8D1C5-FD2A-44A3-9CDF-223B6B66A80B}" srcOrd="1" destOrd="0" presId="urn:microsoft.com/office/officeart/2005/8/layout/list1"/>
    <dgm:cxn modelId="{18F9F08D-96D7-4F97-9537-0D6C6AB8369F}" type="presOf" srcId="{1CEA5986-7889-496C-A9EE-101DCBE723AE}" destId="{84941800-1724-4A2B-8FBA-45DF66BF7258}" srcOrd="0" destOrd="0" presId="urn:microsoft.com/office/officeart/2005/8/layout/list1"/>
    <dgm:cxn modelId="{63D33599-9B71-4515-9B83-0B2DFC0AEB27}" type="presOf" srcId="{78B95D6D-8C34-4C88-A03F-DC13AB7B1393}" destId="{19D3021D-941D-461B-A8A7-A56385B0DAC8}" srcOrd="0" destOrd="0" presId="urn:microsoft.com/office/officeart/2005/8/layout/list1"/>
    <dgm:cxn modelId="{FD47D0AA-18ED-422D-A504-4D559A4527A4}" type="presOf" srcId="{ACDFE34B-7F2A-4632-A241-BA032E6F3698}" destId="{C4BB1D7F-77A9-499A-B4D0-67EDACD6E9E3}" srcOrd="0" destOrd="0" presId="urn:microsoft.com/office/officeart/2005/8/layout/list1"/>
    <dgm:cxn modelId="{897DCFFB-0F88-4225-9353-89F16DC2335D}" srcId="{ACDFE34B-7F2A-4632-A241-BA032E6F3698}" destId="{78B95D6D-8C34-4C88-A03F-DC13AB7B1393}" srcOrd="0" destOrd="0" parTransId="{42E22A63-76A4-4B4C-ABE2-9933EFED514B}" sibTransId="{97CA3FCC-549E-43D8-901B-0CCC355C55BE}"/>
    <dgm:cxn modelId="{72B78EFD-2694-44A4-A5FF-924C3DEE2BEA}" srcId="{ACDFE34B-7F2A-4632-A241-BA032E6F3698}" destId="{7A5175DC-F2B1-4B9E-87AE-69E614689FAA}" srcOrd="3" destOrd="0" parTransId="{8A36BCFC-4767-4868-927F-271F23A3EF1E}" sibTransId="{799E16B0-8003-42E5-9CCD-2C9D9550E882}"/>
    <dgm:cxn modelId="{E21311FF-B786-4B3E-8809-4898F01CD92F}" type="presOf" srcId="{82F20999-CA8D-4480-86C3-F7294149342E}" destId="{AD3E9CAC-4E5F-4B4A-AC2E-E3DBB0F74D4C}" srcOrd="1" destOrd="0" presId="urn:microsoft.com/office/officeart/2005/8/layout/list1"/>
    <dgm:cxn modelId="{C68EBA35-9D7E-4C4B-AB5B-B189EEFBA2AB}" type="presParOf" srcId="{C4BB1D7F-77A9-499A-B4D0-67EDACD6E9E3}" destId="{E4A041F8-9058-42AF-86C2-42F6C5CE5B7C}" srcOrd="0" destOrd="0" presId="urn:microsoft.com/office/officeart/2005/8/layout/list1"/>
    <dgm:cxn modelId="{DFB0C3D0-2411-4B5A-8762-B3E0F3118FC3}" type="presParOf" srcId="{E4A041F8-9058-42AF-86C2-42F6C5CE5B7C}" destId="{19D3021D-941D-461B-A8A7-A56385B0DAC8}" srcOrd="0" destOrd="0" presId="urn:microsoft.com/office/officeart/2005/8/layout/list1"/>
    <dgm:cxn modelId="{90CE8116-6EC1-44CD-AF56-1EAE803CE881}" type="presParOf" srcId="{E4A041F8-9058-42AF-86C2-42F6C5CE5B7C}" destId="{527AD44A-1BB9-4E99-A230-91FA33DC146E}" srcOrd="1" destOrd="0" presId="urn:microsoft.com/office/officeart/2005/8/layout/list1"/>
    <dgm:cxn modelId="{16108300-4CFE-47BC-ABA2-BE71E2184D0E}" type="presParOf" srcId="{C4BB1D7F-77A9-499A-B4D0-67EDACD6E9E3}" destId="{15C2A75E-5D21-45F2-988F-8974FDA18E12}" srcOrd="1" destOrd="0" presId="urn:microsoft.com/office/officeart/2005/8/layout/list1"/>
    <dgm:cxn modelId="{198E6043-AA81-462C-B082-B07399A793E6}" type="presParOf" srcId="{C4BB1D7F-77A9-499A-B4D0-67EDACD6E9E3}" destId="{5FF1D88C-085C-4568-8142-4251A032BE87}" srcOrd="2" destOrd="0" presId="urn:microsoft.com/office/officeart/2005/8/layout/list1"/>
    <dgm:cxn modelId="{14DEF9CF-5BFE-47A4-8FF9-1D99B1FD5D53}" type="presParOf" srcId="{C4BB1D7F-77A9-499A-B4D0-67EDACD6E9E3}" destId="{3DE4C094-11AF-470E-8241-43CAEA41D9B9}" srcOrd="3" destOrd="0" presId="urn:microsoft.com/office/officeart/2005/8/layout/list1"/>
    <dgm:cxn modelId="{754665CA-E1E6-4521-B5D8-D62095EB1D11}" type="presParOf" srcId="{C4BB1D7F-77A9-499A-B4D0-67EDACD6E9E3}" destId="{634B6B88-315C-4F73-B72C-339D0877D521}" srcOrd="4" destOrd="0" presId="urn:microsoft.com/office/officeart/2005/8/layout/list1"/>
    <dgm:cxn modelId="{4EE4714E-98D9-4B9B-B439-1D947AAE41F2}" type="presParOf" srcId="{634B6B88-315C-4F73-B72C-339D0877D521}" destId="{84941800-1724-4A2B-8FBA-45DF66BF7258}" srcOrd="0" destOrd="0" presId="urn:microsoft.com/office/officeart/2005/8/layout/list1"/>
    <dgm:cxn modelId="{9A15A87B-5F21-419C-9518-103D9D6146FD}" type="presParOf" srcId="{634B6B88-315C-4F73-B72C-339D0877D521}" destId="{7BB8D1C5-FD2A-44A3-9CDF-223B6B66A80B}" srcOrd="1" destOrd="0" presId="urn:microsoft.com/office/officeart/2005/8/layout/list1"/>
    <dgm:cxn modelId="{1228ABF0-EFFE-42F8-A758-082E1A9FF176}" type="presParOf" srcId="{C4BB1D7F-77A9-499A-B4D0-67EDACD6E9E3}" destId="{F9148544-7F28-4CEB-8FCF-7AC94B69316C}" srcOrd="5" destOrd="0" presId="urn:microsoft.com/office/officeart/2005/8/layout/list1"/>
    <dgm:cxn modelId="{B4EAFB24-9B26-47F9-8F83-E89CE726DFE6}" type="presParOf" srcId="{C4BB1D7F-77A9-499A-B4D0-67EDACD6E9E3}" destId="{C3ADBBD4-4E5B-401F-A817-075DD7F1806C}" srcOrd="6" destOrd="0" presId="urn:microsoft.com/office/officeart/2005/8/layout/list1"/>
    <dgm:cxn modelId="{EF309964-E022-439B-9417-BE9F0B6F8031}" type="presParOf" srcId="{C4BB1D7F-77A9-499A-B4D0-67EDACD6E9E3}" destId="{84C3D89C-76E4-4A7D-A77F-8CF50DA4E869}" srcOrd="7" destOrd="0" presId="urn:microsoft.com/office/officeart/2005/8/layout/list1"/>
    <dgm:cxn modelId="{A25C3315-6383-495A-A844-A163FFAFAB46}" type="presParOf" srcId="{C4BB1D7F-77A9-499A-B4D0-67EDACD6E9E3}" destId="{5C05283C-6655-4B5B-8F76-0B0D204A2513}" srcOrd="8" destOrd="0" presId="urn:microsoft.com/office/officeart/2005/8/layout/list1"/>
    <dgm:cxn modelId="{D12CAB13-40F0-44C2-9801-C194D2333EBD}" type="presParOf" srcId="{5C05283C-6655-4B5B-8F76-0B0D204A2513}" destId="{49BBCE11-4ABB-4995-AE04-8D38EF72EB32}" srcOrd="0" destOrd="0" presId="urn:microsoft.com/office/officeart/2005/8/layout/list1"/>
    <dgm:cxn modelId="{CA700228-7315-4770-939B-0D9D1A0F66AB}" type="presParOf" srcId="{5C05283C-6655-4B5B-8F76-0B0D204A2513}" destId="{AD3E9CAC-4E5F-4B4A-AC2E-E3DBB0F74D4C}" srcOrd="1" destOrd="0" presId="urn:microsoft.com/office/officeart/2005/8/layout/list1"/>
    <dgm:cxn modelId="{7D7B882E-A19A-48D6-B892-CB9DF378BE89}" type="presParOf" srcId="{C4BB1D7F-77A9-499A-B4D0-67EDACD6E9E3}" destId="{A065E189-2D30-4FF8-9044-4D30A52CDCA6}" srcOrd="9" destOrd="0" presId="urn:microsoft.com/office/officeart/2005/8/layout/list1"/>
    <dgm:cxn modelId="{94A7C056-027D-4C8F-9CF3-04D4EBA00AF6}" type="presParOf" srcId="{C4BB1D7F-77A9-499A-B4D0-67EDACD6E9E3}" destId="{0FD3764A-6231-451A-8E8D-ED3275560677}" srcOrd="10" destOrd="0" presId="urn:microsoft.com/office/officeart/2005/8/layout/list1"/>
    <dgm:cxn modelId="{B9DDDED6-E0CE-411D-AC46-78C9D8A6693B}" type="presParOf" srcId="{C4BB1D7F-77A9-499A-B4D0-67EDACD6E9E3}" destId="{AF870FB1-7B8A-4D34-A43E-A0714AA559FE}" srcOrd="11" destOrd="0" presId="urn:microsoft.com/office/officeart/2005/8/layout/list1"/>
    <dgm:cxn modelId="{F7424C82-760A-4E16-A856-C82048051156}" type="presParOf" srcId="{C4BB1D7F-77A9-499A-B4D0-67EDACD6E9E3}" destId="{E335E0DB-7934-46E6-8E92-23CDADAAF669}" srcOrd="12" destOrd="0" presId="urn:microsoft.com/office/officeart/2005/8/layout/list1"/>
    <dgm:cxn modelId="{234373E9-B070-4408-88C1-C0D6A50DC189}" type="presParOf" srcId="{E335E0DB-7934-46E6-8E92-23CDADAAF669}" destId="{7547F29F-665E-497D-9D92-2143F9C1FDB2}" srcOrd="0" destOrd="0" presId="urn:microsoft.com/office/officeart/2005/8/layout/list1"/>
    <dgm:cxn modelId="{611C7845-B3EE-4E2D-B180-F46271A4849F}" type="presParOf" srcId="{E335E0DB-7934-46E6-8E92-23CDADAAF669}" destId="{9F940F8B-E9D7-4928-BA3D-322F053CBE61}" srcOrd="1" destOrd="0" presId="urn:microsoft.com/office/officeart/2005/8/layout/list1"/>
    <dgm:cxn modelId="{D495CC80-D4E4-42EC-BE02-15F0B439F1BC}" type="presParOf" srcId="{C4BB1D7F-77A9-499A-B4D0-67EDACD6E9E3}" destId="{B1F366BC-134F-42F9-9773-DE993BDF887E}" srcOrd="13" destOrd="0" presId="urn:microsoft.com/office/officeart/2005/8/layout/list1"/>
    <dgm:cxn modelId="{73069E16-9CDF-45B3-8E14-1946EFEA4C3F}" type="presParOf" srcId="{C4BB1D7F-77A9-499A-B4D0-67EDACD6E9E3}" destId="{B948A329-928F-425B-9693-E4310B8CE127}" srcOrd="14" destOrd="0" presId="urn:microsoft.com/office/officeart/2005/8/layout/list1"/>
  </dgm:cxnLst>
  <dgm:bg/>
  <dgm:whole/>
  <dgm:extLst>
    <a:ext uri="http://schemas.microsoft.com/office/drawing/2008/diagram">
      <dsp:dataModelExt xmlns:dsp="http://schemas.microsoft.com/office/drawing/2008/diagram" relId="rId108"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ACDFE34B-7F2A-4632-A241-BA032E6F3698}" type="doc">
      <dgm:prSet loTypeId="urn:microsoft.com/office/officeart/2005/8/layout/list1" loCatId="list" qsTypeId="urn:microsoft.com/office/officeart/2005/8/quickstyle/simple1" qsCatId="simple" csTypeId="urn:microsoft.com/office/officeart/2005/8/colors/accent3_3" csCatId="accent3" phldr="1"/>
      <dgm:spPr/>
      <dgm:t>
        <a:bodyPr/>
        <a:lstStyle/>
        <a:p>
          <a:endParaRPr lang="pl-PL"/>
        </a:p>
      </dgm:t>
    </dgm:pt>
    <dgm:pt modelId="{78B95D6D-8C34-4C88-A03F-DC13AB7B1393}">
      <dgm:prSet phldrT="[Tekst]" custT="1"/>
      <dgm:spPr>
        <a:ln>
          <a:solidFill>
            <a:schemeClr val="tx1"/>
          </a:solidFill>
        </a:ln>
      </dgm:spPr>
      <dgm:t>
        <a:bodyPr/>
        <a:lstStyle/>
        <a:p>
          <a:pPr algn="l"/>
          <a:r>
            <a:rPr lang="pl-PL" sz="1000" b="1">
              <a:solidFill>
                <a:schemeClr val="tx1"/>
              </a:solidFill>
            </a:rPr>
            <a:t>Lokalne środowisko przyrodnicze</a:t>
          </a:r>
        </a:p>
      </dgm:t>
    </dgm:pt>
    <dgm:pt modelId="{42E22A63-76A4-4B4C-ABE2-9933EFED514B}" type="parTrans" cxnId="{897DCFFB-0F88-4225-9353-89F16DC2335D}">
      <dgm:prSet/>
      <dgm:spPr/>
      <dgm:t>
        <a:bodyPr/>
        <a:lstStyle/>
        <a:p>
          <a:pPr algn="l"/>
          <a:endParaRPr lang="pl-PL" sz="1100">
            <a:solidFill>
              <a:schemeClr val="tx1"/>
            </a:solidFill>
          </a:endParaRPr>
        </a:p>
      </dgm:t>
    </dgm:pt>
    <dgm:pt modelId="{97CA3FCC-549E-43D8-901B-0CCC355C55BE}" type="sibTrans" cxnId="{897DCFFB-0F88-4225-9353-89F16DC2335D}">
      <dgm:prSet/>
      <dgm:spPr/>
      <dgm:t>
        <a:bodyPr/>
        <a:lstStyle/>
        <a:p>
          <a:pPr algn="l"/>
          <a:endParaRPr lang="pl-PL" sz="1100">
            <a:solidFill>
              <a:schemeClr val="tx1"/>
            </a:solidFill>
          </a:endParaRPr>
        </a:p>
      </dgm:t>
    </dgm:pt>
    <dgm:pt modelId="{82F20999-CA8D-4480-86C3-F7294149342E}">
      <dgm:prSet phldrT="[Tekst]" custT="1"/>
      <dgm:spPr>
        <a:ln>
          <a:solidFill>
            <a:schemeClr val="tx1"/>
          </a:solidFill>
        </a:ln>
      </dgm:spPr>
      <dgm:t>
        <a:bodyPr/>
        <a:lstStyle/>
        <a:p>
          <a:pPr algn="l"/>
          <a:r>
            <a:rPr lang="pl-PL" sz="1000" b="1">
              <a:solidFill>
                <a:schemeClr val="tx1"/>
              </a:solidFill>
            </a:rPr>
            <a:t>Dostępność komunikacyjna</a:t>
          </a:r>
        </a:p>
      </dgm:t>
    </dgm:pt>
    <dgm:pt modelId="{7990362F-BE58-48DB-973E-C5D21DEB8006}" type="parTrans" cxnId="{0958696C-040D-4178-B2D9-7DAC954B0FE6}">
      <dgm:prSet/>
      <dgm:spPr/>
      <dgm:t>
        <a:bodyPr/>
        <a:lstStyle/>
        <a:p>
          <a:pPr algn="l"/>
          <a:endParaRPr lang="pl-PL" sz="1100">
            <a:solidFill>
              <a:schemeClr val="tx1"/>
            </a:solidFill>
          </a:endParaRPr>
        </a:p>
      </dgm:t>
    </dgm:pt>
    <dgm:pt modelId="{74CE069B-E755-4CF7-8642-8886F0FDDC68}" type="sibTrans" cxnId="{0958696C-040D-4178-B2D9-7DAC954B0FE6}">
      <dgm:prSet/>
      <dgm:spPr/>
      <dgm:t>
        <a:bodyPr/>
        <a:lstStyle/>
        <a:p>
          <a:pPr algn="l"/>
          <a:endParaRPr lang="pl-PL" sz="1100">
            <a:solidFill>
              <a:schemeClr val="tx1"/>
            </a:solidFill>
          </a:endParaRPr>
        </a:p>
      </dgm:t>
    </dgm:pt>
    <dgm:pt modelId="{1CEA5986-7889-496C-A9EE-101DCBE723AE}">
      <dgm:prSet custT="1"/>
      <dgm:spPr>
        <a:ln>
          <a:solidFill>
            <a:schemeClr val="tx1"/>
          </a:solidFill>
        </a:ln>
      </dgm:spPr>
      <dgm:t>
        <a:bodyPr/>
        <a:lstStyle/>
        <a:p>
          <a:pPr algn="l"/>
          <a:r>
            <a:rPr lang="pl-PL" sz="1000" b="1">
              <a:solidFill>
                <a:schemeClr val="tx1"/>
              </a:solidFill>
            </a:rPr>
            <a:t>Ład i struktura przestrzenna </a:t>
          </a:r>
        </a:p>
      </dgm:t>
    </dgm:pt>
    <dgm:pt modelId="{0CD01E75-A62E-48EC-BE05-6937E1CFDEB4}" type="parTrans" cxnId="{E36E2B32-B9C7-40F6-9E42-9716991643D1}">
      <dgm:prSet/>
      <dgm:spPr/>
      <dgm:t>
        <a:bodyPr/>
        <a:lstStyle/>
        <a:p>
          <a:pPr algn="l"/>
          <a:endParaRPr lang="pl-PL" sz="1100">
            <a:solidFill>
              <a:schemeClr val="tx1"/>
            </a:solidFill>
          </a:endParaRPr>
        </a:p>
      </dgm:t>
    </dgm:pt>
    <dgm:pt modelId="{4FAF20B8-6EDC-4058-B4A3-66F7C219928E}" type="sibTrans" cxnId="{E36E2B32-B9C7-40F6-9E42-9716991643D1}">
      <dgm:prSet/>
      <dgm:spPr/>
      <dgm:t>
        <a:bodyPr/>
        <a:lstStyle/>
        <a:p>
          <a:pPr algn="l"/>
          <a:endParaRPr lang="pl-PL" sz="1100">
            <a:solidFill>
              <a:schemeClr val="tx1"/>
            </a:solidFill>
          </a:endParaRPr>
        </a:p>
      </dgm:t>
    </dgm:pt>
    <dgm:pt modelId="{C4BB1D7F-77A9-499A-B4D0-67EDACD6E9E3}" type="pres">
      <dgm:prSet presAssocID="{ACDFE34B-7F2A-4632-A241-BA032E6F3698}" presName="linear" presStyleCnt="0">
        <dgm:presLayoutVars>
          <dgm:dir/>
          <dgm:animLvl val="lvl"/>
          <dgm:resizeHandles val="exact"/>
        </dgm:presLayoutVars>
      </dgm:prSet>
      <dgm:spPr/>
    </dgm:pt>
    <dgm:pt modelId="{E4A041F8-9058-42AF-86C2-42F6C5CE5B7C}" type="pres">
      <dgm:prSet presAssocID="{78B95D6D-8C34-4C88-A03F-DC13AB7B1393}" presName="parentLin" presStyleCnt="0"/>
      <dgm:spPr/>
    </dgm:pt>
    <dgm:pt modelId="{19D3021D-941D-461B-A8A7-A56385B0DAC8}" type="pres">
      <dgm:prSet presAssocID="{78B95D6D-8C34-4C88-A03F-DC13AB7B1393}" presName="parentLeftMargin" presStyleLbl="node1" presStyleIdx="0" presStyleCnt="3"/>
      <dgm:spPr/>
    </dgm:pt>
    <dgm:pt modelId="{527AD44A-1BB9-4E99-A230-91FA33DC146E}" type="pres">
      <dgm:prSet presAssocID="{78B95D6D-8C34-4C88-A03F-DC13AB7B1393}" presName="parentText" presStyleLbl="node1" presStyleIdx="0" presStyleCnt="3">
        <dgm:presLayoutVars>
          <dgm:chMax val="0"/>
          <dgm:bulletEnabled val="1"/>
        </dgm:presLayoutVars>
      </dgm:prSet>
      <dgm:spPr/>
    </dgm:pt>
    <dgm:pt modelId="{15C2A75E-5D21-45F2-988F-8974FDA18E12}" type="pres">
      <dgm:prSet presAssocID="{78B95D6D-8C34-4C88-A03F-DC13AB7B1393}" presName="negativeSpace" presStyleCnt="0"/>
      <dgm:spPr/>
    </dgm:pt>
    <dgm:pt modelId="{5FF1D88C-085C-4568-8142-4251A032BE87}" type="pres">
      <dgm:prSet presAssocID="{78B95D6D-8C34-4C88-A03F-DC13AB7B1393}" presName="childText" presStyleLbl="conFgAcc1" presStyleIdx="0" presStyleCnt="3">
        <dgm:presLayoutVars>
          <dgm:bulletEnabled val="1"/>
        </dgm:presLayoutVars>
        <dgm:style>
          <a:lnRef idx="2">
            <a:schemeClr val="accent6"/>
          </a:lnRef>
          <a:fillRef idx="1">
            <a:schemeClr val="lt1"/>
          </a:fillRef>
          <a:effectRef idx="0">
            <a:schemeClr val="accent6"/>
          </a:effectRef>
          <a:fontRef idx="minor">
            <a:schemeClr val="dk1"/>
          </a:fontRef>
        </dgm:style>
      </dgm:prSet>
      <dgm:spPr>
        <a:solidFill>
          <a:schemeClr val="accent6">
            <a:lumMod val="20000"/>
            <a:lumOff val="80000"/>
          </a:schemeClr>
        </a:solidFill>
      </dgm:spPr>
    </dgm:pt>
    <dgm:pt modelId="{3DE4C094-11AF-470E-8241-43CAEA41D9B9}" type="pres">
      <dgm:prSet presAssocID="{97CA3FCC-549E-43D8-901B-0CCC355C55BE}" presName="spaceBetweenRectangles" presStyleCnt="0"/>
      <dgm:spPr/>
    </dgm:pt>
    <dgm:pt modelId="{634B6B88-315C-4F73-B72C-339D0877D521}" type="pres">
      <dgm:prSet presAssocID="{1CEA5986-7889-496C-A9EE-101DCBE723AE}" presName="parentLin" presStyleCnt="0"/>
      <dgm:spPr/>
    </dgm:pt>
    <dgm:pt modelId="{84941800-1724-4A2B-8FBA-45DF66BF7258}" type="pres">
      <dgm:prSet presAssocID="{1CEA5986-7889-496C-A9EE-101DCBE723AE}" presName="parentLeftMargin" presStyleLbl="node1" presStyleIdx="0" presStyleCnt="3"/>
      <dgm:spPr/>
    </dgm:pt>
    <dgm:pt modelId="{7BB8D1C5-FD2A-44A3-9CDF-223B6B66A80B}" type="pres">
      <dgm:prSet presAssocID="{1CEA5986-7889-496C-A9EE-101DCBE723AE}" presName="parentText" presStyleLbl="node1" presStyleIdx="1" presStyleCnt="3">
        <dgm:presLayoutVars>
          <dgm:chMax val="0"/>
          <dgm:bulletEnabled val="1"/>
        </dgm:presLayoutVars>
      </dgm:prSet>
      <dgm:spPr/>
    </dgm:pt>
    <dgm:pt modelId="{F9148544-7F28-4CEB-8FCF-7AC94B69316C}" type="pres">
      <dgm:prSet presAssocID="{1CEA5986-7889-496C-A9EE-101DCBE723AE}" presName="negativeSpace" presStyleCnt="0"/>
      <dgm:spPr/>
    </dgm:pt>
    <dgm:pt modelId="{C3ADBBD4-4E5B-401F-A817-075DD7F1806C}" type="pres">
      <dgm:prSet presAssocID="{1CEA5986-7889-496C-A9EE-101DCBE723AE}" presName="childText" presStyleLbl="conFgAcc1" presStyleIdx="1" presStyleCnt="3">
        <dgm:presLayoutVars>
          <dgm:bulletEnabled val="1"/>
        </dgm:presLayoutVars>
        <dgm:style>
          <a:lnRef idx="2">
            <a:schemeClr val="accent6"/>
          </a:lnRef>
          <a:fillRef idx="1">
            <a:schemeClr val="lt1"/>
          </a:fillRef>
          <a:effectRef idx="0">
            <a:schemeClr val="accent6"/>
          </a:effectRef>
          <a:fontRef idx="minor">
            <a:schemeClr val="dk1"/>
          </a:fontRef>
        </dgm:style>
      </dgm:prSet>
      <dgm:spPr>
        <a:solidFill>
          <a:schemeClr val="accent6">
            <a:lumMod val="20000"/>
            <a:lumOff val="80000"/>
          </a:schemeClr>
        </a:solidFill>
        <a:ln/>
      </dgm:spPr>
    </dgm:pt>
    <dgm:pt modelId="{84C3D89C-76E4-4A7D-A77F-8CF50DA4E869}" type="pres">
      <dgm:prSet presAssocID="{4FAF20B8-6EDC-4058-B4A3-66F7C219928E}" presName="spaceBetweenRectangles" presStyleCnt="0"/>
      <dgm:spPr/>
    </dgm:pt>
    <dgm:pt modelId="{5C05283C-6655-4B5B-8F76-0B0D204A2513}" type="pres">
      <dgm:prSet presAssocID="{82F20999-CA8D-4480-86C3-F7294149342E}" presName="parentLin" presStyleCnt="0"/>
      <dgm:spPr/>
    </dgm:pt>
    <dgm:pt modelId="{49BBCE11-4ABB-4995-AE04-8D38EF72EB32}" type="pres">
      <dgm:prSet presAssocID="{82F20999-CA8D-4480-86C3-F7294149342E}" presName="parentLeftMargin" presStyleLbl="node1" presStyleIdx="1" presStyleCnt="3"/>
      <dgm:spPr/>
    </dgm:pt>
    <dgm:pt modelId="{AD3E9CAC-4E5F-4B4A-AC2E-E3DBB0F74D4C}" type="pres">
      <dgm:prSet presAssocID="{82F20999-CA8D-4480-86C3-F7294149342E}" presName="parentText" presStyleLbl="node1" presStyleIdx="2" presStyleCnt="3">
        <dgm:presLayoutVars>
          <dgm:chMax val="0"/>
          <dgm:bulletEnabled val="1"/>
        </dgm:presLayoutVars>
      </dgm:prSet>
      <dgm:spPr/>
    </dgm:pt>
    <dgm:pt modelId="{A065E189-2D30-4FF8-9044-4D30A52CDCA6}" type="pres">
      <dgm:prSet presAssocID="{82F20999-CA8D-4480-86C3-F7294149342E}" presName="negativeSpace" presStyleCnt="0"/>
      <dgm:spPr/>
    </dgm:pt>
    <dgm:pt modelId="{0FD3764A-6231-451A-8E8D-ED3275560677}" type="pres">
      <dgm:prSet presAssocID="{82F20999-CA8D-4480-86C3-F7294149342E}" presName="childText" presStyleLbl="conFgAcc1" presStyleIdx="2" presStyleCnt="3" custLinFactNeighborX="1190" custLinFactNeighborY="20650">
        <dgm:presLayoutVars>
          <dgm:bulletEnabled val="1"/>
        </dgm:presLayoutVars>
        <dgm:style>
          <a:lnRef idx="2">
            <a:schemeClr val="accent6"/>
          </a:lnRef>
          <a:fillRef idx="1">
            <a:schemeClr val="lt1"/>
          </a:fillRef>
          <a:effectRef idx="0">
            <a:schemeClr val="accent6"/>
          </a:effectRef>
          <a:fontRef idx="minor">
            <a:schemeClr val="dk1"/>
          </a:fontRef>
        </dgm:style>
      </dgm:prSet>
      <dgm:spPr>
        <a:solidFill>
          <a:schemeClr val="accent6">
            <a:lumMod val="20000"/>
            <a:lumOff val="80000"/>
          </a:schemeClr>
        </a:solidFill>
        <a:ln/>
      </dgm:spPr>
    </dgm:pt>
  </dgm:ptLst>
  <dgm:cxnLst>
    <dgm:cxn modelId="{616A9A13-E824-4117-B377-932CD5EB90F8}" type="presOf" srcId="{82F20999-CA8D-4480-86C3-F7294149342E}" destId="{49BBCE11-4ABB-4995-AE04-8D38EF72EB32}" srcOrd="0" destOrd="0" presId="urn:microsoft.com/office/officeart/2005/8/layout/list1"/>
    <dgm:cxn modelId="{E36E2B32-B9C7-40F6-9E42-9716991643D1}" srcId="{ACDFE34B-7F2A-4632-A241-BA032E6F3698}" destId="{1CEA5986-7889-496C-A9EE-101DCBE723AE}" srcOrd="1" destOrd="0" parTransId="{0CD01E75-A62E-48EC-BE05-6937E1CFDEB4}" sibTransId="{4FAF20B8-6EDC-4058-B4A3-66F7C219928E}"/>
    <dgm:cxn modelId="{347BDB40-24F6-4A19-9702-7EEE65EAC3B4}" type="presOf" srcId="{78B95D6D-8C34-4C88-A03F-DC13AB7B1393}" destId="{527AD44A-1BB9-4E99-A230-91FA33DC146E}" srcOrd="1" destOrd="0" presId="urn:microsoft.com/office/officeart/2005/8/layout/list1"/>
    <dgm:cxn modelId="{0958696C-040D-4178-B2D9-7DAC954B0FE6}" srcId="{ACDFE34B-7F2A-4632-A241-BA032E6F3698}" destId="{82F20999-CA8D-4480-86C3-F7294149342E}" srcOrd="2" destOrd="0" parTransId="{7990362F-BE58-48DB-973E-C5D21DEB8006}" sibTransId="{74CE069B-E755-4CF7-8642-8886F0FDDC68}"/>
    <dgm:cxn modelId="{C2216F88-972C-4D44-BFCF-8FE04A89A6B3}" type="presOf" srcId="{1CEA5986-7889-496C-A9EE-101DCBE723AE}" destId="{7BB8D1C5-FD2A-44A3-9CDF-223B6B66A80B}" srcOrd="1" destOrd="0" presId="urn:microsoft.com/office/officeart/2005/8/layout/list1"/>
    <dgm:cxn modelId="{18F9F08D-96D7-4F97-9537-0D6C6AB8369F}" type="presOf" srcId="{1CEA5986-7889-496C-A9EE-101DCBE723AE}" destId="{84941800-1724-4A2B-8FBA-45DF66BF7258}" srcOrd="0" destOrd="0" presId="urn:microsoft.com/office/officeart/2005/8/layout/list1"/>
    <dgm:cxn modelId="{63D33599-9B71-4515-9B83-0B2DFC0AEB27}" type="presOf" srcId="{78B95D6D-8C34-4C88-A03F-DC13AB7B1393}" destId="{19D3021D-941D-461B-A8A7-A56385B0DAC8}" srcOrd="0" destOrd="0" presId="urn:microsoft.com/office/officeart/2005/8/layout/list1"/>
    <dgm:cxn modelId="{FD47D0AA-18ED-422D-A504-4D559A4527A4}" type="presOf" srcId="{ACDFE34B-7F2A-4632-A241-BA032E6F3698}" destId="{C4BB1D7F-77A9-499A-B4D0-67EDACD6E9E3}" srcOrd="0" destOrd="0" presId="urn:microsoft.com/office/officeart/2005/8/layout/list1"/>
    <dgm:cxn modelId="{897DCFFB-0F88-4225-9353-89F16DC2335D}" srcId="{ACDFE34B-7F2A-4632-A241-BA032E6F3698}" destId="{78B95D6D-8C34-4C88-A03F-DC13AB7B1393}" srcOrd="0" destOrd="0" parTransId="{42E22A63-76A4-4B4C-ABE2-9933EFED514B}" sibTransId="{97CA3FCC-549E-43D8-901B-0CCC355C55BE}"/>
    <dgm:cxn modelId="{E21311FF-B786-4B3E-8809-4898F01CD92F}" type="presOf" srcId="{82F20999-CA8D-4480-86C3-F7294149342E}" destId="{AD3E9CAC-4E5F-4B4A-AC2E-E3DBB0F74D4C}" srcOrd="1" destOrd="0" presId="urn:microsoft.com/office/officeart/2005/8/layout/list1"/>
    <dgm:cxn modelId="{C68EBA35-9D7E-4C4B-AB5B-B189EEFBA2AB}" type="presParOf" srcId="{C4BB1D7F-77A9-499A-B4D0-67EDACD6E9E3}" destId="{E4A041F8-9058-42AF-86C2-42F6C5CE5B7C}" srcOrd="0" destOrd="0" presId="urn:microsoft.com/office/officeart/2005/8/layout/list1"/>
    <dgm:cxn modelId="{DFB0C3D0-2411-4B5A-8762-B3E0F3118FC3}" type="presParOf" srcId="{E4A041F8-9058-42AF-86C2-42F6C5CE5B7C}" destId="{19D3021D-941D-461B-A8A7-A56385B0DAC8}" srcOrd="0" destOrd="0" presId="urn:microsoft.com/office/officeart/2005/8/layout/list1"/>
    <dgm:cxn modelId="{90CE8116-6EC1-44CD-AF56-1EAE803CE881}" type="presParOf" srcId="{E4A041F8-9058-42AF-86C2-42F6C5CE5B7C}" destId="{527AD44A-1BB9-4E99-A230-91FA33DC146E}" srcOrd="1" destOrd="0" presId="urn:microsoft.com/office/officeart/2005/8/layout/list1"/>
    <dgm:cxn modelId="{16108300-4CFE-47BC-ABA2-BE71E2184D0E}" type="presParOf" srcId="{C4BB1D7F-77A9-499A-B4D0-67EDACD6E9E3}" destId="{15C2A75E-5D21-45F2-988F-8974FDA18E12}" srcOrd="1" destOrd="0" presId="urn:microsoft.com/office/officeart/2005/8/layout/list1"/>
    <dgm:cxn modelId="{198E6043-AA81-462C-B082-B07399A793E6}" type="presParOf" srcId="{C4BB1D7F-77A9-499A-B4D0-67EDACD6E9E3}" destId="{5FF1D88C-085C-4568-8142-4251A032BE87}" srcOrd="2" destOrd="0" presId="urn:microsoft.com/office/officeart/2005/8/layout/list1"/>
    <dgm:cxn modelId="{14DEF9CF-5BFE-47A4-8FF9-1D99B1FD5D53}" type="presParOf" srcId="{C4BB1D7F-77A9-499A-B4D0-67EDACD6E9E3}" destId="{3DE4C094-11AF-470E-8241-43CAEA41D9B9}" srcOrd="3" destOrd="0" presId="urn:microsoft.com/office/officeart/2005/8/layout/list1"/>
    <dgm:cxn modelId="{754665CA-E1E6-4521-B5D8-D62095EB1D11}" type="presParOf" srcId="{C4BB1D7F-77A9-499A-B4D0-67EDACD6E9E3}" destId="{634B6B88-315C-4F73-B72C-339D0877D521}" srcOrd="4" destOrd="0" presId="urn:microsoft.com/office/officeart/2005/8/layout/list1"/>
    <dgm:cxn modelId="{4EE4714E-98D9-4B9B-B439-1D947AAE41F2}" type="presParOf" srcId="{634B6B88-315C-4F73-B72C-339D0877D521}" destId="{84941800-1724-4A2B-8FBA-45DF66BF7258}" srcOrd="0" destOrd="0" presId="urn:microsoft.com/office/officeart/2005/8/layout/list1"/>
    <dgm:cxn modelId="{9A15A87B-5F21-419C-9518-103D9D6146FD}" type="presParOf" srcId="{634B6B88-315C-4F73-B72C-339D0877D521}" destId="{7BB8D1C5-FD2A-44A3-9CDF-223B6B66A80B}" srcOrd="1" destOrd="0" presId="urn:microsoft.com/office/officeart/2005/8/layout/list1"/>
    <dgm:cxn modelId="{1228ABF0-EFFE-42F8-A758-082E1A9FF176}" type="presParOf" srcId="{C4BB1D7F-77A9-499A-B4D0-67EDACD6E9E3}" destId="{F9148544-7F28-4CEB-8FCF-7AC94B69316C}" srcOrd="5" destOrd="0" presId="urn:microsoft.com/office/officeart/2005/8/layout/list1"/>
    <dgm:cxn modelId="{B4EAFB24-9B26-47F9-8F83-E89CE726DFE6}" type="presParOf" srcId="{C4BB1D7F-77A9-499A-B4D0-67EDACD6E9E3}" destId="{C3ADBBD4-4E5B-401F-A817-075DD7F1806C}" srcOrd="6" destOrd="0" presId="urn:microsoft.com/office/officeart/2005/8/layout/list1"/>
    <dgm:cxn modelId="{EF309964-E022-439B-9417-BE9F0B6F8031}" type="presParOf" srcId="{C4BB1D7F-77A9-499A-B4D0-67EDACD6E9E3}" destId="{84C3D89C-76E4-4A7D-A77F-8CF50DA4E869}" srcOrd="7" destOrd="0" presId="urn:microsoft.com/office/officeart/2005/8/layout/list1"/>
    <dgm:cxn modelId="{A25C3315-6383-495A-A844-A163FFAFAB46}" type="presParOf" srcId="{C4BB1D7F-77A9-499A-B4D0-67EDACD6E9E3}" destId="{5C05283C-6655-4B5B-8F76-0B0D204A2513}" srcOrd="8" destOrd="0" presId="urn:microsoft.com/office/officeart/2005/8/layout/list1"/>
    <dgm:cxn modelId="{D12CAB13-40F0-44C2-9801-C194D2333EBD}" type="presParOf" srcId="{5C05283C-6655-4B5B-8F76-0B0D204A2513}" destId="{49BBCE11-4ABB-4995-AE04-8D38EF72EB32}" srcOrd="0" destOrd="0" presId="urn:microsoft.com/office/officeart/2005/8/layout/list1"/>
    <dgm:cxn modelId="{CA700228-7315-4770-939B-0D9D1A0F66AB}" type="presParOf" srcId="{5C05283C-6655-4B5B-8F76-0B0D204A2513}" destId="{AD3E9CAC-4E5F-4B4A-AC2E-E3DBB0F74D4C}" srcOrd="1" destOrd="0" presId="urn:microsoft.com/office/officeart/2005/8/layout/list1"/>
    <dgm:cxn modelId="{7D7B882E-A19A-48D6-B892-CB9DF378BE89}" type="presParOf" srcId="{C4BB1D7F-77A9-499A-B4D0-67EDACD6E9E3}" destId="{A065E189-2D30-4FF8-9044-4D30A52CDCA6}" srcOrd="9" destOrd="0" presId="urn:microsoft.com/office/officeart/2005/8/layout/list1"/>
    <dgm:cxn modelId="{94A7C056-027D-4C8F-9CF3-04D4EBA00AF6}" type="presParOf" srcId="{C4BB1D7F-77A9-499A-B4D0-67EDACD6E9E3}" destId="{0FD3764A-6231-451A-8E8D-ED3275560677}" srcOrd="10" destOrd="0" presId="urn:microsoft.com/office/officeart/2005/8/layout/list1"/>
  </dgm:cxnLst>
  <dgm:bg/>
  <dgm:whole/>
  <dgm:extLst>
    <a:ext uri="http://schemas.microsoft.com/office/drawing/2008/diagram">
      <dsp:dataModelExt xmlns:dsp="http://schemas.microsoft.com/office/drawing/2008/diagram" relId="rId140"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7CD16E2E-AB53-4057-9CA9-3BA431DB7D8E}" type="doc">
      <dgm:prSet loTypeId="urn:microsoft.com/office/officeart/2009/3/layout/HorizontalOrganizationChart" loCatId="hierarchy" qsTypeId="urn:microsoft.com/office/officeart/2005/8/quickstyle/simple1" qsCatId="simple" csTypeId="urn:microsoft.com/office/officeart/2005/8/colors/accent3_1" csCatId="accent3" phldr="1"/>
      <dgm:spPr/>
      <dgm:t>
        <a:bodyPr/>
        <a:lstStyle/>
        <a:p>
          <a:endParaRPr lang="pl-PL"/>
        </a:p>
      </dgm:t>
    </dgm:pt>
    <dgm:pt modelId="{99ECD531-65FC-4330-A7B5-331A2DB04931}">
      <dgm:prSet phldrT="[Tekst]" custT="1"/>
      <dgm:spPr>
        <a:solidFill>
          <a:schemeClr val="tx2">
            <a:lumMod val="40000"/>
            <a:lumOff val="60000"/>
          </a:schemeClr>
        </a:solidFill>
      </dgm:spPr>
      <dgm:t>
        <a:bodyPr/>
        <a:lstStyle/>
        <a:p>
          <a:r>
            <a:rPr lang="pl-PL" sz="1000" b="1">
              <a:solidFill>
                <a:sysClr val="windowText" lastClr="000000"/>
              </a:solidFill>
            </a:rPr>
            <a:t>Czynniki oddziaływania</a:t>
          </a:r>
        </a:p>
        <a:p>
          <a:r>
            <a:rPr lang="pl-PL" sz="1000" b="1">
              <a:solidFill>
                <a:sysClr val="windowText" lastClr="000000"/>
              </a:solidFill>
            </a:rPr>
            <a:t>rozwojowego</a:t>
          </a:r>
        </a:p>
      </dgm:t>
    </dgm:pt>
    <dgm:pt modelId="{3DD18440-0B66-49D6-B4CE-6E1203510E34}" type="parTrans" cxnId="{26D5F6A7-5655-4B2D-BF98-D849A97956EB}">
      <dgm:prSet/>
      <dgm:spPr/>
      <dgm:t>
        <a:bodyPr/>
        <a:lstStyle/>
        <a:p>
          <a:endParaRPr lang="pl-PL" sz="900"/>
        </a:p>
      </dgm:t>
    </dgm:pt>
    <dgm:pt modelId="{F644ED4C-6B8E-4EB0-96F8-30132038A9D0}" type="sibTrans" cxnId="{26D5F6A7-5655-4B2D-BF98-D849A97956EB}">
      <dgm:prSet/>
      <dgm:spPr/>
      <dgm:t>
        <a:bodyPr/>
        <a:lstStyle/>
        <a:p>
          <a:endParaRPr lang="pl-PL" sz="900"/>
        </a:p>
      </dgm:t>
    </dgm:pt>
    <dgm:pt modelId="{6AD2E083-309F-4793-9A0F-05BF32974588}">
      <dgm:prSet phldrT="[Tekst]" custT="1"/>
      <dgm:spPr>
        <a:solidFill>
          <a:schemeClr val="bg2"/>
        </a:solidFill>
      </dgm:spPr>
      <dgm:t>
        <a:bodyPr/>
        <a:lstStyle/>
        <a:p>
          <a:r>
            <a:rPr lang="pl-PL" sz="1000" b="1"/>
            <a:t>Negatywne </a:t>
          </a:r>
        </a:p>
      </dgm:t>
    </dgm:pt>
    <dgm:pt modelId="{56FF4873-4285-4270-82DD-A6E11AAC14AC}" type="parTrans" cxnId="{B97C3D55-D663-4DEF-B8F8-521F088B6068}">
      <dgm:prSet/>
      <dgm:spPr/>
      <dgm:t>
        <a:bodyPr/>
        <a:lstStyle/>
        <a:p>
          <a:endParaRPr lang="pl-PL" sz="900"/>
        </a:p>
      </dgm:t>
    </dgm:pt>
    <dgm:pt modelId="{B293E98A-A458-4954-8078-9FEC7679B2E2}" type="sibTrans" cxnId="{B97C3D55-D663-4DEF-B8F8-521F088B6068}">
      <dgm:prSet/>
      <dgm:spPr/>
      <dgm:t>
        <a:bodyPr/>
        <a:lstStyle/>
        <a:p>
          <a:endParaRPr lang="pl-PL" sz="900"/>
        </a:p>
      </dgm:t>
    </dgm:pt>
    <dgm:pt modelId="{DA57EBC3-F44A-41D2-AAFC-5B1AAEC834F1}">
      <dgm:prSet phldrT="[Tekst]" custT="1"/>
      <dgm:spPr>
        <a:solidFill>
          <a:schemeClr val="accent5">
            <a:lumMod val="20000"/>
            <a:lumOff val="80000"/>
          </a:schemeClr>
        </a:solidFill>
      </dgm:spPr>
      <dgm:t>
        <a:bodyPr/>
        <a:lstStyle/>
        <a:p>
          <a:r>
            <a:rPr lang="pl-PL" sz="1000" b="1"/>
            <a:t>Pozytywne</a:t>
          </a:r>
          <a:r>
            <a:rPr lang="pl-PL" sz="1000" b="1">
              <a:highlight>
                <a:srgbClr val="FFFF00"/>
              </a:highlight>
            </a:rPr>
            <a:t> </a:t>
          </a:r>
        </a:p>
      </dgm:t>
    </dgm:pt>
    <dgm:pt modelId="{80910B39-54B9-4102-9ECD-F695069B4658}" type="parTrans" cxnId="{A50C8219-74FE-4FD9-9283-85DA4019E85F}">
      <dgm:prSet/>
      <dgm:spPr/>
      <dgm:t>
        <a:bodyPr/>
        <a:lstStyle/>
        <a:p>
          <a:endParaRPr lang="pl-PL" sz="900"/>
        </a:p>
      </dgm:t>
    </dgm:pt>
    <dgm:pt modelId="{DEB4D627-50C2-47FB-A3F4-4E59A3372E31}" type="sibTrans" cxnId="{A50C8219-74FE-4FD9-9283-85DA4019E85F}">
      <dgm:prSet/>
      <dgm:spPr/>
      <dgm:t>
        <a:bodyPr/>
        <a:lstStyle/>
        <a:p>
          <a:endParaRPr lang="pl-PL" sz="900"/>
        </a:p>
      </dgm:t>
    </dgm:pt>
    <dgm:pt modelId="{D333FBB6-DA78-417D-A8B4-D7F796260999}">
      <dgm:prSet custT="1"/>
      <dgm:spPr>
        <a:solidFill>
          <a:schemeClr val="bg2"/>
        </a:solidFill>
      </dgm:spPr>
      <dgm:t>
        <a:bodyPr/>
        <a:lstStyle/>
        <a:p>
          <a:r>
            <a:rPr lang="pl-PL" sz="1000"/>
            <a:t>Bariery wewnętrzne </a:t>
          </a:r>
          <a:br>
            <a:rPr lang="pl-PL" sz="1000"/>
          </a:br>
          <a:r>
            <a:rPr lang="pl-PL" sz="1000"/>
            <a:t>(słabe strony) - diagnoza pogłębiona </a:t>
          </a:r>
        </a:p>
      </dgm:t>
    </dgm:pt>
    <dgm:pt modelId="{8C5E089E-AD3A-40D7-9521-DF5EEA4EDE4A}" type="parTrans" cxnId="{70D3F9B4-2E10-4CF0-88BB-82192F9DDA6C}">
      <dgm:prSet/>
      <dgm:spPr/>
      <dgm:t>
        <a:bodyPr/>
        <a:lstStyle/>
        <a:p>
          <a:endParaRPr lang="pl-PL" sz="900"/>
        </a:p>
      </dgm:t>
    </dgm:pt>
    <dgm:pt modelId="{323D86AF-92A8-4C2F-A193-0A0A5BD67F83}" type="sibTrans" cxnId="{70D3F9B4-2E10-4CF0-88BB-82192F9DDA6C}">
      <dgm:prSet/>
      <dgm:spPr/>
      <dgm:t>
        <a:bodyPr/>
        <a:lstStyle/>
        <a:p>
          <a:endParaRPr lang="pl-PL" sz="900"/>
        </a:p>
      </dgm:t>
    </dgm:pt>
    <dgm:pt modelId="{D9A576B0-8BAB-48C7-B9EC-46BF5F9016F8}">
      <dgm:prSet custT="1"/>
      <dgm:spPr>
        <a:solidFill>
          <a:schemeClr val="bg2"/>
        </a:solidFill>
      </dgm:spPr>
      <dgm:t>
        <a:bodyPr/>
        <a:lstStyle/>
        <a:p>
          <a:r>
            <a:rPr lang="pl-PL" sz="1000"/>
            <a:t>Bariery zewnętrzne (zagrożenia) - analiza PEST</a:t>
          </a:r>
        </a:p>
      </dgm:t>
    </dgm:pt>
    <dgm:pt modelId="{A0DFF08E-3046-4FFF-9B4C-0636E7286079}" type="parTrans" cxnId="{96B8BD50-A903-41A9-8713-F6D5C6CCD841}">
      <dgm:prSet/>
      <dgm:spPr/>
      <dgm:t>
        <a:bodyPr/>
        <a:lstStyle/>
        <a:p>
          <a:endParaRPr lang="pl-PL" sz="900"/>
        </a:p>
      </dgm:t>
    </dgm:pt>
    <dgm:pt modelId="{038B402B-B24C-4B8B-88EA-AF94C10EACE1}" type="sibTrans" cxnId="{96B8BD50-A903-41A9-8713-F6D5C6CCD841}">
      <dgm:prSet/>
      <dgm:spPr/>
      <dgm:t>
        <a:bodyPr/>
        <a:lstStyle/>
        <a:p>
          <a:endParaRPr lang="pl-PL" sz="900"/>
        </a:p>
      </dgm:t>
    </dgm:pt>
    <dgm:pt modelId="{D4B55D47-10B3-4F4A-83BA-123068A24B44}">
      <dgm:prSet custT="1"/>
      <dgm:spPr>
        <a:solidFill>
          <a:schemeClr val="accent5">
            <a:lumMod val="20000"/>
            <a:lumOff val="80000"/>
          </a:schemeClr>
        </a:solidFill>
      </dgm:spPr>
      <dgm:t>
        <a:bodyPr/>
        <a:lstStyle/>
        <a:p>
          <a:r>
            <a:rPr lang="pl-PL" sz="1000"/>
            <a:t>Potencjały wewnetrzne (w tym mocne strony) - diagnoza pogłębiona</a:t>
          </a:r>
        </a:p>
      </dgm:t>
    </dgm:pt>
    <dgm:pt modelId="{EDFBB9A4-2C5E-4EB2-9EE0-EE2BA89A8F43}" type="parTrans" cxnId="{9F361143-6FB5-4C12-8B8F-ED8BE153B2A2}">
      <dgm:prSet/>
      <dgm:spPr/>
      <dgm:t>
        <a:bodyPr/>
        <a:lstStyle/>
        <a:p>
          <a:endParaRPr lang="pl-PL" sz="900"/>
        </a:p>
      </dgm:t>
    </dgm:pt>
    <dgm:pt modelId="{BE9E29F6-64A6-4103-8E8E-700D591D3C92}" type="sibTrans" cxnId="{9F361143-6FB5-4C12-8B8F-ED8BE153B2A2}">
      <dgm:prSet/>
      <dgm:spPr/>
      <dgm:t>
        <a:bodyPr/>
        <a:lstStyle/>
        <a:p>
          <a:endParaRPr lang="pl-PL" sz="900"/>
        </a:p>
      </dgm:t>
    </dgm:pt>
    <dgm:pt modelId="{34D31207-1E13-4101-AD08-EB475F67E29C}">
      <dgm:prSet custT="1"/>
      <dgm:spPr>
        <a:solidFill>
          <a:schemeClr val="accent5">
            <a:lumMod val="20000"/>
            <a:lumOff val="80000"/>
          </a:schemeClr>
        </a:solidFill>
      </dgm:spPr>
      <dgm:t>
        <a:bodyPr/>
        <a:lstStyle/>
        <a:p>
          <a:r>
            <a:rPr lang="pl-PL" sz="1000"/>
            <a:t>Szanse - znaliza PEST</a:t>
          </a:r>
        </a:p>
      </dgm:t>
    </dgm:pt>
    <dgm:pt modelId="{A6C2ACB0-B1F4-40BB-8BE0-D8FED8C055E0}" type="parTrans" cxnId="{632700B1-0967-435A-B90B-71D6FEBFBBBC}">
      <dgm:prSet/>
      <dgm:spPr/>
      <dgm:t>
        <a:bodyPr/>
        <a:lstStyle/>
        <a:p>
          <a:endParaRPr lang="pl-PL" sz="900"/>
        </a:p>
      </dgm:t>
    </dgm:pt>
    <dgm:pt modelId="{5F512FE7-DFF3-4F3D-95CA-45AA3AE4BC86}" type="sibTrans" cxnId="{632700B1-0967-435A-B90B-71D6FEBFBBBC}">
      <dgm:prSet/>
      <dgm:spPr/>
      <dgm:t>
        <a:bodyPr/>
        <a:lstStyle/>
        <a:p>
          <a:endParaRPr lang="pl-PL" sz="900"/>
        </a:p>
      </dgm:t>
    </dgm:pt>
    <dgm:pt modelId="{7B3F8BAF-C6F3-41C6-813C-7EC7D498B1F6}" type="pres">
      <dgm:prSet presAssocID="{7CD16E2E-AB53-4057-9CA9-3BA431DB7D8E}" presName="hierChild1" presStyleCnt="0">
        <dgm:presLayoutVars>
          <dgm:orgChart val="1"/>
          <dgm:chPref val="1"/>
          <dgm:dir/>
          <dgm:animOne val="branch"/>
          <dgm:animLvl val="lvl"/>
          <dgm:resizeHandles/>
        </dgm:presLayoutVars>
      </dgm:prSet>
      <dgm:spPr/>
    </dgm:pt>
    <dgm:pt modelId="{82F6DF3F-31AB-4063-A8AF-DCCCDA775BA9}" type="pres">
      <dgm:prSet presAssocID="{99ECD531-65FC-4330-A7B5-331A2DB04931}" presName="hierRoot1" presStyleCnt="0">
        <dgm:presLayoutVars>
          <dgm:hierBranch val="init"/>
        </dgm:presLayoutVars>
      </dgm:prSet>
      <dgm:spPr/>
    </dgm:pt>
    <dgm:pt modelId="{69D7B89E-9B7B-4407-B9F9-2B40F4315F8E}" type="pres">
      <dgm:prSet presAssocID="{99ECD531-65FC-4330-A7B5-331A2DB04931}" presName="rootComposite1" presStyleCnt="0"/>
      <dgm:spPr/>
    </dgm:pt>
    <dgm:pt modelId="{92C89396-7382-4C64-9307-D18C9F9795E0}" type="pres">
      <dgm:prSet presAssocID="{99ECD531-65FC-4330-A7B5-331A2DB04931}" presName="rootText1" presStyleLbl="node0" presStyleIdx="0" presStyleCnt="1" custLinFactNeighborX="1592">
        <dgm:presLayoutVars>
          <dgm:chPref val="3"/>
        </dgm:presLayoutVars>
      </dgm:prSet>
      <dgm:spPr/>
    </dgm:pt>
    <dgm:pt modelId="{828E7DB2-B614-412E-801D-B235CC442E6A}" type="pres">
      <dgm:prSet presAssocID="{99ECD531-65FC-4330-A7B5-331A2DB04931}" presName="rootConnector1" presStyleLbl="node1" presStyleIdx="0" presStyleCnt="0"/>
      <dgm:spPr/>
    </dgm:pt>
    <dgm:pt modelId="{5E586348-D186-4FFC-A5B5-3CD7823C8B5F}" type="pres">
      <dgm:prSet presAssocID="{99ECD531-65FC-4330-A7B5-331A2DB04931}" presName="hierChild2" presStyleCnt="0"/>
      <dgm:spPr/>
    </dgm:pt>
    <dgm:pt modelId="{CB13F34B-D1F2-4707-8DF6-09CD17AC25C9}" type="pres">
      <dgm:prSet presAssocID="{56FF4873-4285-4270-82DD-A6E11AAC14AC}" presName="Name64" presStyleLbl="parChTrans1D2" presStyleIdx="0" presStyleCnt="2"/>
      <dgm:spPr/>
    </dgm:pt>
    <dgm:pt modelId="{A786063F-2EBA-4401-8ABE-11C6687B4DA7}" type="pres">
      <dgm:prSet presAssocID="{6AD2E083-309F-4793-9A0F-05BF32974588}" presName="hierRoot2" presStyleCnt="0">
        <dgm:presLayoutVars>
          <dgm:hierBranch val="init"/>
        </dgm:presLayoutVars>
      </dgm:prSet>
      <dgm:spPr/>
    </dgm:pt>
    <dgm:pt modelId="{5CBE4933-068C-4E7D-B3E5-F11EDDB5DB41}" type="pres">
      <dgm:prSet presAssocID="{6AD2E083-309F-4793-9A0F-05BF32974588}" presName="rootComposite" presStyleCnt="0"/>
      <dgm:spPr/>
    </dgm:pt>
    <dgm:pt modelId="{1D5185C6-5F7C-4BE5-8940-5C7B8A9B6659}" type="pres">
      <dgm:prSet presAssocID="{6AD2E083-309F-4793-9A0F-05BF32974588}" presName="rootText" presStyleLbl="node2" presStyleIdx="0" presStyleCnt="2">
        <dgm:presLayoutVars>
          <dgm:chPref val="3"/>
        </dgm:presLayoutVars>
      </dgm:prSet>
      <dgm:spPr/>
    </dgm:pt>
    <dgm:pt modelId="{104A8262-9425-4751-9106-6B47E3B8A8CB}" type="pres">
      <dgm:prSet presAssocID="{6AD2E083-309F-4793-9A0F-05BF32974588}" presName="rootConnector" presStyleLbl="node2" presStyleIdx="0" presStyleCnt="2"/>
      <dgm:spPr/>
    </dgm:pt>
    <dgm:pt modelId="{56C7289B-92C2-4FB5-B513-E1A11BC7CBDB}" type="pres">
      <dgm:prSet presAssocID="{6AD2E083-309F-4793-9A0F-05BF32974588}" presName="hierChild4" presStyleCnt="0"/>
      <dgm:spPr/>
    </dgm:pt>
    <dgm:pt modelId="{3535F645-304E-49DD-B44C-CA5D1D34FB19}" type="pres">
      <dgm:prSet presAssocID="{8C5E089E-AD3A-40D7-9521-DF5EEA4EDE4A}" presName="Name64" presStyleLbl="parChTrans1D3" presStyleIdx="0" presStyleCnt="4"/>
      <dgm:spPr/>
    </dgm:pt>
    <dgm:pt modelId="{C9197017-CBBA-4CB8-A9F3-27B98BEACEAA}" type="pres">
      <dgm:prSet presAssocID="{D333FBB6-DA78-417D-A8B4-D7F796260999}" presName="hierRoot2" presStyleCnt="0">
        <dgm:presLayoutVars>
          <dgm:hierBranch val="init"/>
        </dgm:presLayoutVars>
      </dgm:prSet>
      <dgm:spPr/>
    </dgm:pt>
    <dgm:pt modelId="{F71FE54F-3C23-4382-BBB2-42FC0A34E1F9}" type="pres">
      <dgm:prSet presAssocID="{D333FBB6-DA78-417D-A8B4-D7F796260999}" presName="rootComposite" presStyleCnt="0"/>
      <dgm:spPr/>
    </dgm:pt>
    <dgm:pt modelId="{F2809E8C-5DBA-4CD4-9928-41267D8FFCF2}" type="pres">
      <dgm:prSet presAssocID="{D333FBB6-DA78-417D-A8B4-D7F796260999}" presName="rootText" presStyleLbl="node3" presStyleIdx="0" presStyleCnt="4">
        <dgm:presLayoutVars>
          <dgm:chPref val="3"/>
        </dgm:presLayoutVars>
      </dgm:prSet>
      <dgm:spPr/>
    </dgm:pt>
    <dgm:pt modelId="{4D1819D2-5BEE-45B8-839D-B402A3A4411B}" type="pres">
      <dgm:prSet presAssocID="{D333FBB6-DA78-417D-A8B4-D7F796260999}" presName="rootConnector" presStyleLbl="node3" presStyleIdx="0" presStyleCnt="4"/>
      <dgm:spPr/>
    </dgm:pt>
    <dgm:pt modelId="{E19E7ED2-CAD6-408A-91BC-3DDEB2C6E05E}" type="pres">
      <dgm:prSet presAssocID="{D333FBB6-DA78-417D-A8B4-D7F796260999}" presName="hierChild4" presStyleCnt="0"/>
      <dgm:spPr/>
    </dgm:pt>
    <dgm:pt modelId="{1CA4C00D-ABEF-460C-B945-9AB67534440F}" type="pres">
      <dgm:prSet presAssocID="{D333FBB6-DA78-417D-A8B4-D7F796260999}" presName="hierChild5" presStyleCnt="0"/>
      <dgm:spPr/>
    </dgm:pt>
    <dgm:pt modelId="{8CE1771E-E4D1-4810-9CFE-056C0BA21887}" type="pres">
      <dgm:prSet presAssocID="{A0DFF08E-3046-4FFF-9B4C-0636E7286079}" presName="Name64" presStyleLbl="parChTrans1D3" presStyleIdx="1" presStyleCnt="4"/>
      <dgm:spPr/>
    </dgm:pt>
    <dgm:pt modelId="{4A0BA6D3-4BA7-440B-B167-128E15CEDBFC}" type="pres">
      <dgm:prSet presAssocID="{D9A576B0-8BAB-48C7-B9EC-46BF5F9016F8}" presName="hierRoot2" presStyleCnt="0">
        <dgm:presLayoutVars>
          <dgm:hierBranch val="init"/>
        </dgm:presLayoutVars>
      </dgm:prSet>
      <dgm:spPr/>
    </dgm:pt>
    <dgm:pt modelId="{8F578130-6622-4F12-90B5-F0E13052EBE0}" type="pres">
      <dgm:prSet presAssocID="{D9A576B0-8BAB-48C7-B9EC-46BF5F9016F8}" presName="rootComposite" presStyleCnt="0"/>
      <dgm:spPr/>
    </dgm:pt>
    <dgm:pt modelId="{1B64C163-6B51-4343-9FA4-B185B7B4CAE8}" type="pres">
      <dgm:prSet presAssocID="{D9A576B0-8BAB-48C7-B9EC-46BF5F9016F8}" presName="rootText" presStyleLbl="node3" presStyleIdx="1" presStyleCnt="4">
        <dgm:presLayoutVars>
          <dgm:chPref val="3"/>
        </dgm:presLayoutVars>
      </dgm:prSet>
      <dgm:spPr/>
    </dgm:pt>
    <dgm:pt modelId="{C24B7ACD-7A29-4F7A-84C1-9B1ED87F6703}" type="pres">
      <dgm:prSet presAssocID="{D9A576B0-8BAB-48C7-B9EC-46BF5F9016F8}" presName="rootConnector" presStyleLbl="node3" presStyleIdx="1" presStyleCnt="4"/>
      <dgm:spPr/>
    </dgm:pt>
    <dgm:pt modelId="{4B44E42F-2CED-40B5-8548-8A0F265E8210}" type="pres">
      <dgm:prSet presAssocID="{D9A576B0-8BAB-48C7-B9EC-46BF5F9016F8}" presName="hierChild4" presStyleCnt="0"/>
      <dgm:spPr/>
    </dgm:pt>
    <dgm:pt modelId="{D14764F7-948C-4FC8-9EDF-BE2E9C50F2D0}" type="pres">
      <dgm:prSet presAssocID="{D9A576B0-8BAB-48C7-B9EC-46BF5F9016F8}" presName="hierChild5" presStyleCnt="0"/>
      <dgm:spPr/>
    </dgm:pt>
    <dgm:pt modelId="{429019F9-F7AD-422A-BE2C-BC28C93C9D77}" type="pres">
      <dgm:prSet presAssocID="{6AD2E083-309F-4793-9A0F-05BF32974588}" presName="hierChild5" presStyleCnt="0"/>
      <dgm:spPr/>
    </dgm:pt>
    <dgm:pt modelId="{931CE680-37E8-40D1-AE41-4E7C97BF86D1}" type="pres">
      <dgm:prSet presAssocID="{80910B39-54B9-4102-9ECD-F695069B4658}" presName="Name64" presStyleLbl="parChTrans1D2" presStyleIdx="1" presStyleCnt="2"/>
      <dgm:spPr/>
    </dgm:pt>
    <dgm:pt modelId="{EDD53E6D-FEBA-4D2E-98FD-0FD3034FB7D4}" type="pres">
      <dgm:prSet presAssocID="{DA57EBC3-F44A-41D2-AAFC-5B1AAEC834F1}" presName="hierRoot2" presStyleCnt="0">
        <dgm:presLayoutVars>
          <dgm:hierBranch val="init"/>
        </dgm:presLayoutVars>
      </dgm:prSet>
      <dgm:spPr/>
    </dgm:pt>
    <dgm:pt modelId="{FB9D9CAC-11A4-4DF4-9280-8D58A5F02F12}" type="pres">
      <dgm:prSet presAssocID="{DA57EBC3-F44A-41D2-AAFC-5B1AAEC834F1}" presName="rootComposite" presStyleCnt="0"/>
      <dgm:spPr/>
    </dgm:pt>
    <dgm:pt modelId="{0B115E19-FDDE-49E1-BACF-E5EBBCA6D64F}" type="pres">
      <dgm:prSet presAssocID="{DA57EBC3-F44A-41D2-AAFC-5B1AAEC834F1}" presName="rootText" presStyleLbl="node2" presStyleIdx="1" presStyleCnt="2">
        <dgm:presLayoutVars>
          <dgm:chPref val="3"/>
        </dgm:presLayoutVars>
      </dgm:prSet>
      <dgm:spPr/>
    </dgm:pt>
    <dgm:pt modelId="{3FA60499-CD0D-4692-9524-BA9CEA56CC04}" type="pres">
      <dgm:prSet presAssocID="{DA57EBC3-F44A-41D2-AAFC-5B1AAEC834F1}" presName="rootConnector" presStyleLbl="node2" presStyleIdx="1" presStyleCnt="2"/>
      <dgm:spPr/>
    </dgm:pt>
    <dgm:pt modelId="{A058C62D-F424-4C74-9A9C-71FC9DD3141E}" type="pres">
      <dgm:prSet presAssocID="{DA57EBC3-F44A-41D2-AAFC-5B1AAEC834F1}" presName="hierChild4" presStyleCnt="0"/>
      <dgm:spPr/>
    </dgm:pt>
    <dgm:pt modelId="{83F34A38-CE3D-4640-A075-644631C6244F}" type="pres">
      <dgm:prSet presAssocID="{EDFBB9A4-2C5E-4EB2-9EE0-EE2BA89A8F43}" presName="Name64" presStyleLbl="parChTrans1D3" presStyleIdx="2" presStyleCnt="4"/>
      <dgm:spPr/>
    </dgm:pt>
    <dgm:pt modelId="{E7312AEC-870C-40E5-B884-728B44F43FC5}" type="pres">
      <dgm:prSet presAssocID="{D4B55D47-10B3-4F4A-83BA-123068A24B44}" presName="hierRoot2" presStyleCnt="0">
        <dgm:presLayoutVars>
          <dgm:hierBranch val="init"/>
        </dgm:presLayoutVars>
      </dgm:prSet>
      <dgm:spPr/>
    </dgm:pt>
    <dgm:pt modelId="{30A7A122-5DF3-4CF3-A5AF-84D2BC5D15D7}" type="pres">
      <dgm:prSet presAssocID="{D4B55D47-10B3-4F4A-83BA-123068A24B44}" presName="rootComposite" presStyleCnt="0"/>
      <dgm:spPr/>
    </dgm:pt>
    <dgm:pt modelId="{12C3C3E8-525B-41DB-9BE9-590A2F7C3D6C}" type="pres">
      <dgm:prSet presAssocID="{D4B55D47-10B3-4F4A-83BA-123068A24B44}" presName="rootText" presStyleLbl="node3" presStyleIdx="2" presStyleCnt="4">
        <dgm:presLayoutVars>
          <dgm:chPref val="3"/>
        </dgm:presLayoutVars>
      </dgm:prSet>
      <dgm:spPr/>
    </dgm:pt>
    <dgm:pt modelId="{E602D89F-2F81-40F1-8085-5499B0356D90}" type="pres">
      <dgm:prSet presAssocID="{D4B55D47-10B3-4F4A-83BA-123068A24B44}" presName="rootConnector" presStyleLbl="node3" presStyleIdx="2" presStyleCnt="4"/>
      <dgm:spPr/>
    </dgm:pt>
    <dgm:pt modelId="{A0EB303C-C209-4FE2-BDFF-AC9FC24BF2F0}" type="pres">
      <dgm:prSet presAssocID="{D4B55D47-10B3-4F4A-83BA-123068A24B44}" presName="hierChild4" presStyleCnt="0"/>
      <dgm:spPr/>
    </dgm:pt>
    <dgm:pt modelId="{2F60CFE2-CD23-4594-8CCF-D5F543B3AE85}" type="pres">
      <dgm:prSet presAssocID="{D4B55D47-10B3-4F4A-83BA-123068A24B44}" presName="hierChild5" presStyleCnt="0"/>
      <dgm:spPr/>
    </dgm:pt>
    <dgm:pt modelId="{EA201069-479F-4379-80B3-4D6506A009A9}" type="pres">
      <dgm:prSet presAssocID="{A6C2ACB0-B1F4-40BB-8BE0-D8FED8C055E0}" presName="Name64" presStyleLbl="parChTrans1D3" presStyleIdx="3" presStyleCnt="4"/>
      <dgm:spPr/>
    </dgm:pt>
    <dgm:pt modelId="{91F366A9-1139-41C3-A0E7-D2CF5D6E7F58}" type="pres">
      <dgm:prSet presAssocID="{34D31207-1E13-4101-AD08-EB475F67E29C}" presName="hierRoot2" presStyleCnt="0">
        <dgm:presLayoutVars>
          <dgm:hierBranch val="init"/>
        </dgm:presLayoutVars>
      </dgm:prSet>
      <dgm:spPr/>
    </dgm:pt>
    <dgm:pt modelId="{9C15E969-9BC4-4831-9209-31E58E1CB33F}" type="pres">
      <dgm:prSet presAssocID="{34D31207-1E13-4101-AD08-EB475F67E29C}" presName="rootComposite" presStyleCnt="0"/>
      <dgm:spPr/>
    </dgm:pt>
    <dgm:pt modelId="{C511CAF0-BBCD-4620-B23A-4CF894169806}" type="pres">
      <dgm:prSet presAssocID="{34D31207-1E13-4101-AD08-EB475F67E29C}" presName="rootText" presStyleLbl="node3" presStyleIdx="3" presStyleCnt="4">
        <dgm:presLayoutVars>
          <dgm:chPref val="3"/>
        </dgm:presLayoutVars>
      </dgm:prSet>
      <dgm:spPr/>
    </dgm:pt>
    <dgm:pt modelId="{5F02B0C3-8EC7-4036-89DF-419189459D93}" type="pres">
      <dgm:prSet presAssocID="{34D31207-1E13-4101-AD08-EB475F67E29C}" presName="rootConnector" presStyleLbl="node3" presStyleIdx="3" presStyleCnt="4"/>
      <dgm:spPr/>
    </dgm:pt>
    <dgm:pt modelId="{3D37F959-64FE-4FE2-919C-4D20CDEA08C0}" type="pres">
      <dgm:prSet presAssocID="{34D31207-1E13-4101-AD08-EB475F67E29C}" presName="hierChild4" presStyleCnt="0"/>
      <dgm:spPr/>
    </dgm:pt>
    <dgm:pt modelId="{2AF880DD-7DA6-4CE5-A2D6-0B06788DE0BE}" type="pres">
      <dgm:prSet presAssocID="{34D31207-1E13-4101-AD08-EB475F67E29C}" presName="hierChild5" presStyleCnt="0"/>
      <dgm:spPr/>
    </dgm:pt>
    <dgm:pt modelId="{9B2FFF91-609E-404F-BC17-BA2463395B4D}" type="pres">
      <dgm:prSet presAssocID="{DA57EBC3-F44A-41D2-AAFC-5B1AAEC834F1}" presName="hierChild5" presStyleCnt="0"/>
      <dgm:spPr/>
    </dgm:pt>
    <dgm:pt modelId="{3D1DEA25-28D6-4985-9F3E-36AA578DA3C8}" type="pres">
      <dgm:prSet presAssocID="{99ECD531-65FC-4330-A7B5-331A2DB04931}" presName="hierChild3" presStyleCnt="0"/>
      <dgm:spPr/>
    </dgm:pt>
  </dgm:ptLst>
  <dgm:cxnLst>
    <dgm:cxn modelId="{5DDC1103-32A1-4465-9680-E713EF76FCDE}" type="presOf" srcId="{EDFBB9A4-2C5E-4EB2-9EE0-EE2BA89A8F43}" destId="{83F34A38-CE3D-4640-A075-644631C6244F}" srcOrd="0" destOrd="0" presId="urn:microsoft.com/office/officeart/2009/3/layout/HorizontalOrganizationChart"/>
    <dgm:cxn modelId="{A50C8219-74FE-4FD9-9283-85DA4019E85F}" srcId="{99ECD531-65FC-4330-A7B5-331A2DB04931}" destId="{DA57EBC3-F44A-41D2-AAFC-5B1AAEC834F1}" srcOrd="1" destOrd="0" parTransId="{80910B39-54B9-4102-9ECD-F695069B4658}" sibTransId="{DEB4D627-50C2-47FB-A3F4-4E59A3372E31}"/>
    <dgm:cxn modelId="{AB01F827-DA36-40C9-9F16-3D7871E86445}" type="presOf" srcId="{34D31207-1E13-4101-AD08-EB475F67E29C}" destId="{C511CAF0-BBCD-4620-B23A-4CF894169806}" srcOrd="0" destOrd="0" presId="urn:microsoft.com/office/officeart/2009/3/layout/HorizontalOrganizationChart"/>
    <dgm:cxn modelId="{8070A639-2B83-4A64-BB63-D5128A35D136}" type="presOf" srcId="{D333FBB6-DA78-417D-A8B4-D7F796260999}" destId="{F2809E8C-5DBA-4CD4-9928-41267D8FFCF2}" srcOrd="0" destOrd="0" presId="urn:microsoft.com/office/officeart/2009/3/layout/HorizontalOrganizationChart"/>
    <dgm:cxn modelId="{C0A32F3A-74AF-45F1-82D1-3ADD593B406F}" type="presOf" srcId="{80910B39-54B9-4102-9ECD-F695069B4658}" destId="{931CE680-37E8-40D1-AE41-4E7C97BF86D1}" srcOrd="0" destOrd="0" presId="urn:microsoft.com/office/officeart/2009/3/layout/HorizontalOrganizationChart"/>
    <dgm:cxn modelId="{9F361143-6FB5-4C12-8B8F-ED8BE153B2A2}" srcId="{DA57EBC3-F44A-41D2-AAFC-5B1AAEC834F1}" destId="{D4B55D47-10B3-4F4A-83BA-123068A24B44}" srcOrd="0" destOrd="0" parTransId="{EDFBB9A4-2C5E-4EB2-9EE0-EE2BA89A8F43}" sibTransId="{BE9E29F6-64A6-4103-8E8E-700D591D3C92}"/>
    <dgm:cxn modelId="{1CA96E48-F03D-4D22-854C-A909BC9725D5}" type="presOf" srcId="{D4B55D47-10B3-4F4A-83BA-123068A24B44}" destId="{E602D89F-2F81-40F1-8085-5499B0356D90}" srcOrd="1" destOrd="0" presId="urn:microsoft.com/office/officeart/2009/3/layout/HorizontalOrganizationChart"/>
    <dgm:cxn modelId="{B5B9E768-28A8-492D-B3E6-5C52251576CD}" type="presOf" srcId="{DA57EBC3-F44A-41D2-AAFC-5B1AAEC834F1}" destId="{0B115E19-FDDE-49E1-BACF-E5EBBCA6D64F}" srcOrd="0" destOrd="0" presId="urn:microsoft.com/office/officeart/2009/3/layout/HorizontalOrganizationChart"/>
    <dgm:cxn modelId="{96B8BD50-A903-41A9-8713-F6D5C6CCD841}" srcId="{6AD2E083-309F-4793-9A0F-05BF32974588}" destId="{D9A576B0-8BAB-48C7-B9EC-46BF5F9016F8}" srcOrd="1" destOrd="0" parTransId="{A0DFF08E-3046-4FFF-9B4C-0636E7286079}" sibTransId="{038B402B-B24C-4B8B-88EA-AF94C10EACE1}"/>
    <dgm:cxn modelId="{B3F44352-27DB-4A4F-B836-61DBAD5EAB6F}" type="presOf" srcId="{34D31207-1E13-4101-AD08-EB475F67E29C}" destId="{5F02B0C3-8EC7-4036-89DF-419189459D93}" srcOrd="1" destOrd="0" presId="urn:microsoft.com/office/officeart/2009/3/layout/HorizontalOrganizationChart"/>
    <dgm:cxn modelId="{B97C3D55-D663-4DEF-B8F8-521F088B6068}" srcId="{99ECD531-65FC-4330-A7B5-331A2DB04931}" destId="{6AD2E083-309F-4793-9A0F-05BF32974588}" srcOrd="0" destOrd="0" parTransId="{56FF4873-4285-4270-82DD-A6E11AAC14AC}" sibTransId="{B293E98A-A458-4954-8078-9FEC7679B2E2}"/>
    <dgm:cxn modelId="{EBE2CE76-9BC5-474B-9E89-B5390430AD4B}" type="presOf" srcId="{8C5E089E-AD3A-40D7-9521-DF5EEA4EDE4A}" destId="{3535F645-304E-49DD-B44C-CA5D1D34FB19}" srcOrd="0" destOrd="0" presId="urn:microsoft.com/office/officeart/2009/3/layout/HorizontalOrganizationChart"/>
    <dgm:cxn modelId="{C4562178-2B3A-4331-ACE9-8C3EDD9878E4}" type="presOf" srcId="{A0DFF08E-3046-4FFF-9B4C-0636E7286079}" destId="{8CE1771E-E4D1-4810-9CFE-056C0BA21887}" srcOrd="0" destOrd="0" presId="urn:microsoft.com/office/officeart/2009/3/layout/HorizontalOrganizationChart"/>
    <dgm:cxn modelId="{5706247C-B092-41E2-B754-A38B3A30BEE8}" type="presOf" srcId="{D9A576B0-8BAB-48C7-B9EC-46BF5F9016F8}" destId="{1B64C163-6B51-4343-9FA4-B185B7B4CAE8}" srcOrd="0" destOrd="0" presId="urn:microsoft.com/office/officeart/2009/3/layout/HorizontalOrganizationChart"/>
    <dgm:cxn modelId="{DAA69E83-471E-480F-95AF-C72B73030EDA}" type="presOf" srcId="{99ECD531-65FC-4330-A7B5-331A2DB04931}" destId="{92C89396-7382-4C64-9307-D18C9F9795E0}" srcOrd="0" destOrd="0" presId="urn:microsoft.com/office/officeart/2009/3/layout/HorizontalOrganizationChart"/>
    <dgm:cxn modelId="{59C260A6-FA6F-4193-9297-ABD7BA567389}" type="presOf" srcId="{7CD16E2E-AB53-4057-9CA9-3BA431DB7D8E}" destId="{7B3F8BAF-C6F3-41C6-813C-7EC7D498B1F6}" srcOrd="0" destOrd="0" presId="urn:microsoft.com/office/officeart/2009/3/layout/HorizontalOrganizationChart"/>
    <dgm:cxn modelId="{26D5F6A7-5655-4B2D-BF98-D849A97956EB}" srcId="{7CD16E2E-AB53-4057-9CA9-3BA431DB7D8E}" destId="{99ECD531-65FC-4330-A7B5-331A2DB04931}" srcOrd="0" destOrd="0" parTransId="{3DD18440-0B66-49D6-B4CE-6E1203510E34}" sibTransId="{F644ED4C-6B8E-4EB0-96F8-30132038A9D0}"/>
    <dgm:cxn modelId="{632700B1-0967-435A-B90B-71D6FEBFBBBC}" srcId="{DA57EBC3-F44A-41D2-AAFC-5B1AAEC834F1}" destId="{34D31207-1E13-4101-AD08-EB475F67E29C}" srcOrd="1" destOrd="0" parTransId="{A6C2ACB0-B1F4-40BB-8BE0-D8FED8C055E0}" sibTransId="{5F512FE7-DFF3-4F3D-95CA-45AA3AE4BC86}"/>
    <dgm:cxn modelId="{BF718FB1-3E6D-4087-8AFB-67D7202274E0}" type="presOf" srcId="{99ECD531-65FC-4330-A7B5-331A2DB04931}" destId="{828E7DB2-B614-412E-801D-B235CC442E6A}" srcOrd="1" destOrd="0" presId="urn:microsoft.com/office/officeart/2009/3/layout/HorizontalOrganizationChart"/>
    <dgm:cxn modelId="{0DA61FB4-E3EB-4BD0-992D-B179EE2CE0C3}" type="presOf" srcId="{D333FBB6-DA78-417D-A8B4-D7F796260999}" destId="{4D1819D2-5BEE-45B8-839D-B402A3A4411B}" srcOrd="1" destOrd="0" presId="urn:microsoft.com/office/officeart/2009/3/layout/HorizontalOrganizationChart"/>
    <dgm:cxn modelId="{70D3F9B4-2E10-4CF0-88BB-82192F9DDA6C}" srcId="{6AD2E083-309F-4793-9A0F-05BF32974588}" destId="{D333FBB6-DA78-417D-A8B4-D7F796260999}" srcOrd="0" destOrd="0" parTransId="{8C5E089E-AD3A-40D7-9521-DF5EEA4EDE4A}" sibTransId="{323D86AF-92A8-4C2F-A193-0A0A5BD67F83}"/>
    <dgm:cxn modelId="{444F17B6-525A-43D3-99C4-E75FC0920478}" type="presOf" srcId="{D4B55D47-10B3-4F4A-83BA-123068A24B44}" destId="{12C3C3E8-525B-41DB-9BE9-590A2F7C3D6C}" srcOrd="0" destOrd="0" presId="urn:microsoft.com/office/officeart/2009/3/layout/HorizontalOrganizationChart"/>
    <dgm:cxn modelId="{277BA8C0-24D0-4977-AB58-87DEDEA8389A}" type="presOf" srcId="{56FF4873-4285-4270-82DD-A6E11AAC14AC}" destId="{CB13F34B-D1F2-4707-8DF6-09CD17AC25C9}" srcOrd="0" destOrd="0" presId="urn:microsoft.com/office/officeart/2009/3/layout/HorizontalOrganizationChart"/>
    <dgm:cxn modelId="{DB2837C2-3F35-4834-86BA-480F3356C8BD}" type="presOf" srcId="{A6C2ACB0-B1F4-40BB-8BE0-D8FED8C055E0}" destId="{EA201069-479F-4379-80B3-4D6506A009A9}" srcOrd="0" destOrd="0" presId="urn:microsoft.com/office/officeart/2009/3/layout/HorizontalOrganizationChart"/>
    <dgm:cxn modelId="{A0CB12CA-ACA4-4F85-90B1-B877D3DD77BD}" type="presOf" srcId="{6AD2E083-309F-4793-9A0F-05BF32974588}" destId="{1D5185C6-5F7C-4BE5-8940-5C7B8A9B6659}" srcOrd="0" destOrd="0" presId="urn:microsoft.com/office/officeart/2009/3/layout/HorizontalOrganizationChart"/>
    <dgm:cxn modelId="{D61EE7D2-5056-45F9-BEE5-EAD4B2F30AAC}" type="presOf" srcId="{DA57EBC3-F44A-41D2-AAFC-5B1AAEC834F1}" destId="{3FA60499-CD0D-4692-9524-BA9CEA56CC04}" srcOrd="1" destOrd="0" presId="urn:microsoft.com/office/officeart/2009/3/layout/HorizontalOrganizationChart"/>
    <dgm:cxn modelId="{616B71E3-F141-4B61-A1B8-7F3B44CC95E6}" type="presOf" srcId="{D9A576B0-8BAB-48C7-B9EC-46BF5F9016F8}" destId="{C24B7ACD-7A29-4F7A-84C1-9B1ED87F6703}" srcOrd="1" destOrd="0" presId="urn:microsoft.com/office/officeart/2009/3/layout/HorizontalOrganizationChart"/>
    <dgm:cxn modelId="{E688C2E9-1246-44A4-A2AE-CFF1FAC860E6}" type="presOf" srcId="{6AD2E083-309F-4793-9A0F-05BF32974588}" destId="{104A8262-9425-4751-9106-6B47E3B8A8CB}" srcOrd="1" destOrd="0" presId="urn:microsoft.com/office/officeart/2009/3/layout/HorizontalOrganizationChart"/>
    <dgm:cxn modelId="{0C6B30D4-08DC-4322-BB1B-15CDA575CC76}" type="presParOf" srcId="{7B3F8BAF-C6F3-41C6-813C-7EC7D498B1F6}" destId="{82F6DF3F-31AB-4063-A8AF-DCCCDA775BA9}" srcOrd="0" destOrd="0" presId="urn:microsoft.com/office/officeart/2009/3/layout/HorizontalOrganizationChart"/>
    <dgm:cxn modelId="{4AC36F60-DC9B-40BC-8300-93B49178716D}" type="presParOf" srcId="{82F6DF3F-31AB-4063-A8AF-DCCCDA775BA9}" destId="{69D7B89E-9B7B-4407-B9F9-2B40F4315F8E}" srcOrd="0" destOrd="0" presId="urn:microsoft.com/office/officeart/2009/3/layout/HorizontalOrganizationChart"/>
    <dgm:cxn modelId="{AAADF595-557C-46C6-891D-C1029ED41755}" type="presParOf" srcId="{69D7B89E-9B7B-4407-B9F9-2B40F4315F8E}" destId="{92C89396-7382-4C64-9307-D18C9F9795E0}" srcOrd="0" destOrd="0" presId="urn:microsoft.com/office/officeart/2009/3/layout/HorizontalOrganizationChart"/>
    <dgm:cxn modelId="{787B1797-6EFD-4942-99BB-4DB731DBEC32}" type="presParOf" srcId="{69D7B89E-9B7B-4407-B9F9-2B40F4315F8E}" destId="{828E7DB2-B614-412E-801D-B235CC442E6A}" srcOrd="1" destOrd="0" presId="urn:microsoft.com/office/officeart/2009/3/layout/HorizontalOrganizationChart"/>
    <dgm:cxn modelId="{A5C3E629-FBC4-478A-BE81-5CF31B275A07}" type="presParOf" srcId="{82F6DF3F-31AB-4063-A8AF-DCCCDA775BA9}" destId="{5E586348-D186-4FFC-A5B5-3CD7823C8B5F}" srcOrd="1" destOrd="0" presId="urn:microsoft.com/office/officeart/2009/3/layout/HorizontalOrganizationChart"/>
    <dgm:cxn modelId="{A9681FC4-307D-4528-8C1A-5E7AAC6A6C74}" type="presParOf" srcId="{5E586348-D186-4FFC-A5B5-3CD7823C8B5F}" destId="{CB13F34B-D1F2-4707-8DF6-09CD17AC25C9}" srcOrd="0" destOrd="0" presId="urn:microsoft.com/office/officeart/2009/3/layout/HorizontalOrganizationChart"/>
    <dgm:cxn modelId="{75E1FD90-32EC-460B-B21B-518F12AC18AC}" type="presParOf" srcId="{5E586348-D186-4FFC-A5B5-3CD7823C8B5F}" destId="{A786063F-2EBA-4401-8ABE-11C6687B4DA7}" srcOrd="1" destOrd="0" presId="urn:microsoft.com/office/officeart/2009/3/layout/HorizontalOrganizationChart"/>
    <dgm:cxn modelId="{59AB2DCB-A1B8-4237-85A0-1B0458313ED2}" type="presParOf" srcId="{A786063F-2EBA-4401-8ABE-11C6687B4DA7}" destId="{5CBE4933-068C-4E7D-B3E5-F11EDDB5DB41}" srcOrd="0" destOrd="0" presId="urn:microsoft.com/office/officeart/2009/3/layout/HorizontalOrganizationChart"/>
    <dgm:cxn modelId="{B94BA2BF-50E2-4694-A955-7FE55627D010}" type="presParOf" srcId="{5CBE4933-068C-4E7D-B3E5-F11EDDB5DB41}" destId="{1D5185C6-5F7C-4BE5-8940-5C7B8A9B6659}" srcOrd="0" destOrd="0" presId="urn:microsoft.com/office/officeart/2009/3/layout/HorizontalOrganizationChart"/>
    <dgm:cxn modelId="{50E69550-E0B6-4CEA-8774-6CE9A16F5594}" type="presParOf" srcId="{5CBE4933-068C-4E7D-B3E5-F11EDDB5DB41}" destId="{104A8262-9425-4751-9106-6B47E3B8A8CB}" srcOrd="1" destOrd="0" presId="urn:microsoft.com/office/officeart/2009/3/layout/HorizontalOrganizationChart"/>
    <dgm:cxn modelId="{B0914D9E-66FE-4190-8D96-39A3C245FA2B}" type="presParOf" srcId="{A786063F-2EBA-4401-8ABE-11C6687B4DA7}" destId="{56C7289B-92C2-4FB5-B513-E1A11BC7CBDB}" srcOrd="1" destOrd="0" presId="urn:microsoft.com/office/officeart/2009/3/layout/HorizontalOrganizationChart"/>
    <dgm:cxn modelId="{69455771-2C74-46DC-9523-5BDFAAB12F11}" type="presParOf" srcId="{56C7289B-92C2-4FB5-B513-E1A11BC7CBDB}" destId="{3535F645-304E-49DD-B44C-CA5D1D34FB19}" srcOrd="0" destOrd="0" presId="urn:microsoft.com/office/officeart/2009/3/layout/HorizontalOrganizationChart"/>
    <dgm:cxn modelId="{8407F938-0BBF-4E39-A0FA-F4AE17C45CA4}" type="presParOf" srcId="{56C7289B-92C2-4FB5-B513-E1A11BC7CBDB}" destId="{C9197017-CBBA-4CB8-A9F3-27B98BEACEAA}" srcOrd="1" destOrd="0" presId="urn:microsoft.com/office/officeart/2009/3/layout/HorizontalOrganizationChart"/>
    <dgm:cxn modelId="{255B9119-5BEE-4B58-B3FA-17B4EC6D37E3}" type="presParOf" srcId="{C9197017-CBBA-4CB8-A9F3-27B98BEACEAA}" destId="{F71FE54F-3C23-4382-BBB2-42FC0A34E1F9}" srcOrd="0" destOrd="0" presId="urn:microsoft.com/office/officeart/2009/3/layout/HorizontalOrganizationChart"/>
    <dgm:cxn modelId="{34A10878-9E65-4E4C-ABD4-C9EDF2ADEAE7}" type="presParOf" srcId="{F71FE54F-3C23-4382-BBB2-42FC0A34E1F9}" destId="{F2809E8C-5DBA-4CD4-9928-41267D8FFCF2}" srcOrd="0" destOrd="0" presId="urn:microsoft.com/office/officeart/2009/3/layout/HorizontalOrganizationChart"/>
    <dgm:cxn modelId="{159611C4-6CA3-4E6B-9339-972B452AE9AE}" type="presParOf" srcId="{F71FE54F-3C23-4382-BBB2-42FC0A34E1F9}" destId="{4D1819D2-5BEE-45B8-839D-B402A3A4411B}" srcOrd="1" destOrd="0" presId="urn:microsoft.com/office/officeart/2009/3/layout/HorizontalOrganizationChart"/>
    <dgm:cxn modelId="{C9D337C1-ABBB-4E4B-9F3E-2C0FD66A5902}" type="presParOf" srcId="{C9197017-CBBA-4CB8-A9F3-27B98BEACEAA}" destId="{E19E7ED2-CAD6-408A-91BC-3DDEB2C6E05E}" srcOrd="1" destOrd="0" presId="urn:microsoft.com/office/officeart/2009/3/layout/HorizontalOrganizationChart"/>
    <dgm:cxn modelId="{E306DDA6-EF75-4FF6-9503-B85845984EEC}" type="presParOf" srcId="{C9197017-CBBA-4CB8-A9F3-27B98BEACEAA}" destId="{1CA4C00D-ABEF-460C-B945-9AB67534440F}" srcOrd="2" destOrd="0" presId="urn:microsoft.com/office/officeart/2009/3/layout/HorizontalOrganizationChart"/>
    <dgm:cxn modelId="{D144098E-F4AB-4872-8F42-FCE591B9E75E}" type="presParOf" srcId="{56C7289B-92C2-4FB5-B513-E1A11BC7CBDB}" destId="{8CE1771E-E4D1-4810-9CFE-056C0BA21887}" srcOrd="2" destOrd="0" presId="urn:microsoft.com/office/officeart/2009/3/layout/HorizontalOrganizationChart"/>
    <dgm:cxn modelId="{AD076BCE-BD24-43FA-A5AA-EE72FAD1ADD8}" type="presParOf" srcId="{56C7289B-92C2-4FB5-B513-E1A11BC7CBDB}" destId="{4A0BA6D3-4BA7-440B-B167-128E15CEDBFC}" srcOrd="3" destOrd="0" presId="urn:microsoft.com/office/officeart/2009/3/layout/HorizontalOrganizationChart"/>
    <dgm:cxn modelId="{7F657299-D2F1-4FC4-AD67-552F62E04891}" type="presParOf" srcId="{4A0BA6D3-4BA7-440B-B167-128E15CEDBFC}" destId="{8F578130-6622-4F12-90B5-F0E13052EBE0}" srcOrd="0" destOrd="0" presId="urn:microsoft.com/office/officeart/2009/3/layout/HorizontalOrganizationChart"/>
    <dgm:cxn modelId="{D1EF2E07-729F-437C-A6FF-A21340AA0655}" type="presParOf" srcId="{8F578130-6622-4F12-90B5-F0E13052EBE0}" destId="{1B64C163-6B51-4343-9FA4-B185B7B4CAE8}" srcOrd="0" destOrd="0" presId="urn:microsoft.com/office/officeart/2009/3/layout/HorizontalOrganizationChart"/>
    <dgm:cxn modelId="{42FA9DD1-5AE7-49C1-BEA0-04D183BC3F27}" type="presParOf" srcId="{8F578130-6622-4F12-90B5-F0E13052EBE0}" destId="{C24B7ACD-7A29-4F7A-84C1-9B1ED87F6703}" srcOrd="1" destOrd="0" presId="urn:microsoft.com/office/officeart/2009/3/layout/HorizontalOrganizationChart"/>
    <dgm:cxn modelId="{5D6C88A4-A9E2-483F-B420-635852A64A0A}" type="presParOf" srcId="{4A0BA6D3-4BA7-440B-B167-128E15CEDBFC}" destId="{4B44E42F-2CED-40B5-8548-8A0F265E8210}" srcOrd="1" destOrd="0" presId="urn:microsoft.com/office/officeart/2009/3/layout/HorizontalOrganizationChart"/>
    <dgm:cxn modelId="{F5A9FDEB-FEF6-44E3-AE31-BE6169B07768}" type="presParOf" srcId="{4A0BA6D3-4BA7-440B-B167-128E15CEDBFC}" destId="{D14764F7-948C-4FC8-9EDF-BE2E9C50F2D0}" srcOrd="2" destOrd="0" presId="urn:microsoft.com/office/officeart/2009/3/layout/HorizontalOrganizationChart"/>
    <dgm:cxn modelId="{EFEE24D8-4161-4E07-B77D-EE2F729B7473}" type="presParOf" srcId="{A786063F-2EBA-4401-8ABE-11C6687B4DA7}" destId="{429019F9-F7AD-422A-BE2C-BC28C93C9D77}" srcOrd="2" destOrd="0" presId="urn:microsoft.com/office/officeart/2009/3/layout/HorizontalOrganizationChart"/>
    <dgm:cxn modelId="{7D38B188-214F-4F83-BBFC-A443B070C423}" type="presParOf" srcId="{5E586348-D186-4FFC-A5B5-3CD7823C8B5F}" destId="{931CE680-37E8-40D1-AE41-4E7C97BF86D1}" srcOrd="2" destOrd="0" presId="urn:microsoft.com/office/officeart/2009/3/layout/HorizontalOrganizationChart"/>
    <dgm:cxn modelId="{DCB8BB05-183D-4430-BF09-D29371F19099}" type="presParOf" srcId="{5E586348-D186-4FFC-A5B5-3CD7823C8B5F}" destId="{EDD53E6D-FEBA-4D2E-98FD-0FD3034FB7D4}" srcOrd="3" destOrd="0" presId="urn:microsoft.com/office/officeart/2009/3/layout/HorizontalOrganizationChart"/>
    <dgm:cxn modelId="{2634B9D5-7FCE-44F3-96F3-E67053B59DC5}" type="presParOf" srcId="{EDD53E6D-FEBA-4D2E-98FD-0FD3034FB7D4}" destId="{FB9D9CAC-11A4-4DF4-9280-8D58A5F02F12}" srcOrd="0" destOrd="0" presId="urn:microsoft.com/office/officeart/2009/3/layout/HorizontalOrganizationChart"/>
    <dgm:cxn modelId="{9E19C02C-0C7E-44B4-8FBF-A737961B8017}" type="presParOf" srcId="{FB9D9CAC-11A4-4DF4-9280-8D58A5F02F12}" destId="{0B115E19-FDDE-49E1-BACF-E5EBBCA6D64F}" srcOrd="0" destOrd="0" presId="urn:microsoft.com/office/officeart/2009/3/layout/HorizontalOrganizationChart"/>
    <dgm:cxn modelId="{00151F5F-59DD-4C3F-A52D-CDDE01A507E9}" type="presParOf" srcId="{FB9D9CAC-11A4-4DF4-9280-8D58A5F02F12}" destId="{3FA60499-CD0D-4692-9524-BA9CEA56CC04}" srcOrd="1" destOrd="0" presId="urn:microsoft.com/office/officeart/2009/3/layout/HorizontalOrganizationChart"/>
    <dgm:cxn modelId="{FA1E20C8-CD15-471B-A3F3-CEA671DB2A67}" type="presParOf" srcId="{EDD53E6D-FEBA-4D2E-98FD-0FD3034FB7D4}" destId="{A058C62D-F424-4C74-9A9C-71FC9DD3141E}" srcOrd="1" destOrd="0" presId="urn:microsoft.com/office/officeart/2009/3/layout/HorizontalOrganizationChart"/>
    <dgm:cxn modelId="{B62D25DE-E875-4939-9034-8A15A48C6226}" type="presParOf" srcId="{A058C62D-F424-4C74-9A9C-71FC9DD3141E}" destId="{83F34A38-CE3D-4640-A075-644631C6244F}" srcOrd="0" destOrd="0" presId="urn:microsoft.com/office/officeart/2009/3/layout/HorizontalOrganizationChart"/>
    <dgm:cxn modelId="{EB70A9D1-077F-4D31-BB1A-48DC81F01715}" type="presParOf" srcId="{A058C62D-F424-4C74-9A9C-71FC9DD3141E}" destId="{E7312AEC-870C-40E5-B884-728B44F43FC5}" srcOrd="1" destOrd="0" presId="urn:microsoft.com/office/officeart/2009/3/layout/HorizontalOrganizationChart"/>
    <dgm:cxn modelId="{5EB8AECC-D708-48E8-8B8C-DFC5BD176D15}" type="presParOf" srcId="{E7312AEC-870C-40E5-B884-728B44F43FC5}" destId="{30A7A122-5DF3-4CF3-A5AF-84D2BC5D15D7}" srcOrd="0" destOrd="0" presId="urn:microsoft.com/office/officeart/2009/3/layout/HorizontalOrganizationChart"/>
    <dgm:cxn modelId="{5D376D31-F243-47EC-8415-E799762D3E03}" type="presParOf" srcId="{30A7A122-5DF3-4CF3-A5AF-84D2BC5D15D7}" destId="{12C3C3E8-525B-41DB-9BE9-590A2F7C3D6C}" srcOrd="0" destOrd="0" presId="urn:microsoft.com/office/officeart/2009/3/layout/HorizontalOrganizationChart"/>
    <dgm:cxn modelId="{EF93D1A6-5175-41DF-96C6-85EA471F33EA}" type="presParOf" srcId="{30A7A122-5DF3-4CF3-A5AF-84D2BC5D15D7}" destId="{E602D89F-2F81-40F1-8085-5499B0356D90}" srcOrd="1" destOrd="0" presId="urn:microsoft.com/office/officeart/2009/3/layout/HorizontalOrganizationChart"/>
    <dgm:cxn modelId="{38136063-EA3C-480F-9ED3-B991C8020870}" type="presParOf" srcId="{E7312AEC-870C-40E5-B884-728B44F43FC5}" destId="{A0EB303C-C209-4FE2-BDFF-AC9FC24BF2F0}" srcOrd="1" destOrd="0" presId="urn:microsoft.com/office/officeart/2009/3/layout/HorizontalOrganizationChart"/>
    <dgm:cxn modelId="{DD171D58-343C-4C67-B3D6-DE73E5A10ECD}" type="presParOf" srcId="{E7312AEC-870C-40E5-B884-728B44F43FC5}" destId="{2F60CFE2-CD23-4594-8CCF-D5F543B3AE85}" srcOrd="2" destOrd="0" presId="urn:microsoft.com/office/officeart/2009/3/layout/HorizontalOrganizationChart"/>
    <dgm:cxn modelId="{C3A9CB97-7EEF-4AC9-8155-A90ACC2D9556}" type="presParOf" srcId="{A058C62D-F424-4C74-9A9C-71FC9DD3141E}" destId="{EA201069-479F-4379-80B3-4D6506A009A9}" srcOrd="2" destOrd="0" presId="urn:microsoft.com/office/officeart/2009/3/layout/HorizontalOrganizationChart"/>
    <dgm:cxn modelId="{60C8A173-B6EE-4405-BF4B-C4A856E3A338}" type="presParOf" srcId="{A058C62D-F424-4C74-9A9C-71FC9DD3141E}" destId="{91F366A9-1139-41C3-A0E7-D2CF5D6E7F58}" srcOrd="3" destOrd="0" presId="urn:microsoft.com/office/officeart/2009/3/layout/HorizontalOrganizationChart"/>
    <dgm:cxn modelId="{44175753-29FA-4269-ACD8-C521A1C9AE17}" type="presParOf" srcId="{91F366A9-1139-41C3-A0E7-D2CF5D6E7F58}" destId="{9C15E969-9BC4-4831-9209-31E58E1CB33F}" srcOrd="0" destOrd="0" presId="urn:microsoft.com/office/officeart/2009/3/layout/HorizontalOrganizationChart"/>
    <dgm:cxn modelId="{64EAF11F-F533-4F7F-ABC4-9D375B1BAEAF}" type="presParOf" srcId="{9C15E969-9BC4-4831-9209-31E58E1CB33F}" destId="{C511CAF0-BBCD-4620-B23A-4CF894169806}" srcOrd="0" destOrd="0" presId="urn:microsoft.com/office/officeart/2009/3/layout/HorizontalOrganizationChart"/>
    <dgm:cxn modelId="{5C0690CD-DC8C-4397-8702-7142D3F10D98}" type="presParOf" srcId="{9C15E969-9BC4-4831-9209-31E58E1CB33F}" destId="{5F02B0C3-8EC7-4036-89DF-419189459D93}" srcOrd="1" destOrd="0" presId="urn:microsoft.com/office/officeart/2009/3/layout/HorizontalOrganizationChart"/>
    <dgm:cxn modelId="{2A606581-435A-4D09-BC53-1A154213D505}" type="presParOf" srcId="{91F366A9-1139-41C3-A0E7-D2CF5D6E7F58}" destId="{3D37F959-64FE-4FE2-919C-4D20CDEA08C0}" srcOrd="1" destOrd="0" presId="urn:microsoft.com/office/officeart/2009/3/layout/HorizontalOrganizationChart"/>
    <dgm:cxn modelId="{4A98E770-7445-4637-8B8A-AFE476242084}" type="presParOf" srcId="{91F366A9-1139-41C3-A0E7-D2CF5D6E7F58}" destId="{2AF880DD-7DA6-4CE5-A2D6-0B06788DE0BE}" srcOrd="2" destOrd="0" presId="urn:microsoft.com/office/officeart/2009/3/layout/HorizontalOrganizationChart"/>
    <dgm:cxn modelId="{2C040F4A-49C4-4F62-A330-13762386FAE9}" type="presParOf" srcId="{EDD53E6D-FEBA-4D2E-98FD-0FD3034FB7D4}" destId="{9B2FFF91-609E-404F-BC17-BA2463395B4D}" srcOrd="2" destOrd="0" presId="urn:microsoft.com/office/officeart/2009/3/layout/HorizontalOrganizationChart"/>
    <dgm:cxn modelId="{0957FF6C-B7D0-4739-B23F-6CE7B2A9DEF7}" type="presParOf" srcId="{82F6DF3F-31AB-4063-A8AF-DCCCDA775BA9}" destId="{3D1DEA25-28D6-4985-9F3E-36AA578DA3C8}" srcOrd="2" destOrd="0" presId="urn:microsoft.com/office/officeart/2009/3/layout/HorizontalOrganizationChart"/>
  </dgm:cxnLst>
  <dgm:bg/>
  <dgm:whole>
    <a:ln>
      <a:solidFill>
        <a:schemeClr val="tx2"/>
      </a:solidFill>
    </a:ln>
  </dgm:whole>
  <dgm:extLst>
    <a:ext uri="http://schemas.microsoft.com/office/drawing/2008/diagram">
      <dsp:dataModelExt xmlns:dsp="http://schemas.microsoft.com/office/drawing/2008/diagram" relId="rId16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E3C2826-7830-41E9-BBF9-8992E0376B1E}">
      <dsp:nvSpPr>
        <dsp:cNvPr id="0" name=""/>
        <dsp:cNvSpPr/>
      </dsp:nvSpPr>
      <dsp:spPr>
        <a:xfrm>
          <a:off x="0" y="0"/>
          <a:ext cx="4418152" cy="449884"/>
        </a:xfrm>
        <a:prstGeom prst="roundRect">
          <a:avLst>
            <a:gd name="adj" fmla="val 10000"/>
          </a:avLst>
        </a:prstGeom>
        <a:solidFill>
          <a:schemeClr val="bg2"/>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l" defTabSz="444500">
            <a:lnSpc>
              <a:spcPct val="90000"/>
            </a:lnSpc>
            <a:spcBef>
              <a:spcPct val="0"/>
            </a:spcBef>
            <a:spcAft>
              <a:spcPct val="35000"/>
            </a:spcAft>
            <a:buNone/>
          </a:pPr>
          <a:r>
            <a:rPr lang="pl-PL" sz="1000" b="1" kern="1200">
              <a:solidFill>
                <a:schemeClr val="accent1"/>
              </a:solidFill>
              <a:latin typeface="+mn-lt"/>
            </a:rPr>
            <a:t>I ETAP: </a:t>
          </a:r>
          <a:r>
            <a:rPr lang="pl-PL" sz="1000" b="0" kern="1200">
              <a:latin typeface="+mn-lt"/>
            </a:rPr>
            <a:t>DIAGNOZA WSTĘPNA, OKREŚLENIE WSTĘPNYCH KIERUNKÓW ROZWOJOWYCH </a:t>
          </a:r>
        </a:p>
      </dsp:txBody>
      <dsp:txXfrm>
        <a:off x="13177" y="13177"/>
        <a:ext cx="3880054" cy="423530"/>
      </dsp:txXfrm>
    </dsp:sp>
    <dsp:sp modelId="{14951532-EDAA-4F26-9E6B-AC221756D374}">
      <dsp:nvSpPr>
        <dsp:cNvPr id="0" name=""/>
        <dsp:cNvSpPr/>
      </dsp:nvSpPr>
      <dsp:spPr>
        <a:xfrm>
          <a:off x="329926" y="512368"/>
          <a:ext cx="4418152" cy="449884"/>
        </a:xfrm>
        <a:prstGeom prst="roundRect">
          <a:avLst>
            <a:gd name="adj" fmla="val 10000"/>
          </a:avLst>
        </a:prstGeom>
        <a:solidFill>
          <a:schemeClr val="bg2"/>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l" defTabSz="444500">
            <a:lnSpc>
              <a:spcPct val="90000"/>
            </a:lnSpc>
            <a:spcBef>
              <a:spcPct val="0"/>
            </a:spcBef>
            <a:spcAft>
              <a:spcPct val="35000"/>
            </a:spcAft>
            <a:buNone/>
          </a:pPr>
          <a:r>
            <a:rPr lang="pl-PL" sz="1000" b="1" kern="1200">
              <a:solidFill>
                <a:schemeClr val="accent1"/>
              </a:solidFill>
              <a:latin typeface="+mn-lt"/>
            </a:rPr>
            <a:t>II ETAP</a:t>
          </a:r>
          <a:r>
            <a:rPr lang="pl-PL" sz="1000" b="0" kern="1200">
              <a:solidFill>
                <a:schemeClr val="tx2"/>
              </a:solidFill>
              <a:latin typeface="+mn-lt"/>
            </a:rPr>
            <a:t>: </a:t>
          </a:r>
          <a:r>
            <a:rPr lang="pl-PL" sz="1000" b="0" kern="1200">
              <a:latin typeface="+mn-lt"/>
            </a:rPr>
            <a:t>DIAGNOZA POGŁĘBIONA-KONTEKSTOWA. ANALIZA PEST </a:t>
          </a:r>
        </a:p>
      </dsp:txBody>
      <dsp:txXfrm>
        <a:off x="343103" y="525545"/>
        <a:ext cx="3769446" cy="423530"/>
      </dsp:txXfrm>
    </dsp:sp>
    <dsp:sp modelId="{203AB743-F4B3-40D5-B3C1-0201D3AF5C45}">
      <dsp:nvSpPr>
        <dsp:cNvPr id="0" name=""/>
        <dsp:cNvSpPr/>
      </dsp:nvSpPr>
      <dsp:spPr>
        <a:xfrm>
          <a:off x="729086" y="1015645"/>
          <a:ext cx="4418152" cy="449884"/>
        </a:xfrm>
        <a:prstGeom prst="roundRect">
          <a:avLst>
            <a:gd name="adj" fmla="val 10000"/>
          </a:avLst>
        </a:prstGeom>
        <a:solidFill>
          <a:schemeClr val="bg2"/>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l" defTabSz="444500">
            <a:lnSpc>
              <a:spcPct val="90000"/>
            </a:lnSpc>
            <a:spcBef>
              <a:spcPct val="0"/>
            </a:spcBef>
            <a:spcAft>
              <a:spcPct val="35000"/>
            </a:spcAft>
            <a:buNone/>
          </a:pPr>
          <a:r>
            <a:rPr lang="pl-PL" sz="1000" b="1" kern="1200">
              <a:solidFill>
                <a:schemeClr val="accent1"/>
              </a:solidFill>
              <a:latin typeface="+mn-lt"/>
            </a:rPr>
            <a:t>III ETAP</a:t>
          </a:r>
          <a:r>
            <a:rPr lang="pl-PL" sz="1000" b="0" kern="1200">
              <a:solidFill>
                <a:schemeClr val="accent1"/>
              </a:solidFill>
              <a:latin typeface="+mn-lt"/>
            </a:rPr>
            <a:t>: </a:t>
          </a:r>
          <a:r>
            <a:rPr lang="pl-PL" sz="1000" b="0" kern="1200">
              <a:latin typeface="+mn-lt"/>
            </a:rPr>
            <a:t>OKREŚLENIE SŁABYCH I MOCNYCH STRON ORAZ SZANS I ZAGROŻEŃ </a:t>
          </a:r>
        </a:p>
      </dsp:txBody>
      <dsp:txXfrm>
        <a:off x="742263" y="1028822"/>
        <a:ext cx="3769446" cy="423530"/>
      </dsp:txXfrm>
    </dsp:sp>
    <dsp:sp modelId="{BF8488D1-276C-4975-A830-8CCD31508A16}">
      <dsp:nvSpPr>
        <dsp:cNvPr id="0" name=""/>
        <dsp:cNvSpPr/>
      </dsp:nvSpPr>
      <dsp:spPr>
        <a:xfrm>
          <a:off x="989780" y="1537106"/>
          <a:ext cx="4418152" cy="449884"/>
        </a:xfrm>
        <a:prstGeom prst="roundRect">
          <a:avLst>
            <a:gd name="adj" fmla="val 10000"/>
          </a:avLst>
        </a:prstGeom>
        <a:solidFill>
          <a:schemeClr val="bg2"/>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l" defTabSz="444500">
            <a:lnSpc>
              <a:spcPct val="90000"/>
            </a:lnSpc>
            <a:spcBef>
              <a:spcPct val="0"/>
            </a:spcBef>
            <a:spcAft>
              <a:spcPct val="35000"/>
            </a:spcAft>
            <a:buNone/>
          </a:pPr>
          <a:r>
            <a:rPr lang="pl-PL" sz="1000" b="1" kern="1200">
              <a:solidFill>
                <a:schemeClr val="accent1"/>
              </a:solidFill>
              <a:latin typeface="+mn-lt"/>
            </a:rPr>
            <a:t>IV ETAP: </a:t>
          </a:r>
          <a:r>
            <a:rPr lang="pl-PL" sz="1000" b="0" kern="1200">
              <a:latin typeface="+mn-lt"/>
            </a:rPr>
            <a:t>POTWIERDZENIE ZASADNOŚCI REALIZACJI KIERUNKÓW ROZWOJOWYCH W OPARCIU O WYNIKI DIAGNOZY</a:t>
          </a:r>
          <a:endParaRPr lang="pl-PL" sz="1000" b="0" kern="1200">
            <a:solidFill>
              <a:sysClr val="windowText" lastClr="000000"/>
            </a:solidFill>
            <a:latin typeface="+mn-lt"/>
          </a:endParaRPr>
        </a:p>
      </dsp:txBody>
      <dsp:txXfrm>
        <a:off x="1002957" y="1550283"/>
        <a:ext cx="3769446" cy="423530"/>
      </dsp:txXfrm>
    </dsp:sp>
    <dsp:sp modelId="{260338B6-29B5-4C87-B625-DA450009748E}">
      <dsp:nvSpPr>
        <dsp:cNvPr id="0" name=""/>
        <dsp:cNvSpPr/>
      </dsp:nvSpPr>
      <dsp:spPr>
        <a:xfrm>
          <a:off x="1319707" y="2049475"/>
          <a:ext cx="4418152" cy="449884"/>
        </a:xfrm>
        <a:prstGeom prst="roundRect">
          <a:avLst>
            <a:gd name="adj" fmla="val 10000"/>
          </a:avLst>
        </a:prstGeom>
        <a:solidFill>
          <a:schemeClr val="bg2"/>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l" defTabSz="444500">
            <a:lnSpc>
              <a:spcPct val="90000"/>
            </a:lnSpc>
            <a:spcBef>
              <a:spcPct val="0"/>
            </a:spcBef>
            <a:spcAft>
              <a:spcPct val="35000"/>
            </a:spcAft>
            <a:buNone/>
          </a:pPr>
          <a:r>
            <a:rPr lang="pl-PL" sz="1000" b="1" kern="1200">
              <a:solidFill>
                <a:schemeClr val="accent1"/>
              </a:solidFill>
              <a:latin typeface="+mn-lt"/>
            </a:rPr>
            <a:t>V ETAP:  </a:t>
          </a:r>
          <a:r>
            <a:rPr lang="pl-PL" sz="1000" b="0" kern="1200">
              <a:latin typeface="+mn-lt"/>
            </a:rPr>
            <a:t>OKREŚLENIE DETERMINANT I WYZWAŃ ROZWOJOWYCH  </a:t>
          </a:r>
        </a:p>
      </dsp:txBody>
      <dsp:txXfrm>
        <a:off x="1332884" y="2062652"/>
        <a:ext cx="3769446" cy="423530"/>
      </dsp:txXfrm>
    </dsp:sp>
    <dsp:sp modelId="{C41B5219-FFC6-4419-8F56-38385637F9F2}">
      <dsp:nvSpPr>
        <dsp:cNvPr id="0" name=""/>
        <dsp:cNvSpPr/>
      </dsp:nvSpPr>
      <dsp:spPr>
        <a:xfrm>
          <a:off x="4125727" y="328665"/>
          <a:ext cx="292425" cy="292425"/>
        </a:xfrm>
        <a:prstGeom prst="downArrow">
          <a:avLst>
            <a:gd name="adj1" fmla="val 55000"/>
            <a:gd name="adj2" fmla="val 45000"/>
          </a:avLst>
        </a:prstGeom>
        <a:solidFill>
          <a:schemeClr val="accent1">
            <a:alpha val="90000"/>
          </a:schemeClr>
        </a:solidFill>
        <a:ln w="12700" cap="flat" cmpd="sng" algn="ctr">
          <a:solidFill>
            <a:schemeClr val="accent3">
              <a:lumMod val="75000"/>
              <a:alpha val="9000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6510" tIns="16510" rIns="16510" bIns="16510" numCol="1" spcCol="1270" anchor="ctr" anchorCtr="0">
          <a:noAutofit/>
        </a:bodyPr>
        <a:lstStyle/>
        <a:p>
          <a:pPr marL="0" lvl="0" indent="0" algn="ctr" defTabSz="577850">
            <a:lnSpc>
              <a:spcPct val="90000"/>
            </a:lnSpc>
            <a:spcBef>
              <a:spcPct val="0"/>
            </a:spcBef>
            <a:spcAft>
              <a:spcPct val="35000"/>
            </a:spcAft>
            <a:buNone/>
          </a:pPr>
          <a:endParaRPr lang="pl-PL" sz="1300" b="1" kern="1200">
            <a:latin typeface="+mn-lt"/>
          </a:endParaRPr>
        </a:p>
      </dsp:txBody>
      <dsp:txXfrm>
        <a:off x="4191523" y="328665"/>
        <a:ext cx="160833" cy="220050"/>
      </dsp:txXfrm>
    </dsp:sp>
    <dsp:sp modelId="{E7CC44AA-EE1F-4310-8473-CAF33D8F7651}">
      <dsp:nvSpPr>
        <dsp:cNvPr id="0" name=""/>
        <dsp:cNvSpPr/>
      </dsp:nvSpPr>
      <dsp:spPr>
        <a:xfrm>
          <a:off x="4455654" y="841034"/>
          <a:ext cx="292425" cy="292425"/>
        </a:xfrm>
        <a:prstGeom prst="downArrow">
          <a:avLst>
            <a:gd name="adj1" fmla="val 55000"/>
            <a:gd name="adj2" fmla="val 45000"/>
          </a:avLst>
        </a:prstGeom>
        <a:solidFill>
          <a:schemeClr val="accent1">
            <a:alpha val="90000"/>
          </a:schemeClr>
        </a:solidFill>
        <a:ln w="12700" cap="flat" cmpd="sng" algn="ctr">
          <a:solidFill>
            <a:schemeClr val="accent3">
              <a:lumMod val="75000"/>
              <a:alpha val="9000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6510" tIns="16510" rIns="16510" bIns="16510" numCol="1" spcCol="1270" anchor="ctr" anchorCtr="0">
          <a:noAutofit/>
        </a:bodyPr>
        <a:lstStyle/>
        <a:p>
          <a:pPr marL="0" lvl="0" indent="0" algn="ctr" defTabSz="577850">
            <a:lnSpc>
              <a:spcPct val="90000"/>
            </a:lnSpc>
            <a:spcBef>
              <a:spcPct val="0"/>
            </a:spcBef>
            <a:spcAft>
              <a:spcPct val="35000"/>
            </a:spcAft>
            <a:buNone/>
          </a:pPr>
          <a:endParaRPr lang="pl-PL" sz="1300" b="1" kern="1200">
            <a:latin typeface="+mn-lt"/>
          </a:endParaRPr>
        </a:p>
      </dsp:txBody>
      <dsp:txXfrm>
        <a:off x="4521450" y="841034"/>
        <a:ext cx="160833" cy="220050"/>
      </dsp:txXfrm>
    </dsp:sp>
    <dsp:sp modelId="{3AF97E10-401D-4F5E-9C84-B3746251DFA2}">
      <dsp:nvSpPr>
        <dsp:cNvPr id="0" name=""/>
        <dsp:cNvSpPr/>
      </dsp:nvSpPr>
      <dsp:spPr>
        <a:xfrm>
          <a:off x="4785580" y="1345905"/>
          <a:ext cx="292425" cy="292425"/>
        </a:xfrm>
        <a:prstGeom prst="downArrow">
          <a:avLst>
            <a:gd name="adj1" fmla="val 55000"/>
            <a:gd name="adj2" fmla="val 45000"/>
          </a:avLst>
        </a:prstGeom>
        <a:solidFill>
          <a:schemeClr val="accent1">
            <a:alpha val="90000"/>
          </a:schemeClr>
        </a:solidFill>
        <a:ln w="12700" cap="flat" cmpd="sng" algn="ctr">
          <a:solidFill>
            <a:schemeClr val="accent3">
              <a:lumMod val="75000"/>
              <a:alpha val="9000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6510" tIns="16510" rIns="16510" bIns="16510" numCol="1" spcCol="1270" anchor="ctr" anchorCtr="0">
          <a:noAutofit/>
        </a:bodyPr>
        <a:lstStyle/>
        <a:p>
          <a:pPr marL="0" lvl="0" indent="0" algn="ctr" defTabSz="577850">
            <a:lnSpc>
              <a:spcPct val="90000"/>
            </a:lnSpc>
            <a:spcBef>
              <a:spcPct val="0"/>
            </a:spcBef>
            <a:spcAft>
              <a:spcPct val="35000"/>
            </a:spcAft>
            <a:buNone/>
          </a:pPr>
          <a:endParaRPr lang="pl-PL" sz="1300" b="1" kern="1200">
            <a:latin typeface="+mn-lt"/>
          </a:endParaRPr>
        </a:p>
      </dsp:txBody>
      <dsp:txXfrm>
        <a:off x="4851376" y="1345905"/>
        <a:ext cx="160833" cy="220050"/>
      </dsp:txXfrm>
    </dsp:sp>
    <dsp:sp modelId="{B1D4537E-7BCA-4CB3-8F67-AE841E21505A}">
      <dsp:nvSpPr>
        <dsp:cNvPr id="0" name=""/>
        <dsp:cNvSpPr/>
      </dsp:nvSpPr>
      <dsp:spPr>
        <a:xfrm>
          <a:off x="5115507" y="1863272"/>
          <a:ext cx="292425" cy="292425"/>
        </a:xfrm>
        <a:prstGeom prst="downArrow">
          <a:avLst>
            <a:gd name="adj1" fmla="val 55000"/>
            <a:gd name="adj2" fmla="val 45000"/>
          </a:avLst>
        </a:prstGeom>
        <a:solidFill>
          <a:schemeClr val="accent1">
            <a:alpha val="90000"/>
          </a:schemeClr>
        </a:solidFill>
        <a:ln w="12700" cap="flat" cmpd="sng" algn="ctr">
          <a:solidFill>
            <a:schemeClr val="accent3">
              <a:lumMod val="75000"/>
              <a:alpha val="9000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6510" tIns="16510" rIns="16510" bIns="16510" numCol="1" spcCol="1270" anchor="ctr" anchorCtr="0">
          <a:noAutofit/>
        </a:bodyPr>
        <a:lstStyle/>
        <a:p>
          <a:pPr marL="0" lvl="0" indent="0" algn="ctr" defTabSz="577850">
            <a:lnSpc>
              <a:spcPct val="90000"/>
            </a:lnSpc>
            <a:spcBef>
              <a:spcPct val="0"/>
            </a:spcBef>
            <a:spcAft>
              <a:spcPct val="35000"/>
            </a:spcAft>
            <a:buNone/>
          </a:pPr>
          <a:endParaRPr lang="pl-PL" sz="1300" b="1" kern="1200">
            <a:latin typeface="+mn-lt"/>
          </a:endParaRPr>
        </a:p>
      </dsp:txBody>
      <dsp:txXfrm>
        <a:off x="5181303" y="1863272"/>
        <a:ext cx="160833" cy="22005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76A5A61-1B62-4623-AB69-CCAFC5E3BDE2}">
      <dsp:nvSpPr>
        <dsp:cNvPr id="0" name=""/>
        <dsp:cNvSpPr/>
      </dsp:nvSpPr>
      <dsp:spPr>
        <a:xfrm>
          <a:off x="3396531" y="1890630"/>
          <a:ext cx="1437954" cy="931468"/>
        </a:xfrm>
        <a:prstGeom prst="roundRect">
          <a:avLst>
            <a:gd name="adj" fmla="val 10000"/>
          </a:avLst>
        </a:prstGeom>
        <a:solidFill>
          <a:schemeClr val="accent1">
            <a:lumMod val="20000"/>
            <a:lumOff val="80000"/>
            <a:alpha val="90000"/>
          </a:schemeClr>
        </a:solidFill>
        <a:ln w="12700" cap="flat" cmpd="sng" algn="ctr">
          <a:solidFill>
            <a:schemeClr val="accent1"/>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t" anchorCtr="0">
          <a:noAutofit/>
        </a:bodyPr>
        <a:lstStyle/>
        <a:p>
          <a:pPr marL="57150" lvl="1" indent="-57150" algn="ctr" defTabSz="400050">
            <a:lnSpc>
              <a:spcPct val="90000"/>
            </a:lnSpc>
            <a:spcBef>
              <a:spcPct val="0"/>
            </a:spcBef>
            <a:spcAft>
              <a:spcPct val="15000"/>
            </a:spcAft>
            <a:buChar char="•"/>
          </a:pPr>
          <a:r>
            <a:rPr lang="pl-PL" sz="900" b="1" kern="1200"/>
            <a:t>Wymiar instytucjonalny strategii </a:t>
          </a:r>
        </a:p>
      </dsp:txBody>
      <dsp:txXfrm>
        <a:off x="3848379" y="2143958"/>
        <a:ext cx="965646" cy="657679"/>
      </dsp:txXfrm>
    </dsp:sp>
    <dsp:sp modelId="{37C68B41-5B0A-4E74-817F-DC158C1242A9}">
      <dsp:nvSpPr>
        <dsp:cNvPr id="0" name=""/>
        <dsp:cNvSpPr/>
      </dsp:nvSpPr>
      <dsp:spPr>
        <a:xfrm>
          <a:off x="908396" y="1896544"/>
          <a:ext cx="1437954" cy="931468"/>
        </a:xfrm>
        <a:prstGeom prst="roundRect">
          <a:avLst>
            <a:gd name="adj" fmla="val 10000"/>
          </a:avLst>
        </a:prstGeom>
        <a:solidFill>
          <a:schemeClr val="accent1">
            <a:lumMod val="20000"/>
            <a:lumOff val="80000"/>
            <a:alpha val="90000"/>
          </a:schemeClr>
        </a:solidFill>
        <a:ln w="12700" cap="flat" cmpd="sng" algn="ctr">
          <a:solidFill>
            <a:schemeClr val="accent1"/>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t" anchorCtr="0">
          <a:noAutofit/>
        </a:bodyPr>
        <a:lstStyle/>
        <a:p>
          <a:pPr marL="57150" lvl="1" indent="-57150" algn="ctr" defTabSz="400050">
            <a:lnSpc>
              <a:spcPct val="90000"/>
            </a:lnSpc>
            <a:spcBef>
              <a:spcPct val="0"/>
            </a:spcBef>
            <a:spcAft>
              <a:spcPct val="15000"/>
            </a:spcAft>
            <a:buChar char="•"/>
          </a:pPr>
          <a:r>
            <a:rPr lang="pl-PL" sz="900" b="1" kern="1200"/>
            <a:t>Wymiar </a:t>
          </a:r>
          <a:br>
            <a:rPr lang="pl-PL" sz="900" b="1" kern="1200"/>
          </a:br>
          <a:r>
            <a:rPr lang="pl-PL" sz="900" b="1" kern="1200"/>
            <a:t>społeczny </a:t>
          </a:r>
          <a:br>
            <a:rPr lang="pl-PL" sz="900" b="1" kern="1200"/>
          </a:br>
          <a:r>
            <a:rPr lang="pl-PL" sz="900" b="1" kern="1200"/>
            <a:t>strategii </a:t>
          </a:r>
        </a:p>
      </dsp:txBody>
      <dsp:txXfrm>
        <a:off x="928857" y="2149873"/>
        <a:ext cx="965646" cy="657679"/>
      </dsp:txXfrm>
    </dsp:sp>
    <dsp:sp modelId="{1B8D206B-EC87-40E4-B8A9-6BB820533689}">
      <dsp:nvSpPr>
        <dsp:cNvPr id="0" name=""/>
        <dsp:cNvSpPr/>
      </dsp:nvSpPr>
      <dsp:spPr>
        <a:xfrm>
          <a:off x="3433012" y="172563"/>
          <a:ext cx="1437954" cy="931468"/>
        </a:xfrm>
        <a:prstGeom prst="roundRect">
          <a:avLst>
            <a:gd name="adj" fmla="val 10000"/>
          </a:avLst>
        </a:prstGeom>
        <a:solidFill>
          <a:schemeClr val="accent1">
            <a:lumMod val="20000"/>
            <a:lumOff val="80000"/>
          </a:schemeClr>
        </a:solidFill>
        <a:ln w="12700" cap="flat" cmpd="sng" algn="ctr">
          <a:solidFill>
            <a:schemeClr val="accent1"/>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t" anchorCtr="0">
          <a:noAutofit/>
        </a:bodyPr>
        <a:lstStyle/>
        <a:p>
          <a:pPr marL="57150" lvl="1" indent="-57150" algn="ctr" defTabSz="400050">
            <a:lnSpc>
              <a:spcPct val="90000"/>
            </a:lnSpc>
            <a:spcBef>
              <a:spcPct val="0"/>
            </a:spcBef>
            <a:spcAft>
              <a:spcPct val="15000"/>
            </a:spcAft>
            <a:buChar char="•"/>
          </a:pPr>
          <a:endParaRPr lang="pl-PL" sz="900" kern="1200"/>
        </a:p>
        <a:p>
          <a:pPr marL="57150" lvl="1" indent="-57150" algn="ctr" defTabSz="400050">
            <a:lnSpc>
              <a:spcPct val="90000"/>
            </a:lnSpc>
            <a:spcBef>
              <a:spcPct val="0"/>
            </a:spcBef>
            <a:spcAft>
              <a:spcPct val="15000"/>
            </a:spcAft>
            <a:buChar char="•"/>
          </a:pPr>
          <a:r>
            <a:rPr lang="pl-PL" sz="900" b="1" kern="1200"/>
            <a:t>Wymiar </a:t>
          </a:r>
          <a:br>
            <a:rPr lang="pl-PL" sz="900" b="1" kern="1200"/>
          </a:br>
          <a:r>
            <a:rPr lang="pl-PL" sz="900" b="1" kern="1200"/>
            <a:t>przestrzenny </a:t>
          </a:r>
          <a:br>
            <a:rPr lang="pl-PL" sz="900" b="1" kern="1200"/>
          </a:br>
          <a:r>
            <a:rPr lang="pl-PL" sz="900" b="1" kern="1200"/>
            <a:t>strategii</a:t>
          </a:r>
        </a:p>
      </dsp:txBody>
      <dsp:txXfrm>
        <a:off x="3884860" y="193024"/>
        <a:ext cx="965646" cy="657679"/>
      </dsp:txXfrm>
    </dsp:sp>
    <dsp:sp modelId="{813212A6-646E-4175-8E58-C1FEF38212BB}">
      <dsp:nvSpPr>
        <dsp:cNvPr id="0" name=""/>
        <dsp:cNvSpPr/>
      </dsp:nvSpPr>
      <dsp:spPr>
        <a:xfrm>
          <a:off x="896562" y="70996"/>
          <a:ext cx="1437954" cy="931468"/>
        </a:xfrm>
        <a:prstGeom prst="roundRect">
          <a:avLst>
            <a:gd name="adj" fmla="val 10000"/>
          </a:avLst>
        </a:prstGeom>
        <a:solidFill>
          <a:schemeClr val="accent1">
            <a:lumMod val="20000"/>
            <a:lumOff val="80000"/>
            <a:alpha val="90000"/>
          </a:schemeClr>
        </a:solidFill>
        <a:ln w="12700" cap="flat" cmpd="sng" algn="ctr">
          <a:solidFill>
            <a:schemeClr val="accent1"/>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t" anchorCtr="0">
          <a:noAutofit/>
        </a:bodyPr>
        <a:lstStyle/>
        <a:p>
          <a:pPr marL="57150" lvl="1" indent="-57150" algn="ctr" defTabSz="400050">
            <a:lnSpc>
              <a:spcPct val="90000"/>
            </a:lnSpc>
            <a:spcBef>
              <a:spcPct val="0"/>
            </a:spcBef>
            <a:spcAft>
              <a:spcPct val="15000"/>
            </a:spcAft>
            <a:buChar char="•"/>
          </a:pPr>
          <a:endParaRPr lang="pl-PL" sz="900" b="1" kern="1200"/>
        </a:p>
        <a:p>
          <a:pPr marL="57150" lvl="1" indent="-57150" algn="ctr" defTabSz="400050">
            <a:lnSpc>
              <a:spcPct val="90000"/>
            </a:lnSpc>
            <a:spcBef>
              <a:spcPct val="0"/>
            </a:spcBef>
            <a:spcAft>
              <a:spcPct val="15000"/>
            </a:spcAft>
            <a:buChar char="•"/>
          </a:pPr>
          <a:r>
            <a:rPr lang="pl-PL" sz="900" b="1" kern="1200"/>
            <a:t>Wymiar </a:t>
          </a:r>
          <a:br>
            <a:rPr lang="pl-PL" sz="900" b="1" kern="1200"/>
          </a:br>
          <a:r>
            <a:rPr lang="pl-PL" sz="900" b="1" kern="1200"/>
            <a:t>gospodarczy </a:t>
          </a:r>
          <a:br>
            <a:rPr lang="pl-PL" sz="900" b="1" kern="1200"/>
          </a:br>
          <a:r>
            <a:rPr lang="pl-PL" sz="900" b="1" kern="1200"/>
            <a:t>strategii </a:t>
          </a:r>
        </a:p>
      </dsp:txBody>
      <dsp:txXfrm>
        <a:off x="917023" y="91457"/>
        <a:ext cx="965646" cy="657679"/>
      </dsp:txXfrm>
    </dsp:sp>
    <dsp:sp modelId="{A4EFBC4B-85C7-43B3-B302-8D7E2CBF8835}">
      <dsp:nvSpPr>
        <dsp:cNvPr id="0" name=""/>
        <dsp:cNvSpPr/>
      </dsp:nvSpPr>
      <dsp:spPr>
        <a:xfrm>
          <a:off x="1557810" y="178685"/>
          <a:ext cx="1260393" cy="1260393"/>
        </a:xfrm>
        <a:prstGeom prst="pieWedge">
          <a:avLst/>
        </a:prstGeom>
        <a:solidFill>
          <a:schemeClr val="lt1">
            <a:hueOff val="0"/>
            <a:satOff val="0"/>
            <a:lumOff val="0"/>
            <a:alphaOff val="0"/>
          </a:schemeClr>
        </a:solidFill>
        <a:ln w="12700" cap="flat" cmpd="sng" algn="ctr">
          <a:solidFill>
            <a:schemeClr val="accent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None/>
          </a:pPr>
          <a:r>
            <a:rPr lang="pl-PL" sz="900" b="1" kern="1200"/>
            <a:t>Konkurencyjna gospodarka oparta na endogennych potencjałach Partnerstwa  </a:t>
          </a:r>
        </a:p>
      </dsp:txBody>
      <dsp:txXfrm>
        <a:off x="1926971" y="547846"/>
        <a:ext cx="891232" cy="891232"/>
      </dsp:txXfrm>
    </dsp:sp>
    <dsp:sp modelId="{62D50C55-C3C9-4A82-89AA-132672BEAB72}">
      <dsp:nvSpPr>
        <dsp:cNvPr id="0" name=""/>
        <dsp:cNvSpPr/>
      </dsp:nvSpPr>
      <dsp:spPr>
        <a:xfrm rot="5400000">
          <a:off x="2885747" y="171917"/>
          <a:ext cx="1254495" cy="1248394"/>
        </a:xfrm>
        <a:prstGeom prst="pieWedge">
          <a:avLst/>
        </a:prstGeom>
        <a:solidFill>
          <a:schemeClr val="lt1">
            <a:hueOff val="0"/>
            <a:satOff val="0"/>
            <a:lumOff val="0"/>
            <a:alphaOff val="0"/>
          </a:schemeClr>
        </a:solidFill>
        <a:ln w="12700" cap="flat" cmpd="sng" algn="ctr">
          <a:solidFill>
            <a:schemeClr val="accent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None/>
          </a:pPr>
          <a:r>
            <a:rPr lang="pl-PL" sz="900" b="1" kern="1200"/>
            <a:t>Dostępny komunikacyjnie </a:t>
          </a:r>
          <a:br>
            <a:rPr lang="pl-PL" sz="900" b="1" kern="1200"/>
          </a:br>
          <a:r>
            <a:rPr lang="pl-PL" sz="900" b="1" kern="1200"/>
            <a:t>w wymiarze wewnętrznym </a:t>
          </a:r>
          <a:br>
            <a:rPr lang="pl-PL" sz="900" b="1" kern="1200"/>
          </a:br>
          <a:r>
            <a:rPr lang="pl-PL" sz="900" b="1" kern="1200"/>
            <a:t>i zewnętrznym obszar Partnerstwa</a:t>
          </a:r>
        </a:p>
      </dsp:txBody>
      <dsp:txXfrm rot="-5400000">
        <a:off x="2888798" y="536300"/>
        <a:ext cx="882748" cy="887062"/>
      </dsp:txXfrm>
    </dsp:sp>
    <dsp:sp modelId="{2CEBBD29-03E3-4A43-AFD6-C8CD7496D919}">
      <dsp:nvSpPr>
        <dsp:cNvPr id="0" name=""/>
        <dsp:cNvSpPr/>
      </dsp:nvSpPr>
      <dsp:spPr>
        <a:xfrm rot="10800000">
          <a:off x="2882798" y="1484528"/>
          <a:ext cx="1260393" cy="1260393"/>
        </a:xfrm>
        <a:prstGeom prst="pieWedge">
          <a:avLst/>
        </a:prstGeom>
        <a:solidFill>
          <a:schemeClr val="lt1">
            <a:hueOff val="0"/>
            <a:satOff val="0"/>
            <a:lumOff val="0"/>
            <a:alphaOff val="0"/>
          </a:schemeClr>
        </a:solidFill>
        <a:ln w="12700" cap="flat" cmpd="sng" algn="ctr">
          <a:solidFill>
            <a:schemeClr val="accent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None/>
          </a:pPr>
          <a:r>
            <a:rPr lang="pl-PL" sz="900" b="1" kern="1200"/>
            <a:t>Nowoczesna </a:t>
          </a:r>
          <a:br>
            <a:rPr lang="pl-PL" sz="900" b="1" kern="1200"/>
          </a:br>
          <a:r>
            <a:rPr lang="pl-PL" sz="900" b="1" kern="1200"/>
            <a:t>i zintegrowana   administracja Partnerstwa </a:t>
          </a:r>
        </a:p>
      </dsp:txBody>
      <dsp:txXfrm rot="10800000">
        <a:off x="2882798" y="1484528"/>
        <a:ext cx="891232" cy="891232"/>
      </dsp:txXfrm>
    </dsp:sp>
    <dsp:sp modelId="{CD68F7C0-53FD-4041-82A7-45D9792405ED}">
      <dsp:nvSpPr>
        <dsp:cNvPr id="0" name=""/>
        <dsp:cNvSpPr/>
      </dsp:nvSpPr>
      <dsp:spPr>
        <a:xfrm rot="16200000">
          <a:off x="1564187" y="1485877"/>
          <a:ext cx="1260393" cy="1257696"/>
        </a:xfrm>
        <a:prstGeom prst="pieWedge">
          <a:avLst/>
        </a:prstGeom>
        <a:solidFill>
          <a:schemeClr val="lt1">
            <a:hueOff val="0"/>
            <a:satOff val="0"/>
            <a:lumOff val="0"/>
            <a:alphaOff val="0"/>
          </a:schemeClr>
        </a:solidFill>
        <a:ln w="12700" cap="flat" cmpd="sng" algn="ctr">
          <a:solidFill>
            <a:schemeClr val="accent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None/>
          </a:pPr>
          <a:r>
            <a:rPr lang="pl-PL" sz="900" b="1" kern="1200"/>
            <a:t>Wyspecjalizo-wane</a:t>
          </a:r>
          <a:br>
            <a:rPr lang="pl-PL" sz="900" b="1" kern="1200"/>
          </a:br>
          <a:r>
            <a:rPr lang="pl-PL" sz="900" b="1" kern="1200"/>
            <a:t> i dostępne usługi społeczne na obszarze Partnerstwa</a:t>
          </a:r>
        </a:p>
      </dsp:txBody>
      <dsp:txXfrm rot="5400000">
        <a:off x="1933906" y="1484529"/>
        <a:ext cx="889325" cy="891232"/>
      </dsp:txXfrm>
    </dsp:sp>
    <dsp:sp modelId="{BF4371C4-3C17-4E27-8991-278FAF98BC02}">
      <dsp:nvSpPr>
        <dsp:cNvPr id="0" name=""/>
        <dsp:cNvSpPr/>
      </dsp:nvSpPr>
      <dsp:spPr>
        <a:xfrm>
          <a:off x="2671762" y="1232000"/>
          <a:ext cx="363854" cy="301296"/>
        </a:xfrm>
        <a:prstGeom prst="circularArrow">
          <a:avLst/>
        </a:prstGeom>
        <a:solidFill>
          <a:schemeClr val="bg2">
            <a:lumMod val="75000"/>
          </a:schemeClr>
        </a:solidFill>
        <a:ln w="12700" cap="flat" cmpd="sng" algn="ctr">
          <a:solidFill>
            <a:schemeClr val="bg2">
              <a:lumMod val="75000"/>
            </a:schemeClr>
          </a:solidFill>
          <a:prstDash val="solid"/>
          <a:miter lim="800000"/>
        </a:ln>
        <a:effectLst/>
      </dsp:spPr>
      <dsp:style>
        <a:lnRef idx="2">
          <a:scrgbClr r="0" g="0" b="0"/>
        </a:lnRef>
        <a:fillRef idx="1">
          <a:scrgbClr r="0" g="0" b="0"/>
        </a:fillRef>
        <a:effectRef idx="0">
          <a:scrgbClr r="0" g="0" b="0"/>
        </a:effectRef>
        <a:fontRef idx="minor"/>
      </dsp:style>
    </dsp:sp>
    <dsp:sp modelId="{E07754C6-D280-47F8-BF38-09411A626001}">
      <dsp:nvSpPr>
        <dsp:cNvPr id="0" name=""/>
        <dsp:cNvSpPr/>
      </dsp:nvSpPr>
      <dsp:spPr>
        <a:xfrm rot="10800000">
          <a:off x="2665380" y="1371156"/>
          <a:ext cx="376618" cy="314068"/>
        </a:xfrm>
        <a:prstGeom prst="circularArrow">
          <a:avLst/>
        </a:prstGeom>
        <a:solidFill>
          <a:schemeClr val="bg2">
            <a:lumMod val="75000"/>
          </a:schemeClr>
        </a:solidFill>
        <a:ln w="12700" cap="flat" cmpd="sng" algn="ctr">
          <a:solidFill>
            <a:schemeClr val="bg2">
              <a:lumMod val="7500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FF1D88C-085C-4568-8142-4251A032BE87}">
      <dsp:nvSpPr>
        <dsp:cNvPr id="0" name=""/>
        <dsp:cNvSpPr/>
      </dsp:nvSpPr>
      <dsp:spPr>
        <a:xfrm>
          <a:off x="0" y="124019"/>
          <a:ext cx="5676900" cy="201600"/>
        </a:xfrm>
        <a:prstGeom prst="rect">
          <a:avLst/>
        </a:prstGeom>
        <a:solidFill>
          <a:schemeClr val="accent1">
            <a:lumMod val="20000"/>
            <a:lumOff val="80000"/>
          </a:schemeClr>
        </a:solidFill>
        <a:ln w="12700" cap="flat" cmpd="sng" algn="ctr">
          <a:solidFill>
            <a:schemeClr val="accent5"/>
          </a:solidFill>
          <a:prstDash val="solid"/>
          <a:miter lim="800000"/>
        </a:ln>
        <a:effectLst/>
      </dsp:spPr>
      <dsp:style>
        <a:lnRef idx="2">
          <a:schemeClr val="accent5"/>
        </a:lnRef>
        <a:fillRef idx="1">
          <a:schemeClr val="lt1"/>
        </a:fillRef>
        <a:effectRef idx="0">
          <a:schemeClr val="accent5"/>
        </a:effectRef>
        <a:fontRef idx="minor">
          <a:schemeClr val="dk1"/>
        </a:fontRef>
      </dsp:style>
    </dsp:sp>
    <dsp:sp modelId="{527AD44A-1BB9-4E99-A230-91FA33DC146E}">
      <dsp:nvSpPr>
        <dsp:cNvPr id="0" name=""/>
        <dsp:cNvSpPr/>
      </dsp:nvSpPr>
      <dsp:spPr>
        <a:xfrm>
          <a:off x="303489" y="0"/>
          <a:ext cx="3973830" cy="236160"/>
        </a:xfrm>
        <a:prstGeom prst="roundRect">
          <a:avLst/>
        </a:prstGeom>
        <a:solidFill>
          <a:schemeClr val="accent3">
            <a:shade val="80000"/>
            <a:hueOff val="0"/>
            <a:satOff val="0"/>
            <a:lumOff val="0"/>
            <a:alphaOff val="0"/>
          </a:schemeClr>
        </a:solidFill>
        <a:ln w="9525"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0201" tIns="0" rIns="150201" bIns="0" numCol="1" spcCol="1270" anchor="ctr" anchorCtr="0">
          <a:noAutofit/>
        </a:bodyPr>
        <a:lstStyle/>
        <a:p>
          <a:pPr marL="0" lvl="0" indent="0" algn="l" defTabSz="444500">
            <a:lnSpc>
              <a:spcPct val="90000"/>
            </a:lnSpc>
            <a:spcBef>
              <a:spcPct val="0"/>
            </a:spcBef>
            <a:spcAft>
              <a:spcPct val="35000"/>
            </a:spcAft>
            <a:buNone/>
          </a:pPr>
          <a:r>
            <a:rPr lang="pl-PL" sz="1000" b="1" kern="1200">
              <a:solidFill>
                <a:schemeClr val="tx1"/>
              </a:solidFill>
            </a:rPr>
            <a:t>Sytuacja demograficzna </a:t>
          </a:r>
        </a:p>
      </dsp:txBody>
      <dsp:txXfrm>
        <a:off x="315017" y="11528"/>
        <a:ext cx="3950774" cy="213104"/>
      </dsp:txXfrm>
    </dsp:sp>
    <dsp:sp modelId="{C3ADBBD4-4E5B-401F-A817-075DD7F1806C}">
      <dsp:nvSpPr>
        <dsp:cNvPr id="0" name=""/>
        <dsp:cNvSpPr/>
      </dsp:nvSpPr>
      <dsp:spPr>
        <a:xfrm>
          <a:off x="0" y="486899"/>
          <a:ext cx="5676900" cy="201600"/>
        </a:xfrm>
        <a:prstGeom prst="rect">
          <a:avLst/>
        </a:prstGeom>
        <a:solidFill>
          <a:schemeClr val="accent1">
            <a:lumMod val="20000"/>
            <a:lumOff val="80000"/>
          </a:schemeClr>
        </a:solidFill>
        <a:ln w="12700" cap="flat" cmpd="sng" algn="ctr">
          <a:solidFill>
            <a:schemeClr val="accent5"/>
          </a:solidFill>
          <a:prstDash val="solid"/>
          <a:miter lim="800000"/>
        </a:ln>
        <a:effectLst/>
      </dsp:spPr>
      <dsp:style>
        <a:lnRef idx="2">
          <a:schemeClr val="accent5"/>
        </a:lnRef>
        <a:fillRef idx="1">
          <a:schemeClr val="lt1"/>
        </a:fillRef>
        <a:effectRef idx="0">
          <a:schemeClr val="accent5"/>
        </a:effectRef>
        <a:fontRef idx="minor">
          <a:schemeClr val="dk1"/>
        </a:fontRef>
      </dsp:style>
    </dsp:sp>
    <dsp:sp modelId="{7BB8D1C5-FD2A-44A3-9CDF-223B6B66A80B}">
      <dsp:nvSpPr>
        <dsp:cNvPr id="0" name=""/>
        <dsp:cNvSpPr/>
      </dsp:nvSpPr>
      <dsp:spPr>
        <a:xfrm>
          <a:off x="283845" y="368820"/>
          <a:ext cx="3973830" cy="236160"/>
        </a:xfrm>
        <a:prstGeom prst="roundRect">
          <a:avLst/>
        </a:prstGeom>
        <a:solidFill>
          <a:schemeClr val="accent3">
            <a:shade val="80000"/>
            <a:hueOff val="0"/>
            <a:satOff val="0"/>
            <a:lumOff val="4773"/>
            <a:alphaOff val="0"/>
          </a:schemeClr>
        </a:solidFill>
        <a:ln w="9525"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0201" tIns="0" rIns="150201" bIns="0" numCol="1" spcCol="1270" anchor="ctr" anchorCtr="0">
          <a:noAutofit/>
        </a:bodyPr>
        <a:lstStyle/>
        <a:p>
          <a:pPr marL="0" lvl="0" indent="0" algn="l" defTabSz="444500">
            <a:lnSpc>
              <a:spcPct val="90000"/>
            </a:lnSpc>
            <a:spcBef>
              <a:spcPct val="0"/>
            </a:spcBef>
            <a:spcAft>
              <a:spcPct val="35000"/>
            </a:spcAft>
            <a:buNone/>
          </a:pPr>
          <a:r>
            <a:rPr lang="pl-PL" sz="1000" b="1" kern="1200">
              <a:solidFill>
                <a:schemeClr val="tx1"/>
              </a:solidFill>
            </a:rPr>
            <a:t>Dostępność i jakość usług i infrastruktury </a:t>
          </a:r>
        </a:p>
      </dsp:txBody>
      <dsp:txXfrm>
        <a:off x="295373" y="380348"/>
        <a:ext cx="3950774" cy="213104"/>
      </dsp:txXfrm>
    </dsp:sp>
    <dsp:sp modelId="{0FD3764A-6231-451A-8E8D-ED3275560677}">
      <dsp:nvSpPr>
        <dsp:cNvPr id="0" name=""/>
        <dsp:cNvSpPr/>
      </dsp:nvSpPr>
      <dsp:spPr>
        <a:xfrm>
          <a:off x="0" y="849779"/>
          <a:ext cx="5676900" cy="201600"/>
        </a:xfrm>
        <a:prstGeom prst="rect">
          <a:avLst/>
        </a:prstGeom>
        <a:solidFill>
          <a:schemeClr val="accent1">
            <a:lumMod val="20000"/>
            <a:lumOff val="80000"/>
          </a:schemeClr>
        </a:solidFill>
        <a:ln w="12700" cap="flat" cmpd="sng" algn="ctr">
          <a:solidFill>
            <a:schemeClr val="accent5"/>
          </a:solidFill>
          <a:prstDash val="solid"/>
          <a:miter lim="800000"/>
        </a:ln>
        <a:effectLst/>
      </dsp:spPr>
      <dsp:style>
        <a:lnRef idx="2">
          <a:schemeClr val="accent5"/>
        </a:lnRef>
        <a:fillRef idx="1">
          <a:schemeClr val="lt1"/>
        </a:fillRef>
        <a:effectRef idx="0">
          <a:schemeClr val="accent5"/>
        </a:effectRef>
        <a:fontRef idx="minor">
          <a:schemeClr val="dk1"/>
        </a:fontRef>
      </dsp:style>
    </dsp:sp>
    <dsp:sp modelId="{AD3E9CAC-4E5F-4B4A-AC2E-E3DBB0F74D4C}">
      <dsp:nvSpPr>
        <dsp:cNvPr id="0" name=""/>
        <dsp:cNvSpPr/>
      </dsp:nvSpPr>
      <dsp:spPr>
        <a:xfrm>
          <a:off x="283845" y="731700"/>
          <a:ext cx="3973830" cy="236160"/>
        </a:xfrm>
        <a:prstGeom prst="roundRect">
          <a:avLst/>
        </a:prstGeom>
        <a:solidFill>
          <a:schemeClr val="accent3">
            <a:shade val="80000"/>
            <a:hueOff val="0"/>
            <a:satOff val="0"/>
            <a:lumOff val="9546"/>
            <a:alphaOff val="0"/>
          </a:schemeClr>
        </a:solidFill>
        <a:ln w="9525"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0201" tIns="0" rIns="150201" bIns="0" numCol="1" spcCol="1270" anchor="ctr" anchorCtr="0">
          <a:noAutofit/>
        </a:bodyPr>
        <a:lstStyle/>
        <a:p>
          <a:pPr marL="0" lvl="0" indent="0" algn="l" defTabSz="444500">
            <a:lnSpc>
              <a:spcPct val="90000"/>
            </a:lnSpc>
            <a:spcBef>
              <a:spcPct val="0"/>
            </a:spcBef>
            <a:spcAft>
              <a:spcPct val="35000"/>
            </a:spcAft>
            <a:buNone/>
          </a:pPr>
          <a:r>
            <a:rPr lang="pl-PL" sz="1000" b="1" kern="1200">
              <a:solidFill>
                <a:schemeClr val="tx1"/>
              </a:solidFill>
            </a:rPr>
            <a:t>Dostępność i jakość zasobów mieszkaniowych  </a:t>
          </a:r>
        </a:p>
      </dsp:txBody>
      <dsp:txXfrm>
        <a:off x="295373" y="743228"/>
        <a:ext cx="3950774" cy="213104"/>
      </dsp:txXfrm>
    </dsp:sp>
    <dsp:sp modelId="{B948A329-928F-425B-9693-E4310B8CE127}">
      <dsp:nvSpPr>
        <dsp:cNvPr id="0" name=""/>
        <dsp:cNvSpPr/>
      </dsp:nvSpPr>
      <dsp:spPr>
        <a:xfrm>
          <a:off x="0" y="1212659"/>
          <a:ext cx="5676900" cy="201600"/>
        </a:xfrm>
        <a:prstGeom prst="rect">
          <a:avLst/>
        </a:prstGeom>
        <a:solidFill>
          <a:schemeClr val="accent1">
            <a:lumMod val="20000"/>
            <a:lumOff val="80000"/>
          </a:schemeClr>
        </a:solidFill>
        <a:ln w="12700" cap="flat" cmpd="sng" algn="ctr">
          <a:solidFill>
            <a:schemeClr val="accent5"/>
          </a:solidFill>
          <a:prstDash val="solid"/>
          <a:miter lim="800000"/>
        </a:ln>
        <a:effectLst/>
      </dsp:spPr>
      <dsp:style>
        <a:lnRef idx="2">
          <a:schemeClr val="accent5"/>
        </a:lnRef>
        <a:fillRef idx="1">
          <a:schemeClr val="lt1"/>
        </a:fillRef>
        <a:effectRef idx="0">
          <a:schemeClr val="accent5"/>
        </a:effectRef>
        <a:fontRef idx="minor">
          <a:schemeClr val="dk1"/>
        </a:fontRef>
      </dsp:style>
    </dsp:sp>
    <dsp:sp modelId="{9F940F8B-E9D7-4928-BA3D-322F053CBE61}">
      <dsp:nvSpPr>
        <dsp:cNvPr id="0" name=""/>
        <dsp:cNvSpPr/>
      </dsp:nvSpPr>
      <dsp:spPr>
        <a:xfrm>
          <a:off x="283845" y="1094579"/>
          <a:ext cx="3973830" cy="236160"/>
        </a:xfrm>
        <a:prstGeom prst="roundRect">
          <a:avLst/>
        </a:prstGeom>
        <a:solidFill>
          <a:schemeClr val="accent3">
            <a:shade val="80000"/>
            <a:hueOff val="0"/>
            <a:satOff val="0"/>
            <a:lumOff val="14319"/>
            <a:alphaOff val="0"/>
          </a:schemeClr>
        </a:solidFill>
        <a:ln w="9525"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0201" tIns="0" rIns="150201" bIns="0" numCol="1" spcCol="1270" anchor="ctr" anchorCtr="0">
          <a:noAutofit/>
        </a:bodyPr>
        <a:lstStyle/>
        <a:p>
          <a:pPr marL="0" lvl="0" indent="0" algn="l" defTabSz="444500">
            <a:lnSpc>
              <a:spcPct val="90000"/>
            </a:lnSpc>
            <a:spcBef>
              <a:spcPct val="0"/>
            </a:spcBef>
            <a:spcAft>
              <a:spcPct val="35000"/>
            </a:spcAft>
            <a:buNone/>
          </a:pPr>
          <a:r>
            <a:rPr lang="pl-PL" sz="1000" b="1" kern="1200">
              <a:solidFill>
                <a:schemeClr val="tx1"/>
              </a:solidFill>
            </a:rPr>
            <a:t>Bezpieczeństwo mieszkańców </a:t>
          </a:r>
        </a:p>
      </dsp:txBody>
      <dsp:txXfrm>
        <a:off x="295373" y="1106107"/>
        <a:ext cx="3950774" cy="213104"/>
      </dsp:txXfrm>
    </dsp:sp>
    <dsp:sp modelId="{F845698B-7977-44FB-9366-3CFF26FD71BF}">
      <dsp:nvSpPr>
        <dsp:cNvPr id="0" name=""/>
        <dsp:cNvSpPr/>
      </dsp:nvSpPr>
      <dsp:spPr>
        <a:xfrm>
          <a:off x="0" y="1581480"/>
          <a:ext cx="5676900" cy="201600"/>
        </a:xfrm>
        <a:prstGeom prst="rect">
          <a:avLst/>
        </a:prstGeom>
        <a:solidFill>
          <a:schemeClr val="accent1">
            <a:lumMod val="20000"/>
            <a:lumOff val="80000"/>
          </a:schemeClr>
        </a:solidFill>
        <a:ln w="12700" cap="flat" cmpd="sng" algn="ctr">
          <a:solidFill>
            <a:schemeClr val="accent5"/>
          </a:solidFill>
          <a:prstDash val="solid"/>
          <a:miter lim="800000"/>
        </a:ln>
        <a:effectLst/>
      </dsp:spPr>
      <dsp:style>
        <a:lnRef idx="2">
          <a:schemeClr val="accent5"/>
        </a:lnRef>
        <a:fillRef idx="1">
          <a:schemeClr val="lt1"/>
        </a:fillRef>
        <a:effectRef idx="0">
          <a:schemeClr val="accent5"/>
        </a:effectRef>
        <a:fontRef idx="minor">
          <a:schemeClr val="dk1"/>
        </a:fontRef>
      </dsp:style>
    </dsp:sp>
    <dsp:sp modelId="{308AAE2F-90DC-4466-9EF0-FD8A67EEC416}">
      <dsp:nvSpPr>
        <dsp:cNvPr id="0" name=""/>
        <dsp:cNvSpPr/>
      </dsp:nvSpPr>
      <dsp:spPr>
        <a:xfrm>
          <a:off x="283845" y="1457460"/>
          <a:ext cx="3973830" cy="236160"/>
        </a:xfrm>
        <a:prstGeom prst="roundRect">
          <a:avLst/>
        </a:prstGeom>
        <a:solidFill>
          <a:schemeClr val="accent3">
            <a:shade val="80000"/>
            <a:hueOff val="0"/>
            <a:satOff val="0"/>
            <a:lumOff val="19092"/>
            <a:alphaOff val="0"/>
          </a:schemeClr>
        </a:solidFill>
        <a:ln w="9525"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0201" tIns="0" rIns="150201" bIns="0" numCol="1" spcCol="1270" anchor="ctr" anchorCtr="0">
          <a:noAutofit/>
        </a:bodyPr>
        <a:lstStyle/>
        <a:p>
          <a:pPr marL="0" lvl="0" indent="0" algn="l" defTabSz="444500">
            <a:lnSpc>
              <a:spcPct val="90000"/>
            </a:lnSpc>
            <a:spcBef>
              <a:spcPct val="0"/>
            </a:spcBef>
            <a:spcAft>
              <a:spcPct val="35000"/>
            </a:spcAft>
            <a:buNone/>
          </a:pPr>
          <a:r>
            <a:rPr lang="pl-PL" sz="1000" b="1" kern="1200">
              <a:solidFill>
                <a:schemeClr val="tx1"/>
              </a:solidFill>
            </a:rPr>
            <a:t>Zasoby instytucjonalne, integracja</a:t>
          </a:r>
          <a:r>
            <a:rPr lang="pl-PL" sz="1000" kern="1200">
              <a:solidFill>
                <a:schemeClr val="tx1"/>
              </a:solidFill>
            </a:rPr>
            <a:t> </a:t>
          </a:r>
          <a:r>
            <a:rPr lang="pl-PL" sz="1000" b="1" kern="1200">
              <a:solidFill>
                <a:schemeClr val="tx1"/>
              </a:solidFill>
            </a:rPr>
            <a:t>i kapitał społeczny</a:t>
          </a:r>
        </a:p>
      </dsp:txBody>
      <dsp:txXfrm>
        <a:off x="295373" y="1468988"/>
        <a:ext cx="3950774" cy="213104"/>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FF1D88C-085C-4568-8142-4251A032BE87}">
      <dsp:nvSpPr>
        <dsp:cNvPr id="0" name=""/>
        <dsp:cNvSpPr/>
      </dsp:nvSpPr>
      <dsp:spPr>
        <a:xfrm>
          <a:off x="0" y="201719"/>
          <a:ext cx="5814060" cy="226800"/>
        </a:xfrm>
        <a:prstGeom prst="rect">
          <a:avLst/>
        </a:prstGeom>
        <a:solidFill>
          <a:srgbClr val="FFF8E5"/>
        </a:solidFill>
        <a:ln w="12700" cap="flat" cmpd="sng" algn="ctr">
          <a:solidFill>
            <a:schemeClr val="accent4"/>
          </a:solidFill>
          <a:prstDash val="solid"/>
          <a:miter lim="800000"/>
        </a:ln>
        <a:effectLst/>
      </dsp:spPr>
      <dsp:style>
        <a:lnRef idx="2">
          <a:schemeClr val="accent4"/>
        </a:lnRef>
        <a:fillRef idx="1">
          <a:schemeClr val="lt1"/>
        </a:fillRef>
        <a:effectRef idx="0">
          <a:schemeClr val="accent4"/>
        </a:effectRef>
        <a:fontRef idx="minor">
          <a:schemeClr val="dk1"/>
        </a:fontRef>
      </dsp:style>
    </dsp:sp>
    <dsp:sp modelId="{527AD44A-1BB9-4E99-A230-91FA33DC146E}">
      <dsp:nvSpPr>
        <dsp:cNvPr id="0" name=""/>
        <dsp:cNvSpPr/>
      </dsp:nvSpPr>
      <dsp:spPr>
        <a:xfrm>
          <a:off x="290703" y="53640"/>
          <a:ext cx="4069842" cy="265680"/>
        </a:xfrm>
        <a:prstGeom prst="roundRect">
          <a:avLst/>
        </a:prstGeom>
        <a:solidFill>
          <a:schemeClr val="accent3">
            <a:shade val="80000"/>
            <a:hueOff val="0"/>
            <a:satOff val="0"/>
            <a:lumOff val="0"/>
            <a:alphaOff val="0"/>
          </a:schemeClr>
        </a:solidFill>
        <a:ln w="9525"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3830" tIns="0" rIns="153830" bIns="0" numCol="1" spcCol="1270" anchor="ctr" anchorCtr="0">
          <a:noAutofit/>
        </a:bodyPr>
        <a:lstStyle/>
        <a:p>
          <a:pPr marL="0" lvl="0" indent="0" algn="l" defTabSz="444500">
            <a:lnSpc>
              <a:spcPct val="90000"/>
            </a:lnSpc>
            <a:spcBef>
              <a:spcPct val="0"/>
            </a:spcBef>
            <a:spcAft>
              <a:spcPct val="35000"/>
            </a:spcAft>
            <a:buNone/>
          </a:pPr>
          <a:r>
            <a:rPr lang="pl-PL" sz="1000" b="1" kern="1200">
              <a:solidFill>
                <a:schemeClr val="tx1"/>
              </a:solidFill>
            </a:rPr>
            <a:t>Potencjał i konkurencyjność lokalnej gospodarki</a:t>
          </a:r>
        </a:p>
      </dsp:txBody>
      <dsp:txXfrm>
        <a:off x="303672" y="66609"/>
        <a:ext cx="4043904" cy="239742"/>
      </dsp:txXfrm>
    </dsp:sp>
    <dsp:sp modelId="{C3ADBBD4-4E5B-401F-A817-075DD7F1806C}">
      <dsp:nvSpPr>
        <dsp:cNvPr id="0" name=""/>
        <dsp:cNvSpPr/>
      </dsp:nvSpPr>
      <dsp:spPr>
        <a:xfrm>
          <a:off x="0" y="609959"/>
          <a:ext cx="5814060" cy="226800"/>
        </a:xfrm>
        <a:prstGeom prst="rect">
          <a:avLst/>
        </a:prstGeom>
        <a:solidFill>
          <a:srgbClr val="FFF8E5"/>
        </a:solidFill>
        <a:ln w="12700" cap="flat" cmpd="sng" algn="ctr">
          <a:solidFill>
            <a:schemeClr val="accent4"/>
          </a:solidFill>
          <a:prstDash val="solid"/>
          <a:miter lim="800000"/>
        </a:ln>
        <a:effectLst/>
      </dsp:spPr>
      <dsp:style>
        <a:lnRef idx="2">
          <a:schemeClr val="accent4"/>
        </a:lnRef>
        <a:fillRef idx="1">
          <a:schemeClr val="lt1"/>
        </a:fillRef>
        <a:effectRef idx="0">
          <a:schemeClr val="accent4"/>
        </a:effectRef>
        <a:fontRef idx="minor">
          <a:schemeClr val="dk1"/>
        </a:fontRef>
      </dsp:style>
    </dsp:sp>
    <dsp:sp modelId="{7BB8D1C5-FD2A-44A3-9CDF-223B6B66A80B}">
      <dsp:nvSpPr>
        <dsp:cNvPr id="0" name=""/>
        <dsp:cNvSpPr/>
      </dsp:nvSpPr>
      <dsp:spPr>
        <a:xfrm>
          <a:off x="290703" y="477120"/>
          <a:ext cx="4069842" cy="265680"/>
        </a:xfrm>
        <a:prstGeom prst="roundRect">
          <a:avLst/>
        </a:prstGeom>
        <a:solidFill>
          <a:schemeClr val="accent3">
            <a:shade val="80000"/>
            <a:hueOff val="0"/>
            <a:satOff val="0"/>
            <a:lumOff val="6364"/>
            <a:alphaOff val="0"/>
          </a:schemeClr>
        </a:solidFill>
        <a:ln w="9525"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3830" tIns="0" rIns="153830" bIns="0" numCol="1" spcCol="1270" anchor="ctr" anchorCtr="0">
          <a:noAutofit/>
        </a:bodyPr>
        <a:lstStyle/>
        <a:p>
          <a:pPr marL="0" lvl="0" indent="0" algn="l" defTabSz="444500">
            <a:lnSpc>
              <a:spcPct val="90000"/>
            </a:lnSpc>
            <a:spcBef>
              <a:spcPct val="0"/>
            </a:spcBef>
            <a:spcAft>
              <a:spcPct val="35000"/>
            </a:spcAft>
            <a:buNone/>
          </a:pPr>
          <a:r>
            <a:rPr lang="pl-PL" sz="1000" b="1" kern="1200">
              <a:solidFill>
                <a:schemeClr val="tx1"/>
              </a:solidFill>
            </a:rPr>
            <a:t>Rynek pracy i kwalifikacje siły roboczej </a:t>
          </a:r>
        </a:p>
      </dsp:txBody>
      <dsp:txXfrm>
        <a:off x="303672" y="490089"/>
        <a:ext cx="4043904" cy="239742"/>
      </dsp:txXfrm>
    </dsp:sp>
    <dsp:sp modelId="{0FD3764A-6231-451A-8E8D-ED3275560677}">
      <dsp:nvSpPr>
        <dsp:cNvPr id="0" name=""/>
        <dsp:cNvSpPr/>
      </dsp:nvSpPr>
      <dsp:spPr>
        <a:xfrm>
          <a:off x="0" y="1018200"/>
          <a:ext cx="5814060" cy="226800"/>
        </a:xfrm>
        <a:prstGeom prst="rect">
          <a:avLst/>
        </a:prstGeom>
        <a:solidFill>
          <a:srgbClr val="FFF8E5"/>
        </a:solidFill>
        <a:ln w="12700" cap="flat" cmpd="sng" algn="ctr">
          <a:solidFill>
            <a:schemeClr val="accent4"/>
          </a:solidFill>
          <a:prstDash val="solid"/>
          <a:miter lim="800000"/>
        </a:ln>
        <a:effectLst/>
      </dsp:spPr>
      <dsp:style>
        <a:lnRef idx="2">
          <a:schemeClr val="accent4"/>
        </a:lnRef>
        <a:fillRef idx="1">
          <a:schemeClr val="lt1"/>
        </a:fillRef>
        <a:effectRef idx="0">
          <a:schemeClr val="accent4"/>
        </a:effectRef>
        <a:fontRef idx="minor">
          <a:schemeClr val="dk1"/>
        </a:fontRef>
      </dsp:style>
    </dsp:sp>
    <dsp:sp modelId="{AD3E9CAC-4E5F-4B4A-AC2E-E3DBB0F74D4C}">
      <dsp:nvSpPr>
        <dsp:cNvPr id="0" name=""/>
        <dsp:cNvSpPr/>
      </dsp:nvSpPr>
      <dsp:spPr>
        <a:xfrm>
          <a:off x="290703" y="885360"/>
          <a:ext cx="4069842" cy="265680"/>
        </a:xfrm>
        <a:prstGeom prst="roundRect">
          <a:avLst/>
        </a:prstGeom>
        <a:solidFill>
          <a:schemeClr val="accent3">
            <a:shade val="80000"/>
            <a:hueOff val="0"/>
            <a:satOff val="0"/>
            <a:lumOff val="12728"/>
            <a:alphaOff val="0"/>
          </a:schemeClr>
        </a:solidFill>
        <a:ln w="9525"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3830" tIns="0" rIns="153830" bIns="0" numCol="1" spcCol="1270" anchor="ctr" anchorCtr="0">
          <a:noAutofit/>
        </a:bodyPr>
        <a:lstStyle/>
        <a:p>
          <a:pPr marL="0" lvl="0" indent="0" algn="l" defTabSz="444500">
            <a:lnSpc>
              <a:spcPct val="90000"/>
            </a:lnSpc>
            <a:spcBef>
              <a:spcPct val="0"/>
            </a:spcBef>
            <a:spcAft>
              <a:spcPct val="35000"/>
            </a:spcAft>
            <a:buNone/>
          </a:pPr>
          <a:r>
            <a:rPr lang="pl-PL" sz="1000" b="1" kern="1200">
              <a:solidFill>
                <a:schemeClr val="tx1"/>
              </a:solidFill>
            </a:rPr>
            <a:t>Potencjał ekonomiczny społeczności lokalnej </a:t>
          </a:r>
        </a:p>
      </dsp:txBody>
      <dsp:txXfrm>
        <a:off x="303672" y="898329"/>
        <a:ext cx="4043904" cy="239742"/>
      </dsp:txXfrm>
    </dsp:sp>
    <dsp:sp modelId="{B948A329-928F-425B-9693-E4310B8CE127}">
      <dsp:nvSpPr>
        <dsp:cNvPr id="0" name=""/>
        <dsp:cNvSpPr/>
      </dsp:nvSpPr>
      <dsp:spPr>
        <a:xfrm>
          <a:off x="0" y="1426440"/>
          <a:ext cx="5814060" cy="226800"/>
        </a:xfrm>
        <a:prstGeom prst="rect">
          <a:avLst/>
        </a:prstGeom>
        <a:solidFill>
          <a:srgbClr val="FFF8E5"/>
        </a:solidFill>
        <a:ln w="12700" cap="flat" cmpd="sng" algn="ctr">
          <a:solidFill>
            <a:schemeClr val="accent4"/>
          </a:solidFill>
          <a:prstDash val="solid"/>
          <a:miter lim="800000"/>
        </a:ln>
        <a:effectLst/>
      </dsp:spPr>
      <dsp:style>
        <a:lnRef idx="2">
          <a:schemeClr val="accent4"/>
        </a:lnRef>
        <a:fillRef idx="1">
          <a:schemeClr val="lt1"/>
        </a:fillRef>
        <a:effectRef idx="0">
          <a:schemeClr val="accent4"/>
        </a:effectRef>
        <a:fontRef idx="minor">
          <a:schemeClr val="dk1"/>
        </a:fontRef>
      </dsp:style>
    </dsp:sp>
    <dsp:sp modelId="{9F940F8B-E9D7-4928-BA3D-322F053CBE61}">
      <dsp:nvSpPr>
        <dsp:cNvPr id="0" name=""/>
        <dsp:cNvSpPr/>
      </dsp:nvSpPr>
      <dsp:spPr>
        <a:xfrm>
          <a:off x="290703" y="1293600"/>
          <a:ext cx="4069842" cy="265680"/>
        </a:xfrm>
        <a:prstGeom prst="roundRect">
          <a:avLst/>
        </a:prstGeom>
        <a:solidFill>
          <a:schemeClr val="accent3">
            <a:shade val="80000"/>
            <a:hueOff val="0"/>
            <a:satOff val="0"/>
            <a:lumOff val="19092"/>
            <a:alphaOff val="0"/>
          </a:schemeClr>
        </a:solidFill>
        <a:ln w="9525"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3830" tIns="0" rIns="153830" bIns="0" numCol="1" spcCol="1270" anchor="ctr" anchorCtr="0">
          <a:noAutofit/>
        </a:bodyPr>
        <a:lstStyle/>
        <a:p>
          <a:pPr marL="0" lvl="0" indent="0" algn="l" defTabSz="444500">
            <a:lnSpc>
              <a:spcPct val="90000"/>
            </a:lnSpc>
            <a:spcBef>
              <a:spcPct val="0"/>
            </a:spcBef>
            <a:spcAft>
              <a:spcPct val="35000"/>
            </a:spcAft>
            <a:buNone/>
          </a:pPr>
          <a:r>
            <a:rPr lang="pl-PL" sz="1000" b="1" kern="1200">
              <a:solidFill>
                <a:schemeClr val="tx1"/>
              </a:solidFill>
            </a:rPr>
            <a:t>Zdolność finansowania rozwoju </a:t>
          </a:r>
        </a:p>
      </dsp:txBody>
      <dsp:txXfrm>
        <a:off x="303672" y="1306569"/>
        <a:ext cx="4043904" cy="239742"/>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FF1D88C-085C-4568-8142-4251A032BE87}">
      <dsp:nvSpPr>
        <dsp:cNvPr id="0" name=""/>
        <dsp:cNvSpPr/>
      </dsp:nvSpPr>
      <dsp:spPr>
        <a:xfrm>
          <a:off x="0" y="168570"/>
          <a:ext cx="5760720" cy="252000"/>
        </a:xfrm>
        <a:prstGeom prst="rect">
          <a:avLst/>
        </a:prstGeom>
        <a:solidFill>
          <a:schemeClr val="accent6">
            <a:lumMod val="20000"/>
            <a:lumOff val="80000"/>
          </a:schemeClr>
        </a:solidFill>
        <a:ln w="12700" cap="flat" cmpd="sng" algn="ctr">
          <a:solidFill>
            <a:schemeClr val="accent6"/>
          </a:solidFill>
          <a:prstDash val="solid"/>
          <a:miter lim="800000"/>
        </a:ln>
        <a:effectLst/>
      </dsp:spPr>
      <dsp:style>
        <a:lnRef idx="2">
          <a:schemeClr val="accent6"/>
        </a:lnRef>
        <a:fillRef idx="1">
          <a:schemeClr val="lt1"/>
        </a:fillRef>
        <a:effectRef idx="0">
          <a:schemeClr val="accent6"/>
        </a:effectRef>
        <a:fontRef idx="minor">
          <a:schemeClr val="dk1"/>
        </a:fontRef>
      </dsp:style>
    </dsp:sp>
    <dsp:sp modelId="{527AD44A-1BB9-4E99-A230-91FA33DC146E}">
      <dsp:nvSpPr>
        <dsp:cNvPr id="0" name=""/>
        <dsp:cNvSpPr/>
      </dsp:nvSpPr>
      <dsp:spPr>
        <a:xfrm>
          <a:off x="288036" y="20969"/>
          <a:ext cx="4032504" cy="295200"/>
        </a:xfrm>
        <a:prstGeom prst="roundRect">
          <a:avLst/>
        </a:prstGeom>
        <a:solidFill>
          <a:schemeClr val="accent3">
            <a:shade val="80000"/>
            <a:hueOff val="0"/>
            <a:satOff val="0"/>
            <a:lumOff val="0"/>
            <a:alphaOff val="0"/>
          </a:schemeClr>
        </a:solid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19" tIns="0" rIns="152419" bIns="0" numCol="1" spcCol="1270" anchor="ctr" anchorCtr="0">
          <a:noAutofit/>
        </a:bodyPr>
        <a:lstStyle/>
        <a:p>
          <a:pPr marL="0" lvl="0" indent="0" algn="l" defTabSz="444500">
            <a:lnSpc>
              <a:spcPct val="90000"/>
            </a:lnSpc>
            <a:spcBef>
              <a:spcPct val="0"/>
            </a:spcBef>
            <a:spcAft>
              <a:spcPct val="35000"/>
            </a:spcAft>
            <a:buNone/>
          </a:pPr>
          <a:r>
            <a:rPr lang="pl-PL" sz="1000" b="1" kern="1200">
              <a:solidFill>
                <a:schemeClr val="tx1"/>
              </a:solidFill>
            </a:rPr>
            <a:t>Lokalne środowisko przyrodnicze</a:t>
          </a:r>
        </a:p>
      </dsp:txBody>
      <dsp:txXfrm>
        <a:off x="302446" y="35379"/>
        <a:ext cx="4003684" cy="266380"/>
      </dsp:txXfrm>
    </dsp:sp>
    <dsp:sp modelId="{C3ADBBD4-4E5B-401F-A817-075DD7F1806C}">
      <dsp:nvSpPr>
        <dsp:cNvPr id="0" name=""/>
        <dsp:cNvSpPr/>
      </dsp:nvSpPr>
      <dsp:spPr>
        <a:xfrm>
          <a:off x="0" y="622170"/>
          <a:ext cx="5760720" cy="252000"/>
        </a:xfrm>
        <a:prstGeom prst="rect">
          <a:avLst/>
        </a:prstGeom>
        <a:solidFill>
          <a:schemeClr val="accent6">
            <a:lumMod val="20000"/>
            <a:lumOff val="80000"/>
          </a:schemeClr>
        </a:solidFill>
        <a:ln w="12700" cap="flat" cmpd="sng" algn="ctr">
          <a:solidFill>
            <a:schemeClr val="accent6"/>
          </a:solidFill>
          <a:prstDash val="solid"/>
          <a:miter lim="800000"/>
        </a:ln>
        <a:effectLst/>
      </dsp:spPr>
      <dsp:style>
        <a:lnRef idx="2">
          <a:schemeClr val="accent6"/>
        </a:lnRef>
        <a:fillRef idx="1">
          <a:schemeClr val="lt1"/>
        </a:fillRef>
        <a:effectRef idx="0">
          <a:schemeClr val="accent6"/>
        </a:effectRef>
        <a:fontRef idx="minor">
          <a:schemeClr val="dk1"/>
        </a:fontRef>
      </dsp:style>
    </dsp:sp>
    <dsp:sp modelId="{7BB8D1C5-FD2A-44A3-9CDF-223B6B66A80B}">
      <dsp:nvSpPr>
        <dsp:cNvPr id="0" name=""/>
        <dsp:cNvSpPr/>
      </dsp:nvSpPr>
      <dsp:spPr>
        <a:xfrm>
          <a:off x="288036" y="474570"/>
          <a:ext cx="4032504" cy="295200"/>
        </a:xfrm>
        <a:prstGeom prst="roundRect">
          <a:avLst/>
        </a:prstGeom>
        <a:solidFill>
          <a:schemeClr val="accent3">
            <a:shade val="80000"/>
            <a:hueOff val="0"/>
            <a:satOff val="0"/>
            <a:lumOff val="9546"/>
            <a:alphaOff val="0"/>
          </a:schemeClr>
        </a:solid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19" tIns="0" rIns="152419" bIns="0" numCol="1" spcCol="1270" anchor="ctr" anchorCtr="0">
          <a:noAutofit/>
        </a:bodyPr>
        <a:lstStyle/>
        <a:p>
          <a:pPr marL="0" lvl="0" indent="0" algn="l" defTabSz="444500">
            <a:lnSpc>
              <a:spcPct val="90000"/>
            </a:lnSpc>
            <a:spcBef>
              <a:spcPct val="0"/>
            </a:spcBef>
            <a:spcAft>
              <a:spcPct val="35000"/>
            </a:spcAft>
            <a:buNone/>
          </a:pPr>
          <a:r>
            <a:rPr lang="pl-PL" sz="1000" b="1" kern="1200">
              <a:solidFill>
                <a:schemeClr val="tx1"/>
              </a:solidFill>
            </a:rPr>
            <a:t>Ład i struktura przestrzenna </a:t>
          </a:r>
        </a:p>
      </dsp:txBody>
      <dsp:txXfrm>
        <a:off x="302446" y="488980"/>
        <a:ext cx="4003684" cy="266380"/>
      </dsp:txXfrm>
    </dsp:sp>
    <dsp:sp modelId="{0FD3764A-6231-451A-8E8D-ED3275560677}">
      <dsp:nvSpPr>
        <dsp:cNvPr id="0" name=""/>
        <dsp:cNvSpPr/>
      </dsp:nvSpPr>
      <dsp:spPr>
        <a:xfrm>
          <a:off x="0" y="1096740"/>
          <a:ext cx="5760720" cy="252000"/>
        </a:xfrm>
        <a:prstGeom prst="rect">
          <a:avLst/>
        </a:prstGeom>
        <a:solidFill>
          <a:schemeClr val="accent6">
            <a:lumMod val="20000"/>
            <a:lumOff val="80000"/>
          </a:schemeClr>
        </a:solidFill>
        <a:ln w="12700" cap="flat" cmpd="sng" algn="ctr">
          <a:solidFill>
            <a:schemeClr val="accent6"/>
          </a:solidFill>
          <a:prstDash val="solid"/>
          <a:miter lim="800000"/>
        </a:ln>
        <a:effectLst/>
      </dsp:spPr>
      <dsp:style>
        <a:lnRef idx="2">
          <a:schemeClr val="accent6"/>
        </a:lnRef>
        <a:fillRef idx="1">
          <a:schemeClr val="lt1"/>
        </a:fillRef>
        <a:effectRef idx="0">
          <a:schemeClr val="accent6"/>
        </a:effectRef>
        <a:fontRef idx="minor">
          <a:schemeClr val="dk1"/>
        </a:fontRef>
      </dsp:style>
    </dsp:sp>
    <dsp:sp modelId="{AD3E9CAC-4E5F-4B4A-AC2E-E3DBB0F74D4C}">
      <dsp:nvSpPr>
        <dsp:cNvPr id="0" name=""/>
        <dsp:cNvSpPr/>
      </dsp:nvSpPr>
      <dsp:spPr>
        <a:xfrm>
          <a:off x="288036" y="928170"/>
          <a:ext cx="4032504" cy="295200"/>
        </a:xfrm>
        <a:prstGeom prst="roundRect">
          <a:avLst/>
        </a:prstGeom>
        <a:solidFill>
          <a:schemeClr val="accent3">
            <a:shade val="80000"/>
            <a:hueOff val="0"/>
            <a:satOff val="0"/>
            <a:lumOff val="19092"/>
            <a:alphaOff val="0"/>
          </a:schemeClr>
        </a:solid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19" tIns="0" rIns="152419" bIns="0" numCol="1" spcCol="1270" anchor="ctr" anchorCtr="0">
          <a:noAutofit/>
        </a:bodyPr>
        <a:lstStyle/>
        <a:p>
          <a:pPr marL="0" lvl="0" indent="0" algn="l" defTabSz="444500">
            <a:lnSpc>
              <a:spcPct val="90000"/>
            </a:lnSpc>
            <a:spcBef>
              <a:spcPct val="0"/>
            </a:spcBef>
            <a:spcAft>
              <a:spcPct val="35000"/>
            </a:spcAft>
            <a:buNone/>
          </a:pPr>
          <a:r>
            <a:rPr lang="pl-PL" sz="1000" b="1" kern="1200">
              <a:solidFill>
                <a:schemeClr val="tx1"/>
              </a:solidFill>
            </a:rPr>
            <a:t>Dostępność komunikacyjna</a:t>
          </a:r>
        </a:p>
      </dsp:txBody>
      <dsp:txXfrm>
        <a:off x="302446" y="942580"/>
        <a:ext cx="4003684" cy="266380"/>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A201069-479F-4379-80B3-4D6506A009A9}">
      <dsp:nvSpPr>
        <dsp:cNvPr id="0" name=""/>
        <dsp:cNvSpPr/>
      </dsp:nvSpPr>
      <dsp:spPr>
        <a:xfrm>
          <a:off x="3721922" y="2137627"/>
          <a:ext cx="338149" cy="363510"/>
        </a:xfrm>
        <a:custGeom>
          <a:avLst/>
          <a:gdLst/>
          <a:ahLst/>
          <a:cxnLst/>
          <a:rect l="0" t="0" r="0" b="0"/>
          <a:pathLst>
            <a:path>
              <a:moveTo>
                <a:pt x="0" y="0"/>
              </a:moveTo>
              <a:lnTo>
                <a:pt x="169074" y="0"/>
              </a:lnTo>
              <a:lnTo>
                <a:pt x="169074" y="363510"/>
              </a:lnTo>
              <a:lnTo>
                <a:pt x="338149" y="363510"/>
              </a:lnTo>
            </a:path>
          </a:pathLst>
        </a:custGeom>
        <a:no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3F34A38-CE3D-4640-A075-644631C6244F}">
      <dsp:nvSpPr>
        <dsp:cNvPr id="0" name=""/>
        <dsp:cNvSpPr/>
      </dsp:nvSpPr>
      <dsp:spPr>
        <a:xfrm>
          <a:off x="3721922" y="1774117"/>
          <a:ext cx="338149" cy="363510"/>
        </a:xfrm>
        <a:custGeom>
          <a:avLst/>
          <a:gdLst/>
          <a:ahLst/>
          <a:cxnLst/>
          <a:rect l="0" t="0" r="0" b="0"/>
          <a:pathLst>
            <a:path>
              <a:moveTo>
                <a:pt x="0" y="363510"/>
              </a:moveTo>
              <a:lnTo>
                <a:pt x="169074" y="363510"/>
              </a:lnTo>
              <a:lnTo>
                <a:pt x="169074" y="0"/>
              </a:lnTo>
              <a:lnTo>
                <a:pt x="338149" y="0"/>
              </a:lnTo>
            </a:path>
          </a:pathLst>
        </a:custGeom>
        <a:no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31CE680-37E8-40D1-AE41-4E7C97BF86D1}">
      <dsp:nvSpPr>
        <dsp:cNvPr id="0" name=""/>
        <dsp:cNvSpPr/>
      </dsp:nvSpPr>
      <dsp:spPr>
        <a:xfrm>
          <a:off x="1719944" y="1410607"/>
          <a:ext cx="311232" cy="727020"/>
        </a:xfrm>
        <a:custGeom>
          <a:avLst/>
          <a:gdLst/>
          <a:ahLst/>
          <a:cxnLst/>
          <a:rect l="0" t="0" r="0" b="0"/>
          <a:pathLst>
            <a:path>
              <a:moveTo>
                <a:pt x="0" y="0"/>
              </a:moveTo>
              <a:lnTo>
                <a:pt x="142157" y="0"/>
              </a:lnTo>
              <a:lnTo>
                <a:pt x="142157" y="727020"/>
              </a:lnTo>
              <a:lnTo>
                <a:pt x="311232" y="727020"/>
              </a:lnTo>
            </a:path>
          </a:pathLst>
        </a:custGeom>
        <a:noFill/>
        <a:ln w="12700" cap="flat" cmpd="sng" algn="ctr">
          <a:solidFill>
            <a:schemeClr val="accent3">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CE1771E-E4D1-4810-9CFE-056C0BA21887}">
      <dsp:nvSpPr>
        <dsp:cNvPr id="0" name=""/>
        <dsp:cNvSpPr/>
      </dsp:nvSpPr>
      <dsp:spPr>
        <a:xfrm>
          <a:off x="3721922" y="683586"/>
          <a:ext cx="338149" cy="363510"/>
        </a:xfrm>
        <a:custGeom>
          <a:avLst/>
          <a:gdLst/>
          <a:ahLst/>
          <a:cxnLst/>
          <a:rect l="0" t="0" r="0" b="0"/>
          <a:pathLst>
            <a:path>
              <a:moveTo>
                <a:pt x="0" y="0"/>
              </a:moveTo>
              <a:lnTo>
                <a:pt x="169074" y="0"/>
              </a:lnTo>
              <a:lnTo>
                <a:pt x="169074" y="363510"/>
              </a:lnTo>
              <a:lnTo>
                <a:pt x="338149" y="363510"/>
              </a:lnTo>
            </a:path>
          </a:pathLst>
        </a:custGeom>
        <a:no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535F645-304E-49DD-B44C-CA5D1D34FB19}">
      <dsp:nvSpPr>
        <dsp:cNvPr id="0" name=""/>
        <dsp:cNvSpPr/>
      </dsp:nvSpPr>
      <dsp:spPr>
        <a:xfrm>
          <a:off x="3721922" y="320076"/>
          <a:ext cx="338149" cy="363510"/>
        </a:xfrm>
        <a:custGeom>
          <a:avLst/>
          <a:gdLst/>
          <a:ahLst/>
          <a:cxnLst/>
          <a:rect l="0" t="0" r="0" b="0"/>
          <a:pathLst>
            <a:path>
              <a:moveTo>
                <a:pt x="0" y="363510"/>
              </a:moveTo>
              <a:lnTo>
                <a:pt x="169074" y="363510"/>
              </a:lnTo>
              <a:lnTo>
                <a:pt x="169074" y="0"/>
              </a:lnTo>
              <a:lnTo>
                <a:pt x="338149" y="0"/>
              </a:lnTo>
            </a:path>
          </a:pathLst>
        </a:custGeom>
        <a:no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B13F34B-D1F2-4707-8DF6-09CD17AC25C9}">
      <dsp:nvSpPr>
        <dsp:cNvPr id="0" name=""/>
        <dsp:cNvSpPr/>
      </dsp:nvSpPr>
      <dsp:spPr>
        <a:xfrm>
          <a:off x="1719944" y="683586"/>
          <a:ext cx="311232" cy="727020"/>
        </a:xfrm>
        <a:custGeom>
          <a:avLst/>
          <a:gdLst/>
          <a:ahLst/>
          <a:cxnLst/>
          <a:rect l="0" t="0" r="0" b="0"/>
          <a:pathLst>
            <a:path>
              <a:moveTo>
                <a:pt x="0" y="727020"/>
              </a:moveTo>
              <a:lnTo>
                <a:pt x="142157" y="727020"/>
              </a:lnTo>
              <a:lnTo>
                <a:pt x="142157" y="0"/>
              </a:lnTo>
              <a:lnTo>
                <a:pt x="311232" y="0"/>
              </a:lnTo>
            </a:path>
          </a:pathLst>
        </a:custGeom>
        <a:noFill/>
        <a:ln w="12700" cap="flat" cmpd="sng" algn="ctr">
          <a:solidFill>
            <a:schemeClr val="accent3">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2C89396-7382-4C64-9307-D18C9F9795E0}">
      <dsp:nvSpPr>
        <dsp:cNvPr id="0" name=""/>
        <dsp:cNvSpPr/>
      </dsp:nvSpPr>
      <dsp:spPr>
        <a:xfrm>
          <a:off x="29199" y="1152768"/>
          <a:ext cx="1690745" cy="515677"/>
        </a:xfrm>
        <a:prstGeom prst="rect">
          <a:avLst/>
        </a:prstGeom>
        <a:solidFill>
          <a:schemeClr val="tx2">
            <a:lumMod val="40000"/>
            <a:lumOff val="6000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b="1" kern="1200">
              <a:solidFill>
                <a:sysClr val="windowText" lastClr="000000"/>
              </a:solidFill>
            </a:rPr>
            <a:t>Czynniki oddziaływania</a:t>
          </a:r>
        </a:p>
        <a:p>
          <a:pPr marL="0" lvl="0" indent="0" algn="ctr" defTabSz="444500">
            <a:lnSpc>
              <a:spcPct val="90000"/>
            </a:lnSpc>
            <a:spcBef>
              <a:spcPct val="0"/>
            </a:spcBef>
            <a:spcAft>
              <a:spcPct val="35000"/>
            </a:spcAft>
            <a:buNone/>
          </a:pPr>
          <a:r>
            <a:rPr lang="pl-PL" sz="1000" b="1" kern="1200">
              <a:solidFill>
                <a:sysClr val="windowText" lastClr="000000"/>
              </a:solidFill>
            </a:rPr>
            <a:t>rozwojowego</a:t>
          </a:r>
        </a:p>
      </dsp:txBody>
      <dsp:txXfrm>
        <a:off x="29199" y="1152768"/>
        <a:ext cx="1690745" cy="515677"/>
      </dsp:txXfrm>
    </dsp:sp>
    <dsp:sp modelId="{1D5185C6-5F7C-4BE5-8940-5C7B8A9B6659}">
      <dsp:nvSpPr>
        <dsp:cNvPr id="0" name=""/>
        <dsp:cNvSpPr/>
      </dsp:nvSpPr>
      <dsp:spPr>
        <a:xfrm>
          <a:off x="2031177" y="425747"/>
          <a:ext cx="1690745" cy="515677"/>
        </a:xfrm>
        <a:prstGeom prst="rect">
          <a:avLst/>
        </a:prstGeom>
        <a:solidFill>
          <a:schemeClr val="bg2"/>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b="1" kern="1200"/>
            <a:t>Negatywne </a:t>
          </a:r>
        </a:p>
      </dsp:txBody>
      <dsp:txXfrm>
        <a:off x="2031177" y="425747"/>
        <a:ext cx="1690745" cy="515677"/>
      </dsp:txXfrm>
    </dsp:sp>
    <dsp:sp modelId="{F2809E8C-5DBA-4CD4-9928-41267D8FFCF2}">
      <dsp:nvSpPr>
        <dsp:cNvPr id="0" name=""/>
        <dsp:cNvSpPr/>
      </dsp:nvSpPr>
      <dsp:spPr>
        <a:xfrm>
          <a:off x="4060071" y="62237"/>
          <a:ext cx="1690745" cy="515677"/>
        </a:xfrm>
        <a:prstGeom prst="rect">
          <a:avLst/>
        </a:prstGeom>
        <a:solidFill>
          <a:schemeClr val="bg2"/>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t>Bariery wewnętrzne </a:t>
          </a:r>
          <a:br>
            <a:rPr lang="pl-PL" sz="1000" kern="1200"/>
          </a:br>
          <a:r>
            <a:rPr lang="pl-PL" sz="1000" kern="1200"/>
            <a:t>(słabe strony) - diagnoza pogłębiona </a:t>
          </a:r>
        </a:p>
      </dsp:txBody>
      <dsp:txXfrm>
        <a:off x="4060071" y="62237"/>
        <a:ext cx="1690745" cy="515677"/>
      </dsp:txXfrm>
    </dsp:sp>
    <dsp:sp modelId="{1B64C163-6B51-4343-9FA4-B185B7B4CAE8}">
      <dsp:nvSpPr>
        <dsp:cNvPr id="0" name=""/>
        <dsp:cNvSpPr/>
      </dsp:nvSpPr>
      <dsp:spPr>
        <a:xfrm>
          <a:off x="4060071" y="789257"/>
          <a:ext cx="1690745" cy="515677"/>
        </a:xfrm>
        <a:prstGeom prst="rect">
          <a:avLst/>
        </a:prstGeom>
        <a:solidFill>
          <a:schemeClr val="bg2"/>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t>Bariery zewnętrzne (zagrożenia) - analiza PEST</a:t>
          </a:r>
        </a:p>
      </dsp:txBody>
      <dsp:txXfrm>
        <a:off x="4060071" y="789257"/>
        <a:ext cx="1690745" cy="515677"/>
      </dsp:txXfrm>
    </dsp:sp>
    <dsp:sp modelId="{0B115E19-FDDE-49E1-BACF-E5EBBCA6D64F}">
      <dsp:nvSpPr>
        <dsp:cNvPr id="0" name=""/>
        <dsp:cNvSpPr/>
      </dsp:nvSpPr>
      <dsp:spPr>
        <a:xfrm>
          <a:off x="2031177" y="1879788"/>
          <a:ext cx="1690745" cy="515677"/>
        </a:xfrm>
        <a:prstGeom prst="rect">
          <a:avLst/>
        </a:prstGeom>
        <a:solidFill>
          <a:schemeClr val="accent5">
            <a:lumMod val="20000"/>
            <a:lumOff val="8000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b="1" kern="1200"/>
            <a:t>Pozytywne</a:t>
          </a:r>
          <a:r>
            <a:rPr lang="pl-PL" sz="1000" b="1" kern="1200">
              <a:highlight>
                <a:srgbClr val="FFFF00"/>
              </a:highlight>
            </a:rPr>
            <a:t> </a:t>
          </a:r>
        </a:p>
      </dsp:txBody>
      <dsp:txXfrm>
        <a:off x="2031177" y="1879788"/>
        <a:ext cx="1690745" cy="515677"/>
      </dsp:txXfrm>
    </dsp:sp>
    <dsp:sp modelId="{12C3C3E8-525B-41DB-9BE9-590A2F7C3D6C}">
      <dsp:nvSpPr>
        <dsp:cNvPr id="0" name=""/>
        <dsp:cNvSpPr/>
      </dsp:nvSpPr>
      <dsp:spPr>
        <a:xfrm>
          <a:off x="4060071" y="1516278"/>
          <a:ext cx="1690745" cy="515677"/>
        </a:xfrm>
        <a:prstGeom prst="rect">
          <a:avLst/>
        </a:prstGeom>
        <a:solidFill>
          <a:schemeClr val="accent5">
            <a:lumMod val="20000"/>
            <a:lumOff val="8000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t>Potencjały wewnetrzne (w tym mocne strony) - diagnoza pogłębiona</a:t>
          </a:r>
        </a:p>
      </dsp:txBody>
      <dsp:txXfrm>
        <a:off x="4060071" y="1516278"/>
        <a:ext cx="1690745" cy="515677"/>
      </dsp:txXfrm>
    </dsp:sp>
    <dsp:sp modelId="{C511CAF0-BBCD-4620-B23A-4CF894169806}">
      <dsp:nvSpPr>
        <dsp:cNvPr id="0" name=""/>
        <dsp:cNvSpPr/>
      </dsp:nvSpPr>
      <dsp:spPr>
        <a:xfrm>
          <a:off x="4060071" y="2243299"/>
          <a:ext cx="1690745" cy="515677"/>
        </a:xfrm>
        <a:prstGeom prst="rect">
          <a:avLst/>
        </a:prstGeom>
        <a:solidFill>
          <a:schemeClr val="accent5">
            <a:lumMod val="20000"/>
            <a:lumOff val="8000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t>Szanse - znaliza PEST</a:t>
          </a:r>
        </a:p>
      </dsp:txBody>
      <dsp:txXfrm>
        <a:off x="4060071" y="2243299"/>
        <a:ext cx="1690745" cy="515677"/>
      </dsp:txXfrm>
    </dsp:sp>
  </dsp:spTree>
</dsp:drawing>
</file>

<file path=word/diagrams/layout1.xml><?xml version="1.0" encoding="utf-8"?>
<dgm:layoutDef xmlns:dgm="http://schemas.openxmlformats.org/drawingml/2006/diagram" xmlns:a="http://schemas.openxmlformats.org/drawingml/2006/main" uniqueId="urn:microsoft.com/office/officeart/2005/8/layout/vProcess5">
  <dgm:title val=""/>
  <dgm:desc val=""/>
  <dgm:catLst>
    <dgm:cat type="process" pri="14000"/>
  </dgm:catLst>
  <dgm:sampData>
    <dgm:dataModel>
      <dgm:ptLst>
        <dgm:pt modelId="0" type="doc"/>
        <dgm:pt modelId="1">
          <dgm:prSet phldr="1"/>
        </dgm:pt>
        <dgm:pt modelId="2">
          <dgm:prSet phldr="1"/>
        </dgm:pt>
        <dgm:pt modelId="3">
          <dgm:prSet phldr="1"/>
        </dgm:pt>
      </dgm:ptLst>
      <dgm:cxnLst>
        <dgm:cxn modelId="5" srcId="0" destId="1" srcOrd="0" destOrd="0"/>
        <dgm:cxn modelId="6" srcId="0" destId="2" srcOrd="1" destOrd="0"/>
        <dgm:cxn modelId="7" srcId="0" destId="3" srcOrd="2"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6" srcId="0" destId="1" srcOrd="0" destOrd="0"/>
        <dgm:cxn modelId="7" srcId="0" destId="2" srcOrd="1" destOrd="0"/>
        <dgm:cxn modelId="8" srcId="0" destId="3" srcOrd="2" destOrd="0"/>
        <dgm:cxn modelId="9" srcId="0" destId="4" srcOrd="3" destOrd="0"/>
      </dgm:cxnLst>
      <dgm:bg/>
      <dgm:whole/>
    </dgm:dataModel>
  </dgm:clrData>
  <dgm:layoutNode name="outerComposite">
    <dgm:varLst>
      <dgm:chMax val="5"/>
      <dgm:dir/>
      <dgm:resizeHandles val="exact"/>
    </dgm:varLst>
    <dgm:alg type="composite"/>
    <dgm:shape xmlns:r="http://schemas.openxmlformats.org/officeDocument/2006/relationships" r:blip="">
      <dgm:adjLst/>
    </dgm:shape>
    <dgm:presOf/>
    <dgm:choose name="Name0">
      <dgm:if name="Name1" func="var" arg="dir" op="equ" val="norm">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l" for="ch" forName="TwoNodes_1"/>
          <dgm:constr type="w" for="ch" forName="TwoNodes_2" refType="w" fact="0.85"/>
          <dgm:constr type="h" for="ch" forName="TwoNodes_2" refType="h" fact="0.45"/>
          <dgm:constr type="b" for="ch" forName="TwoNodes_2" refType="h"/>
          <dgm:constr type="r" for="ch" forName="TwoNodes_2" refType="w"/>
          <dgm:constr type="w" for="ch" forName="TwoConn_1-2" refType="h" refFor="ch" refForName="TwoNodes_1" fact="0.65"/>
          <dgm:constr type="h" for="ch" forName="TwoConn_1-2" refType="h" refFor="ch" refForName="TwoNodes_1" fact="0.65"/>
          <dgm:constr type="ctrY" for="ch" forName="TwoConn_1-2" refType="h" fact="0.5"/>
          <dgm:constr type="r" for="ch" forName="TwoConn_1-2" refType="r" refFor="ch" refForName="TwoNodes_1"/>
          <dgm:constr type="r" for="ch" forName="TwoNodes_1_text" refType="l" refFor="ch" refForName="TwoConn_1-2"/>
          <dgm:constr type="rOff" for="ch" forName="TwoNodes_1_text" refType="w" refFor="ch" refForName="TwoConn_1-2" fact="-0.5"/>
          <dgm:constr type="t" for="ch" forName="TwoNodes_1_text" refType="t" refFor="ch" refForName="TwoNodes_1"/>
          <dgm:constr type="b" for="ch" forName="TwoNodes_1_text" refType="b" refFor="ch" refForName="TwoNodes_1"/>
          <dgm:constr type="l" for="ch" forName="TwoNodes_1_text" refType="l" refFor="ch" refForName="TwoNodes_1"/>
          <dgm:constr type="r" for="ch" forName="TwoNodes_2_text" refType="l" refFor="ch" refForName="TwoConn_1-2"/>
          <dgm:constr type="t" for="ch" forName="TwoNodes_2_text" refType="t" refFor="ch" refForName="TwoNodes_2"/>
          <dgm:constr type="b" for="ch" forName="TwoNodes_2_text" refType="b" refFor="ch" refForName="TwoNodes_2"/>
          <dgm:constr type="l" for="ch" forName="TwoNodes_2_text" refType="l" refFor="ch" refForName="TwoNodes_2"/>
          <dgm:constr type="w" for="ch" forName="ThreeNodes_1" refType="w" fact="0.85"/>
          <dgm:constr type="h" for="ch" forName="ThreeNodes_1" refType="h" fact="0.3"/>
          <dgm:constr type="t" for="ch" forName="ThreeNodes_1"/>
          <dgm:constr type="l" for="ch" forName="ThreeNodes_1"/>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r" for="ch" forName="ThreeNodes_3" refType="w"/>
          <dgm:constr type="w" for="ch" forName="ThreeConn_1-2" refType="h" refFor="ch" refForName="ThreeNodes_1" fact="0.65"/>
          <dgm:constr type="h" for="ch" forName="ThreeConn_1-2" refType="h" refFor="ch" refForName="ThreeNodes_1" fact="0.65"/>
          <dgm:constr type="ctrY" for="ch" forName="ThreeConn_1-2" refType="h" fact="0.325"/>
          <dgm:constr type="r" for="ch" forName="ThreeConn_1-2" refType="r"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r" for="ch" forName="ThreeConn_2-3" refType="r" refFor="ch" refForName="ThreeNodes_2"/>
          <dgm:constr type="r" for="ch" forName="ThreeNodes_1_text" refType="l" refFor="ch" refForName="ThreeConn_1-2"/>
          <dgm:constr type="rOff" for="ch" forName="ThreeNodes_1_text" refType="w" refFor="ch" refForName="ThreeConn_1-2" fact="-0.57"/>
          <dgm:constr type="t" for="ch" forName="ThreeNodes_1_text" refType="t" refFor="ch" refForName="ThreeNodes_1"/>
          <dgm:constr type="b" for="ch" forName="ThreeNodes_1_text" refType="b" refFor="ch" refForName="ThreeNodes_1"/>
          <dgm:constr type="l" for="ch" forName="ThreeNodes_1_text" refType="l" refFor="ch" refForName="ThreeNodes_1"/>
          <dgm:constr type="r" for="ch" forName="ThreeNodes_2_text" refType="l" refFor="ch" refForName="ThreeConn_1-2"/>
          <dgm:constr type="t" for="ch" forName="ThreeNodes_2_text" refType="t" refFor="ch" refForName="ThreeNodes_2"/>
          <dgm:constr type="b" for="ch" forName="ThreeNodes_2_text" refType="b" refFor="ch" refForName="ThreeNodes_2"/>
          <dgm:constr type="l" for="ch" forName="ThreeNodes_2_text" refType="l" refFor="ch" refForName="ThreeNodes_2"/>
          <dgm:constr type="r" for="ch" forName="ThreeNodes_3_text" refType="l" refFor="ch" refForName="ThreeConn_2-3"/>
          <dgm:constr type="t" for="ch" forName="ThreeNodes_3_text" refType="t" refFor="ch" refForName="ThreeNodes_3"/>
          <dgm:constr type="b" for="ch" forName="ThreeNodes_3_text" refType="b" refFor="ch" refForName="ThreeNodes_3"/>
          <dgm:constr type="l" for="ch" forName="ThreeNodes_3_text" refType="l" refFor="ch" refForName="ThreeNodes_3"/>
          <dgm:constr type="w" for="ch" forName="FourNodes_1" refType="w" fact="0.8"/>
          <dgm:constr type="h" for="ch" forName="FourNodes_1" refType="h" fact="0.22"/>
          <dgm:constr type="t" for="ch" forName="FourNodes_1"/>
          <dgm:constr type="l" for="ch" forName="FourNodes_1"/>
          <dgm:constr type="w" for="ch" forName="FourNodes_2" refType="w" fact="0.8"/>
          <dgm:constr type="h" for="ch" forName="FourNodes_2" refType="h" fact="0.22"/>
          <dgm:constr type="ctrY" for="ch" forName="FourNodes_2" refType="h" fact="0.37"/>
          <dgm:constr type="ctrX" for="ch" forName="FourNodes_2" refType="w" fact="0.467"/>
          <dgm:constr type="w" for="ch" forName="FourNodes_3" refType="w" fact="0.8"/>
          <dgm:constr type="h" for="ch" forName="FourNodes_3" refType="h" fact="0.22"/>
          <dgm:constr type="ctrY" for="ch" forName="FourNodes_3" refType="h" fact="0.63"/>
          <dgm:constr type="ctrX" for="ch" forName="FourNodes_3" refType="w" fact="0.533"/>
          <dgm:constr type="w" for="ch" forName="FourNodes_4" refType="w" fact="0.8"/>
          <dgm:constr type="h" for="ch" forName="FourNodes_4" refType="h" fact="0.22"/>
          <dgm:constr type="b" for="ch" forName="FourNodes_4" refType="h"/>
          <dgm:constr type="r" for="ch" forName="FourNodes_4" refType="w"/>
          <dgm:constr type="w" for="ch" forName="FourConn_1-2" refType="h" refFor="ch" refForName="FourNodes_1" fact="0.65"/>
          <dgm:constr type="h" for="ch" forName="FourConn_1-2" refType="h" refFor="ch" refForName="FourNodes_1" fact="0.65"/>
          <dgm:constr type="ctrY" for="ch" forName="FourConn_1-2" refType="h" fact="0.24"/>
          <dgm:constr type="r" for="ch" forName="FourConn_1-2" refType="r"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r" for="ch" forName="FourConn_2-3" refType="r"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r" for="ch" forName="FourConn_3-4" refType="r" refFor="ch" refForName="FourNodes_3"/>
          <dgm:constr type="r" for="ch" forName="FourNodes_1_text" refType="l" refFor="ch" refForName="FourConn_1-2"/>
          <dgm:constr type="rOff" for="ch" forName="FourNodes_1_text" refType="w" refFor="ch" refForName="FourConn_1-2" fact="-0.7"/>
          <dgm:constr type="t" for="ch" forName="FourNodes_1_text" refType="t" refFor="ch" refForName="FourNodes_1"/>
          <dgm:constr type="b" for="ch" forName="FourNodes_1_text" refType="b" refFor="ch" refForName="FourNodes_1"/>
          <dgm:constr type="l" for="ch" forName="FourNodes_1_text" refType="l" refFor="ch" refForName="FourNodes_1"/>
          <dgm:constr type="r" for="ch" forName="FourNodes_2_text" refType="l" refFor="ch" refForName="FourConn_1-2"/>
          <dgm:constr type="t" for="ch" forName="FourNodes_2_text" refType="t" refFor="ch" refForName="FourNodes_2"/>
          <dgm:constr type="b" for="ch" forName="FourNodes_2_text" refType="b" refFor="ch" refForName="FourNodes_2"/>
          <dgm:constr type="l" for="ch" forName="FourNodes_2_text" refType="l" refFor="ch" refForName="FourNodes_2"/>
          <dgm:constr type="r" for="ch" forName="FourNodes_3_text" refType="l" refFor="ch" refForName="FourConn_2-3"/>
          <dgm:constr type="t" for="ch" forName="FourNodes_3_text" refType="t" refFor="ch" refForName="FourNodes_3"/>
          <dgm:constr type="b" for="ch" forName="FourNodes_3_text" refType="b" refFor="ch" refForName="FourNodes_3"/>
          <dgm:constr type="l" for="ch" forName="FourNodes_3_text" refType="l" refFor="ch" refForName="FourNodes_3"/>
          <dgm:constr type="r" for="ch" forName="FourNodes_4_text" refType="l" refFor="ch" refForName="FourConn_3-4"/>
          <dgm:constr type="t" for="ch" forName="FourNodes_4_text" refType="t" refFor="ch" refForName="FourNodes_4"/>
          <dgm:constr type="b" for="ch" forName="FourNodes_4_text" refType="b" refFor="ch" refForName="FourNodes_4"/>
          <dgm:constr type="l" for="ch" forName="FourNodes_4_text" refType="l" refFor="ch" refForName="FourNodes_4"/>
          <dgm:constr type="w" for="ch" forName="FiveNodes_1" refType="w" fact="0.77"/>
          <dgm:constr type="h" for="ch" forName="FiveNodes_1" refType="h" fact="0.18"/>
          <dgm:constr type="t" for="ch" forName="FiveNodes_1"/>
          <dgm:constr type="l" for="ch" forName="FiveNodes_1"/>
          <dgm:constr type="w" for="ch" forName="FiveNodes_2" refType="w" fact="0.77"/>
          <dgm:constr type="h" for="ch" forName="FiveNodes_2" refType="h" fact="0.18"/>
          <dgm:constr type="ctrY" for="ch" forName="FiveNodes_2" refType="h" fact="0.295"/>
          <dgm:constr type="ctrX" for="ch" forName="FiveNodes_2" refType="w" fact="0.442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5575"/>
          <dgm:constr type="w" for="ch" forName="FiveNodes_5" refType="w" fact="0.77"/>
          <dgm:constr type="h" for="ch" forName="FiveNodes_5" refType="h" fact="0.18"/>
          <dgm:constr type="b" for="ch" forName="FiveNodes_5" refType="h"/>
          <dgm:constr type="r" for="ch" forName="FiveNodes_5" refType="w"/>
          <dgm:constr type="w" for="ch" forName="FiveConn_1-2" refType="h" refFor="ch" refForName="FiveNodes_1" fact="0.65"/>
          <dgm:constr type="h" for="ch" forName="FiveConn_1-2" refType="h" refFor="ch" refForName="FiveNodes_1" fact="0.65"/>
          <dgm:constr type="ctrY" for="ch" forName="FiveConn_1-2" refType="h" fact="0.19"/>
          <dgm:constr type="r" for="ch" forName="FiveConn_1-2" refType="r"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r" for="ch" forName="FiveConn_2-3" refType="r"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r" for="ch" forName="FiveConn_3-4" refType="r"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r" for="ch" forName="FiveConn_4-5" refType="r" refFor="ch" refForName="FiveNodes_4"/>
          <dgm:constr type="r" for="ch" forName="FiveNodes_1_text" refType="l" refFor="ch" refForName="FiveConn_1-2"/>
          <dgm:constr type="rOff" for="ch" forName="FiveNodes_1_text" refType="w" refFor="ch" refForName="FiveConn_1-2" fact="-0.75"/>
          <dgm:constr type="t" for="ch" forName="FiveNodes_1_text" refType="t" refFor="ch" refForName="FiveNodes_1"/>
          <dgm:constr type="b" for="ch" forName="FiveNodes_1_text" refType="b" refFor="ch" refForName="FiveNodes_1"/>
          <dgm:constr type="l" for="ch" forName="FiveNodes_1_text" refType="l" refFor="ch" refForName="FiveNodes_1"/>
          <dgm:constr type="r" for="ch" forName="FiveNodes_2_text" refType="l" refFor="ch" refForName="FiveConn_1-2"/>
          <dgm:constr type="t" for="ch" forName="FiveNodes_2_text" refType="t" refFor="ch" refForName="FiveNodes_2"/>
          <dgm:constr type="b" for="ch" forName="FiveNodes_2_text" refType="b" refFor="ch" refForName="FiveNodes_2"/>
          <dgm:constr type="l" for="ch" forName="FiveNodes_2_text" refType="l" refFor="ch" refForName="FiveNodes_2"/>
          <dgm:constr type="r" for="ch" forName="FiveNodes_3_text" refType="l" refFor="ch" refForName="FiveConn_2-3"/>
          <dgm:constr type="t" for="ch" forName="FiveNodes_3_text" refType="t" refFor="ch" refForName="FiveNodes_3"/>
          <dgm:constr type="b" for="ch" forName="FiveNodes_3_text" refType="b" refFor="ch" refForName="FiveNodes_3"/>
          <dgm:constr type="l" for="ch" forName="FiveNodes_3_text" refType="l" refFor="ch" refForName="FiveNodes_3"/>
          <dgm:constr type="r" for="ch" forName="FiveNodes_4_text" refType="l" refFor="ch" refForName="FiveConn_3-4"/>
          <dgm:constr type="t" for="ch" forName="FiveNodes_4_text" refType="t" refFor="ch" refForName="FiveNodes_4"/>
          <dgm:constr type="b" for="ch" forName="FiveNodes_4_text" refType="b" refFor="ch" refForName="FiveNodes_4"/>
          <dgm:constr type="l" for="ch" forName="FiveNodes_4_text" refType="l" refFor="ch" refForName="FiveNodes_4"/>
          <dgm:constr type="r" for="ch" forName="FiveNodes_5_text" refType="l" refFor="ch" refForName="FiveConn_4-5"/>
          <dgm:constr type="t" for="ch" forName="FiveNodes_5_text" refType="t" refFor="ch" refForName="FiveNodes_5"/>
          <dgm:constr type="b" for="ch" forName="FiveNodes_5_text" refType="b" refFor="ch" refForName="FiveNodes_5"/>
          <dgm:constr type="l" for="ch" forName="FiveNodes_5_text" refType="l" refFor="ch" refForName="FiveNodes_5"/>
        </dgm:constrLst>
      </dgm:if>
      <dgm:else name="Name2">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r" for="ch" forName="TwoNodes_1" refType="w"/>
          <dgm:constr type="w" for="ch" forName="TwoNodes_2" refType="w" fact="0.85"/>
          <dgm:constr type="h" for="ch" forName="TwoNodes_2" refType="h" fact="0.45"/>
          <dgm:constr type="b" for="ch" forName="TwoNodes_2" refType="h"/>
          <dgm:constr type="l" for="ch" forName="TwoNodes_2"/>
          <dgm:constr type="w" for="ch" forName="TwoConn_1-2" refType="h" refFor="ch" refForName="TwoNodes_1" fact="0.65"/>
          <dgm:constr type="h" for="ch" forName="TwoConn_1-2" refType="h" refFor="ch" refForName="TwoNodes_1" fact="0.65"/>
          <dgm:constr type="ctrY" for="ch" forName="TwoConn_1-2" refType="h" fact="0.5"/>
          <dgm:constr type="l" for="ch" forName="TwoConn_1-2" refType="l" refFor="ch" refForName="TwoNodes_1"/>
          <dgm:constr type="l" for="ch" forName="TwoNodes_1_text" refType="r" refFor="ch" refForName="TwoConn_1-2"/>
          <dgm:constr type="lOff" for="ch" forName="TwoNodes_1_text" refType="w" refFor="ch" refForName="TwoConn_1-2" fact="0.5"/>
          <dgm:constr type="t" for="ch" forName="TwoNodes_1_text" refType="t" refFor="ch" refForName="TwoNodes_1"/>
          <dgm:constr type="b" for="ch" forName="TwoNodes_1_text" refType="b" refFor="ch" refForName="TwoNodes_1"/>
          <dgm:constr type="r" for="ch" forName="TwoNodes_1_text" refType="r" refFor="ch" refForName="TwoNodes_1"/>
          <dgm:constr type="l" for="ch" forName="TwoNodes_2_text" refType="r" refFor="ch" refForName="TwoConn_1-2"/>
          <dgm:constr type="t" for="ch" forName="TwoNodes_2_text" refType="t" refFor="ch" refForName="TwoNodes_2"/>
          <dgm:constr type="b" for="ch" forName="TwoNodes_2_text" refType="b" refFor="ch" refForName="TwoNodes_2"/>
          <dgm:constr type="r" for="ch" forName="TwoNodes_2_text" refType="r" refFor="ch" refForName="TwoNodes_2"/>
          <dgm:constr type="w" for="ch" forName="ThreeNodes_1" refType="w" fact="0.85"/>
          <dgm:constr type="h" for="ch" forName="ThreeNodes_1" refType="h" fact="0.3"/>
          <dgm:constr type="t" for="ch" forName="ThreeNodes_1"/>
          <dgm:constr type="r" for="ch" forName="ThreeNodes_1" refType="w"/>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l" for="ch" forName="ThreeNodes_3"/>
          <dgm:constr type="w" for="ch" forName="ThreeConn_1-2" refType="h" refFor="ch" refForName="ThreeNodes_1" fact="0.65"/>
          <dgm:constr type="h" for="ch" forName="ThreeConn_1-2" refType="h" refFor="ch" refForName="ThreeNodes_1" fact="0.65"/>
          <dgm:constr type="ctrY" for="ch" forName="ThreeConn_1-2" refType="h" fact="0.325"/>
          <dgm:constr type="l" for="ch" forName="ThreeConn_1-2" refType="l"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l" for="ch" forName="ThreeConn_2-3" refType="l" refFor="ch" refForName="ThreeNodes_2"/>
          <dgm:constr type="l" for="ch" forName="ThreeNodes_1_text" refType="r" refFor="ch" refForName="ThreeConn_1-2"/>
          <dgm:constr type="lOff" for="ch" forName="ThreeNodes_1_text" refType="w" refFor="ch" refForName="ThreeConn_1-2" fact="0.55"/>
          <dgm:constr type="t" for="ch" forName="ThreeNodes_1_text" refType="t" refFor="ch" refForName="ThreeNodes_1"/>
          <dgm:constr type="b" for="ch" forName="ThreeNodes_1_text" refType="b" refFor="ch" refForName="ThreeNodes_1"/>
          <dgm:constr type="r" for="ch" forName="ThreeNodes_1_text" refType="r" refFor="ch" refForName="ThreeNodes_1"/>
          <dgm:constr type="l" for="ch" forName="ThreeNodes_2_text" refType="r" refFor="ch" refForName="ThreeConn_1-2"/>
          <dgm:constr type="t" for="ch" forName="ThreeNodes_2_text" refType="t" refFor="ch" refForName="ThreeNodes_2"/>
          <dgm:constr type="b" for="ch" forName="ThreeNodes_2_text" refType="b" refFor="ch" refForName="ThreeNodes_2"/>
          <dgm:constr type="r" for="ch" forName="ThreeNodes_2_text" refType="r" refFor="ch" refForName="ThreeNodes_2"/>
          <dgm:constr type="l" for="ch" forName="ThreeNodes_3_text" refType="r" refFor="ch" refForName="ThreeConn_2-3"/>
          <dgm:constr type="t" for="ch" forName="ThreeNodes_3_text" refType="t" refFor="ch" refForName="ThreeNodes_3"/>
          <dgm:constr type="b" for="ch" forName="ThreeNodes_3_text" refType="b" refFor="ch" refForName="ThreeNodes_3"/>
          <dgm:constr type="r" for="ch" forName="ThreeNodes_3_text" refType="r" refFor="ch" refForName="ThreeNodes_3"/>
          <dgm:constr type="w" for="ch" forName="FourNodes_1" refType="w" fact="0.8"/>
          <dgm:constr type="h" for="ch" forName="FourNodes_1" refType="h" fact="0.22"/>
          <dgm:constr type="t" for="ch" forName="FourNodes_1"/>
          <dgm:constr type="r" for="ch" forName="FourNodes_1" refType="w"/>
          <dgm:constr type="w" for="ch" forName="FourNodes_2" refType="w" fact="0.8"/>
          <dgm:constr type="h" for="ch" forName="FourNodes_2" refType="h" fact="0.22"/>
          <dgm:constr type="ctrY" for="ch" forName="FourNodes_2" refType="h" fact="0.37"/>
          <dgm:constr type="ctrX" for="ch" forName="FourNodes_2" refType="w" fact="0.533"/>
          <dgm:constr type="w" for="ch" forName="FourNodes_3" refType="w" fact="0.8"/>
          <dgm:constr type="h" for="ch" forName="FourNodes_3" refType="h" fact="0.22"/>
          <dgm:constr type="ctrY" for="ch" forName="FourNodes_3" refType="h" fact="0.63"/>
          <dgm:constr type="ctrX" for="ch" forName="FourNodes_3" refType="w" fact="0.467"/>
          <dgm:constr type="w" for="ch" forName="FourNodes_4" refType="w" fact="0.8"/>
          <dgm:constr type="h" for="ch" forName="FourNodes_4" refType="h" fact="0.22"/>
          <dgm:constr type="b" for="ch" forName="FourNodes_4" refType="h"/>
          <dgm:constr type="l" for="ch" forName="FourNodes_4"/>
          <dgm:constr type="w" for="ch" forName="FourConn_1-2" refType="h" refFor="ch" refForName="FourNodes_1" fact="0.65"/>
          <dgm:constr type="h" for="ch" forName="FourConn_1-2" refType="h" refFor="ch" refForName="FourNodes_1" fact="0.65"/>
          <dgm:constr type="ctrY" for="ch" forName="FourConn_1-2" refType="h" fact="0.24"/>
          <dgm:constr type="l" for="ch" forName="FourConn_1-2" refType="l"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l" for="ch" forName="FourConn_2-3" refType="l"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l" for="ch" forName="FourConn_3-4" refType="l" refFor="ch" refForName="FourNodes_3"/>
          <dgm:constr type="l" for="ch" forName="FourNodes_1_text" refType="r" refFor="ch" refForName="FourConn_1-2"/>
          <dgm:constr type="lOff" for="ch" forName="FourNodes_1_text" refType="w" refFor="ch" refForName="FourConn_1-2" fact="0.69"/>
          <dgm:constr type="t" for="ch" forName="FourNodes_1_text" refType="t" refFor="ch" refForName="FourNodes_1"/>
          <dgm:constr type="b" for="ch" forName="FourNodes_1_text" refType="b" refFor="ch" refForName="FourNodes_1"/>
          <dgm:constr type="r" for="ch" forName="FourNodes_1_text" refType="r" refFor="ch" refForName="FourNodes_1"/>
          <dgm:constr type="l" for="ch" forName="FourNodes_2_text" refType="r" refFor="ch" refForName="FourConn_1-2"/>
          <dgm:constr type="t" for="ch" forName="FourNodes_2_text" refType="t" refFor="ch" refForName="FourNodes_2"/>
          <dgm:constr type="b" for="ch" forName="FourNodes_2_text" refType="b" refFor="ch" refForName="FourNodes_2"/>
          <dgm:constr type="r" for="ch" forName="FourNodes_2_text" refType="r" refFor="ch" refForName="FourNodes_2"/>
          <dgm:constr type="l" for="ch" forName="FourNodes_3_text" refType="r" refFor="ch" refForName="FourConn_2-3"/>
          <dgm:constr type="t" for="ch" forName="FourNodes_3_text" refType="t" refFor="ch" refForName="FourNodes_3"/>
          <dgm:constr type="b" for="ch" forName="FourNodes_3_text" refType="b" refFor="ch" refForName="FourNodes_3"/>
          <dgm:constr type="r" for="ch" forName="FourNodes_3_text" refType="r" refFor="ch" refForName="FourNodes_3"/>
          <dgm:constr type="l" for="ch" forName="FourNodes_4_text" refType="r" refFor="ch" refForName="FourConn_3-4"/>
          <dgm:constr type="t" for="ch" forName="FourNodes_4_text" refType="t" refFor="ch" refForName="FourNodes_4"/>
          <dgm:constr type="b" for="ch" forName="FourNodes_4_text" refType="b" refFor="ch" refForName="FourNodes_4"/>
          <dgm:constr type="r" for="ch" forName="FourNodes_4_text" refType="r" refFor="ch" refForName="FourNodes_4"/>
          <dgm:constr type="w" for="ch" forName="FiveNodes_1" refType="w" fact="0.77"/>
          <dgm:constr type="h" for="ch" forName="FiveNodes_1" refType="h" fact="0.18"/>
          <dgm:constr type="t" for="ch" forName="FiveNodes_1"/>
          <dgm:constr type="r" for="ch" forName="FiveNodes_1" refType="w"/>
          <dgm:constr type="w" for="ch" forName="FiveNodes_2" refType="w" fact="0.77"/>
          <dgm:constr type="h" for="ch" forName="FiveNodes_2" refType="h" fact="0.18"/>
          <dgm:constr type="ctrY" for="ch" forName="FiveNodes_2" refType="h" fact="0.295"/>
          <dgm:constr type="ctrX" for="ch" forName="FiveNodes_2" refType="w" fact="0.557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4425"/>
          <dgm:constr type="w" for="ch" forName="FiveNodes_5" refType="w" fact="0.77"/>
          <dgm:constr type="h" for="ch" forName="FiveNodes_5" refType="h" fact="0.18"/>
          <dgm:constr type="b" for="ch" forName="FiveNodes_5" refType="h"/>
          <dgm:constr type="l" for="ch" forName="FiveNodes_5"/>
          <dgm:constr type="w" for="ch" forName="FiveConn_1-2" refType="h" refFor="ch" refForName="FiveNodes_1" fact="0.65"/>
          <dgm:constr type="h" for="ch" forName="FiveConn_1-2" refType="h" refFor="ch" refForName="FiveNodes_1" fact="0.65"/>
          <dgm:constr type="ctrY" for="ch" forName="FiveConn_1-2" refType="h" fact="0.19"/>
          <dgm:constr type="l" for="ch" forName="FiveConn_1-2" refType="l"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l" for="ch" forName="FiveConn_2-3" refType="l"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l" for="ch" forName="FiveConn_3-4" refType="l"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l" for="ch" forName="FiveConn_4-5" refType="l" refFor="ch" refForName="FiveNodes_4"/>
          <dgm:constr type="l" for="ch" forName="FiveNodes_1_text" refType="r" refFor="ch" refForName="FiveConn_1-2"/>
          <dgm:constr type="lOff" for="ch" forName="FiveNodes_1_text" refType="w" refFor="ch" refForName="FiveConn_1-2" fact="0.73"/>
          <dgm:constr type="t" for="ch" forName="FiveNodes_1_text" refType="t" refFor="ch" refForName="FiveNodes_1"/>
          <dgm:constr type="b" for="ch" forName="FiveNodes_1_text" refType="b" refFor="ch" refForName="FiveNodes_1"/>
          <dgm:constr type="r" for="ch" forName="FiveNodes_1_text" refType="r" refFor="ch" refForName="FiveNodes_1"/>
          <dgm:constr type="l" for="ch" forName="FiveNodes_2_text" refType="r" refFor="ch" refForName="FiveConn_1-2"/>
          <dgm:constr type="t" for="ch" forName="FiveNodes_2_text" refType="t" refFor="ch" refForName="FiveNodes_2"/>
          <dgm:constr type="b" for="ch" forName="FiveNodes_2_text" refType="b" refFor="ch" refForName="FiveNodes_2"/>
          <dgm:constr type="r" for="ch" forName="FiveNodes_2_text" refType="r" refFor="ch" refForName="FiveNodes_2"/>
          <dgm:constr type="l" for="ch" forName="FiveNodes_3_text" refType="r" refFor="ch" refForName="FiveConn_2-3"/>
          <dgm:constr type="t" for="ch" forName="FiveNodes_3_text" refType="t" refFor="ch" refForName="FiveNodes_3"/>
          <dgm:constr type="b" for="ch" forName="FiveNodes_3_text" refType="b" refFor="ch" refForName="FiveNodes_3"/>
          <dgm:constr type="r" for="ch" forName="FiveNodes_3_text" refType="r" refFor="ch" refForName="FiveNodes_3"/>
          <dgm:constr type="l" for="ch" forName="FiveNodes_4_text" refType="r" refFor="ch" refForName="FiveConn_3-4"/>
          <dgm:constr type="t" for="ch" forName="FiveNodes_4_text" refType="t" refFor="ch" refForName="FiveNodes_4"/>
          <dgm:constr type="b" for="ch" forName="FiveNodes_4_text" refType="b" refFor="ch" refForName="FiveNodes_4"/>
          <dgm:constr type="r" for="ch" forName="FiveNodes_4_text" refType="r" refFor="ch" refForName="FiveNodes_4"/>
          <dgm:constr type="l" for="ch" forName="FiveNodes_5_text" refType="r" refFor="ch" refForName="FiveConn_4-5"/>
          <dgm:constr type="t" for="ch" forName="FiveNodes_5_text" refType="t" refFor="ch" refForName="FiveNodes_5"/>
          <dgm:constr type="b" for="ch" forName="FiveNodes_5_text" refType="b" refFor="ch" refForName="FiveNodes_5"/>
          <dgm:constr type="r" for="ch" forName="FiveNodes_5_text" refType="r" refFor="ch" refForName="FiveNodes_5"/>
        </dgm:constrLst>
      </dgm:else>
    </dgm:choose>
    <dgm:ruleLst/>
    <dgm:layoutNode name="dummyMaxCanvas">
      <dgm:varLst/>
      <dgm:alg type="sp"/>
      <dgm:shape xmlns:r="http://schemas.openxmlformats.org/officeDocument/2006/relationships" r:blip="">
        <dgm:adjLst/>
      </dgm:shape>
      <dgm:presOf/>
      <dgm:constrLst/>
      <dgm:ruleLst/>
    </dgm:layoutNode>
    <dgm:choose name="Name3">
      <dgm:if name="Name4" axis="ch" ptType="node" func="cnt" op="equ" val="1">
        <dgm:layoutNode name="OneNode_1">
          <dgm:varLst>
            <dgm:bulletEnabled val="1"/>
          </dgm:varLst>
          <dgm:alg type="tx"/>
          <dgm:shape xmlns:r="http://schemas.openxmlformats.org/officeDocument/2006/relationships" type="roundRect" r:blip="">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
        <dgm:choose name="Name6">
          <dgm:if name="Name7" axis="ch" ptType="node" func="cnt" op="equ" val="2">
            <dgm:layoutNode name="Two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wo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wo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wo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wo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
            <dgm:choose name="Name9">
              <dgm:if name="Name10" axis="ch" ptType="node" func="cnt" op="equ" val="3">
                <dgm:layoutNode name="Thre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hre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hre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Thre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1">
                <dgm:choose name="Name12">
                  <dgm:if name="Name13" axis="ch" ptType="node" func="cnt" op="equ" val="4">
                    <dgm:layoutNode name="Four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our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our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our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our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4">
                    <dgm:choose name="Name15">
                      <dgm:if name="Name16" axis="ch" ptType="node" func="cnt" op="gte" val="5">
                        <dgm:layoutNode name="Fiv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iv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iv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ive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iveNodes_5">
                          <dgm:varLst>
                            <dgm:bulletEnabled val="1"/>
                          </dgm:varLst>
                          <dgm:alg type="sp"/>
                          <dgm:shape xmlns:r="http://schemas.openxmlformats.org/officeDocument/2006/relationships" type="roundRect" r:blip="">
                            <dgm:adjLst>
                              <dgm:adj idx="1" val="0.1"/>
                            </dgm:adjLst>
                          </dgm:shape>
                          <dgm:presOf axis="ch desOrSelf" ptType="node node" st="5 1" cnt="1 0"/>
                          <dgm:constrLst/>
                          <dgm:ruleLst/>
                        </dgm:layoutNode>
                        <dgm:layoutNode name="Fiv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4-5" styleLbl="fgAccFollowNode1">
                          <dgm:varLst>
                            <dgm:bulletEnabled val="1"/>
                          </dgm:varLst>
                          <dgm:alg type="tx"/>
                          <dgm:shape xmlns:r="http://schemas.openxmlformats.org/officeDocument/2006/relationships" type="downArrow" r:blip="">
                            <dgm:adjLst>
                              <dgm:adj idx="1" val="0.55"/>
                              <dgm:adj idx="2" val="0.45"/>
                            </dgm:adjLst>
                          </dgm:shape>
                          <dgm:presOf axis="ch" ptType="sibTrans" st="4"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5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5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7"/>
                    </dgm:choose>
                  </dgm:else>
                </dgm:choose>
              </dgm:else>
            </dgm:choose>
          </dgm:else>
        </dgm:choose>
      </dgm:else>
    </dgm:choose>
  </dgm:layoutNode>
</dgm:layoutDef>
</file>

<file path=word/diagrams/layout2.xml><?xml version="1.0" encoding="utf-8"?>
<dgm:layoutDef xmlns:dgm="http://schemas.openxmlformats.org/drawingml/2006/diagram" xmlns:a="http://schemas.openxmlformats.org/drawingml/2006/main" uniqueId="urn:microsoft.com/office/officeart/2005/8/layout/cycle4">
  <dgm:title val=""/>
  <dgm:desc val=""/>
  <dgm:catLst>
    <dgm:cat type="relationship" pri="26000"/>
    <dgm:cat type="cycle" pri="13000"/>
    <dgm:cat type="matrix" pri="4000"/>
  </dgm:catLst>
  <dgm:samp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 modelId="4">
          <dgm:prSet phldr="1"/>
        </dgm:pt>
        <dgm:pt modelId="41">
          <dgm:prSet phldr="1"/>
        </dgm:pt>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sampData>
  <dgm:style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cycleMatrixDiagram">
    <dgm:varLst>
      <dgm:chMax val="1"/>
      <dgm:dir/>
      <dgm:animLvl val="lvl"/>
      <dgm:resizeHandles val="exact"/>
    </dgm:varLst>
    <dgm:alg type="composite">
      <dgm:param type="ar" val="1.3"/>
    </dgm:alg>
    <dgm:shape xmlns:r="http://schemas.openxmlformats.org/officeDocument/2006/relationships" r:blip="">
      <dgm:adjLst/>
    </dgm:shape>
    <dgm:presOf/>
    <dgm:constrLst>
      <dgm:constr type="w" for="ch" forName="children" refType="w"/>
      <dgm:constr type="h" for="ch" forName="children" refType="w" refFor="ch" refForName="children" fact="0.77"/>
      <dgm:constr type="ctrX" for="ch" forName="children" refType="w" fact="0.5"/>
      <dgm:constr type="ctrY" for="ch" forName="children" refType="h" fact="0.5"/>
      <dgm:constr type="w" for="ch" forName="circle" refType="w"/>
      <dgm:constr type="h" for="ch" forName="circle" refType="h"/>
      <dgm:constr type="ctrX" for="ch" forName="circle" refType="w" fact="0.5"/>
      <dgm:constr type="ctrY" for="ch" forName="circle" refType="h" fact="0.5"/>
      <dgm:constr type="w" for="ch" forName="center1" refType="w" fact="0.115"/>
      <dgm:constr type="h" for="ch" forName="center1" refType="w" fact="0.1"/>
      <dgm:constr type="ctrX" for="ch" forName="center1" refType="w" fact="0.5"/>
      <dgm:constr type="ctrY" for="ch" forName="center1" refType="h" fact="0.475"/>
      <dgm:constr type="w" for="ch" forName="center2" refType="w" fact="0.115"/>
      <dgm:constr type="h" for="ch" forName="center2" refType="w" fact="0.1"/>
      <dgm:constr type="ctrX" for="ch" forName="center2" refType="w" fact="0.5"/>
      <dgm:constr type="ctrY" for="ch" forName="center2" refType="h" fact="0.525"/>
    </dgm:constrLst>
    <dgm:ruleLst/>
    <dgm:choose name="Name0">
      <dgm:if name="Name1" axis="ch" ptType="node" func="cnt" op="gte" val="1">
        <dgm:layoutNode name="children">
          <dgm:alg type="composite">
            <dgm:param type="ar" val="1.3"/>
          </dgm:alg>
          <dgm:shape xmlns:r="http://schemas.openxmlformats.org/officeDocument/2006/relationships" r:blip="">
            <dgm:adjLst/>
          </dgm:shape>
          <dgm:presOf/>
          <dgm:choose name="Name2">
            <dgm:if name="Name3" func="var" arg="dir" op="equ" val="norm">
              <dgm:constrLst>
                <dgm:constr type="primFontSz" for="des" ptType="node" op="equ" val="65"/>
                <dgm:constr type="w" for="ch" forName="child1group" refType="w" fact="0.38"/>
                <dgm:constr type="h" for="ch" forName="child1group" refType="h" fact="0.32"/>
                <dgm:constr type="t" for="ch" forName="child1group"/>
                <dgm:constr type="l" for="ch" forName="child1group"/>
                <dgm:constr type="w" for="ch" forName="child2group" refType="w" fact="0.38"/>
                <dgm:constr type="h" for="ch" forName="child2group" refType="h" fact="0.32"/>
                <dgm:constr type="t" for="ch" forName="child2group"/>
                <dgm:constr type="r" for="ch" forName="child2group" refType="w"/>
                <dgm:constr type="w" for="ch" forName="child3group" refType="w" fact="0.38"/>
                <dgm:constr type="h" for="ch" forName="child3group" refType="h" fact="0.32"/>
                <dgm:constr type="b" for="ch" forName="child3group" refType="h"/>
                <dgm:constr type="r" for="ch" forName="child3group" refType="w"/>
                <dgm:constr type="w" for="ch" forName="child4group" refType="w" fact="0.38"/>
                <dgm:constr type="h" for="ch" forName="child4group" refType="h" fact="0.32"/>
                <dgm:constr type="b" for="ch" forName="child4group" refType="h"/>
                <dgm:constr type="l" for="ch" forName="child4group"/>
              </dgm:constrLst>
            </dgm:if>
            <dgm:else name="Name4">
              <dgm:constrLst>
                <dgm:constr type="primFontSz" for="des" ptType="node" op="equ" val="65"/>
                <dgm:constr type="w" for="ch" forName="child1group" refType="w" fact="0.38"/>
                <dgm:constr type="h" for="ch" forName="child1group" refType="h" fact="0.32"/>
                <dgm:constr type="t" for="ch" forName="child1group"/>
                <dgm:constr type="r" for="ch" forName="child1group" refType="w"/>
                <dgm:constr type="w" for="ch" forName="child2group" refType="w" fact="0.38"/>
                <dgm:constr type="h" for="ch" forName="child2group" refType="h" fact="0.32"/>
                <dgm:constr type="t" for="ch" forName="child2group"/>
                <dgm:constr type="l" for="ch" forName="child2group"/>
                <dgm:constr type="w" for="ch" forName="child3group" refType="w" fact="0.38"/>
                <dgm:constr type="h" for="ch" forName="child3group" refType="h" fact="0.32"/>
                <dgm:constr type="b" for="ch" forName="child3group" refType="h"/>
                <dgm:constr type="l" for="ch" forName="child3group"/>
                <dgm:constr type="w" for="ch" forName="child4group" refType="w" fact="0.38"/>
                <dgm:constr type="h" for="ch" forName="child4group" refType="h" fact="0.32"/>
                <dgm:constr type="b" for="ch" forName="child4group" refType="h"/>
                <dgm:constr type="r" for="ch" forName="child4group" refType="w"/>
              </dgm:constrLst>
            </dgm:else>
          </dgm:choose>
          <dgm:ruleLst/>
          <dgm:choose name="Name5">
            <dgm:if name="Name6" axis="ch ch" ptType="node node" st="1 1" cnt="1 0" func="cnt" op="gte" val="1">
              <dgm:layoutNode name="child1group">
                <dgm:alg type="composite">
                  <dgm:param type="horzAlign" val="none"/>
                  <dgm:param type="vertAlign" val="none"/>
                </dgm:alg>
                <dgm:shape xmlns:r="http://schemas.openxmlformats.org/officeDocument/2006/relationships" r:blip="">
                  <dgm:adjLst/>
                </dgm:shape>
                <dgm:presOf/>
                <dgm:choose name="Name7">
                  <dgm:if name="Name8" func="var" arg="dir" op="equ" val="norm">
                    <dgm:constrLst>
                      <dgm:constr type="w" for="ch" forName="child1" refType="w"/>
                      <dgm:constr type="h" for="ch" forName="child1" refType="h"/>
                      <dgm:constr type="t" for="ch" forName="child1"/>
                      <dgm:constr type="l" for="ch" forName="child1"/>
                      <dgm:constr type="w" for="ch" forName="child1Text" refType="w" fact="0.7"/>
                      <dgm:constr type="h" for="ch" forName="child1Text" refType="h" fact="0.75"/>
                      <dgm:constr type="t" for="ch" forName="child1Text"/>
                      <dgm:constr type="l" for="ch" forName="child1Text"/>
                    </dgm:constrLst>
                  </dgm:if>
                  <dgm:else name="Name9">
                    <dgm:constrLst>
                      <dgm:constr type="w" for="ch" forName="child1" refType="w"/>
                      <dgm:constr type="h" for="ch" forName="child1" refType="h"/>
                      <dgm:constr type="t" for="ch" forName="child1"/>
                      <dgm:constr type="r" for="ch" forName="child1" refType="w"/>
                      <dgm:constr type="w" for="ch" forName="child1Text" refType="w" fact="0.7"/>
                      <dgm:constr type="h" for="ch" forName="child1Text" refType="h" fact="0.75"/>
                      <dgm:constr type="t" for="ch" forName="child1Text"/>
                      <dgm:constr type="r" for="ch" forName="child1Text" refType="w"/>
                    </dgm:constrLst>
                  </dgm:else>
                </dgm:choose>
                <dgm:ruleLst/>
                <dgm:layoutNode name="child1" styleLbl="bgAcc1">
                  <dgm:alg type="sp"/>
                  <dgm:shape xmlns:r="http://schemas.openxmlformats.org/officeDocument/2006/relationships" type="roundRect" r:blip="" zOrderOff="-2">
                    <dgm:adjLst>
                      <dgm:adj idx="1" val="0.1"/>
                    </dgm:adjLst>
                  </dgm:shape>
                  <dgm:presOf axis="ch des" ptType="node node" st="1 1" cnt="1 0"/>
                  <dgm:constrLst/>
                  <dgm:ruleLst/>
                </dgm:layoutNode>
                <dgm:layoutNode name="child1Text" styleLbl="bgAcc1">
                  <dgm:varLst>
                    <dgm:bulletEnabled val="1"/>
                  </dgm:varLst>
                  <dgm:alg type="tx">
                    <dgm:param type="stBulletLvl" val="1"/>
                  </dgm:alg>
                  <dgm:shape xmlns:r="http://schemas.openxmlformats.org/officeDocument/2006/relationships" type="roundRect" r:blip="" zOrderOff="-2" hideGeom="1">
                    <dgm:adjLst>
                      <dgm:adj idx="1" val="0.1"/>
                    </dgm:adjLst>
                  </dgm:shape>
                  <dgm:presOf axis="ch des"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10"/>
          </dgm:choose>
          <dgm:choose name="Name11">
            <dgm:if name="Name12" axis="ch ch" ptType="node node" st="2 1" cnt="1 0" func="cnt" op="gte" val="1">
              <dgm:layoutNode name="child2group">
                <dgm:alg type="composite">
                  <dgm:param type="horzAlign" val="none"/>
                  <dgm:param type="vertAlign" val="none"/>
                </dgm:alg>
                <dgm:shape xmlns:r="http://schemas.openxmlformats.org/officeDocument/2006/relationships" r:blip="">
                  <dgm:adjLst/>
                </dgm:shape>
                <dgm:choose name="Name13">
                  <dgm:if name="Name14" func="var" arg="dir" op="equ" val="norm">
                    <dgm:constrLst>
                      <dgm:constr type="w" for="ch" forName="child2" refType="w"/>
                      <dgm:constr type="h" for="ch" forName="child2" refType="h"/>
                      <dgm:constr type="t" for="ch" forName="child2"/>
                      <dgm:constr type="r" for="ch" forName="child2" refType="w"/>
                      <dgm:constr type="w" for="ch" forName="child2Text" refType="w" fact="0.7"/>
                      <dgm:constr type="h" for="ch" forName="child2Text" refType="h" fact="0.75"/>
                      <dgm:constr type="t" for="ch" forName="child2Text"/>
                      <dgm:constr type="r" for="ch" forName="child2Text" refType="w"/>
                    </dgm:constrLst>
                  </dgm:if>
                  <dgm:else name="Name15">
                    <dgm:constrLst>
                      <dgm:constr type="w" for="ch" forName="child2" refType="w"/>
                      <dgm:constr type="h" for="ch" forName="child2" refType="h"/>
                      <dgm:constr type="t" for="ch" forName="child2"/>
                      <dgm:constr type="l" for="ch" forName="child2"/>
                      <dgm:constr type="w" for="ch" forName="child2Text" refType="w" fact="0.7"/>
                      <dgm:constr type="h" for="ch" forName="child2Text" refType="h" fact="0.75"/>
                      <dgm:constr type="t" for="ch" forName="child2Text"/>
                      <dgm:constr type="l" for="ch" forName="child2Text"/>
                    </dgm:constrLst>
                  </dgm:else>
                </dgm:choose>
                <dgm:ruleLst/>
                <dgm:layoutNode name="child2" styleLbl="bgAcc1">
                  <dgm:alg type="sp"/>
                  <dgm:shape xmlns:r="http://schemas.openxmlformats.org/officeDocument/2006/relationships" type="roundRect" r:blip="" zOrderOff="-2">
                    <dgm:adjLst>
                      <dgm:adj idx="1" val="0.1"/>
                    </dgm:adjLst>
                  </dgm:shape>
                  <dgm:presOf axis="ch des" ptType="node node" st="2 1" cnt="1 0"/>
                  <dgm:constrLst/>
                  <dgm:ruleLst/>
                </dgm:layoutNode>
                <dgm:layoutNode name="child2Text" styleLbl="bgAcc1">
                  <dgm:varLst>
                    <dgm:bulletEnabled val="1"/>
                  </dgm:varLst>
                  <dgm:alg type="tx">
                    <dgm:param type="stBulletLvl" val="1"/>
                  </dgm:alg>
                  <dgm:shape xmlns:r="http://schemas.openxmlformats.org/officeDocument/2006/relationships" type="roundRect" r:blip="" zOrderOff="-2" hideGeom="1">
                    <dgm:adjLst>
                      <dgm:adj idx="1" val="0.1"/>
                    </dgm:adjLst>
                  </dgm:shape>
                  <dgm:presOf axis="ch des"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16"/>
          </dgm:choose>
          <dgm:choose name="Name17">
            <dgm:if name="Name18" axis="ch ch" ptType="node node" st="3 1" cnt="1 0" func="cnt" op="gte" val="1">
              <dgm:layoutNode name="child3group">
                <dgm:alg type="composite">
                  <dgm:param type="horzAlign" val="none"/>
                  <dgm:param type="vertAlign" val="none"/>
                </dgm:alg>
                <dgm:shape xmlns:r="http://schemas.openxmlformats.org/officeDocument/2006/relationships" r:blip="">
                  <dgm:adjLst/>
                </dgm:shape>
                <dgm:presOf/>
                <dgm:choose name="Name19">
                  <dgm:if name="Name20" func="var" arg="dir" op="equ" val="norm">
                    <dgm:constrLst>
                      <dgm:constr type="w" for="ch" forName="child3" refType="w"/>
                      <dgm:constr type="h" for="ch" forName="child3" refType="h"/>
                      <dgm:constr type="b" for="ch" forName="child3" refType="h"/>
                      <dgm:constr type="r" for="ch" forName="child3" refType="w"/>
                      <dgm:constr type="w" for="ch" forName="child3Text" refType="w" fact="0.7"/>
                      <dgm:constr type="h" for="ch" forName="child3Text" refType="h" fact="0.75"/>
                      <dgm:constr type="b" for="ch" forName="child3Text" refType="h"/>
                      <dgm:constr type="r" for="ch" forName="child3Text" refType="w"/>
                    </dgm:constrLst>
                  </dgm:if>
                  <dgm:else name="Name21">
                    <dgm:constrLst>
                      <dgm:constr type="w" for="ch" forName="child3" refType="w"/>
                      <dgm:constr type="h" for="ch" forName="child3" refType="h"/>
                      <dgm:constr type="b" for="ch" forName="child3" refType="h"/>
                      <dgm:constr type="l" for="ch" forName="child3"/>
                      <dgm:constr type="w" for="ch" forName="child3Text" refType="w" fact="0.7"/>
                      <dgm:constr type="h" for="ch" forName="child3Text" refType="h" fact="0.75"/>
                      <dgm:constr type="b" for="ch" forName="child3Text" refType="h"/>
                      <dgm:constr type="l" for="ch" forName="child3Text"/>
                    </dgm:constrLst>
                  </dgm:else>
                </dgm:choose>
                <dgm:ruleLst/>
                <dgm:layoutNode name="child3" styleLbl="bgAcc1">
                  <dgm:alg type="sp"/>
                  <dgm:shape xmlns:r="http://schemas.openxmlformats.org/officeDocument/2006/relationships" type="roundRect" r:blip="" zOrderOff="-4">
                    <dgm:adjLst>
                      <dgm:adj idx="1" val="0.1"/>
                    </dgm:adjLst>
                  </dgm:shape>
                  <dgm:presOf axis="ch des" ptType="node node" st="3 1" cnt="1 0"/>
                  <dgm:constrLst/>
                  <dgm:ruleLst/>
                </dgm:layoutNode>
                <dgm:layoutNode name="child3Text" styleLbl="bgAcc1">
                  <dgm:varLst>
                    <dgm:bulletEnabled val="1"/>
                  </dgm:varLst>
                  <dgm:alg type="tx">
                    <dgm:param type="stBulletLvl" val="1"/>
                  </dgm:alg>
                  <dgm:shape xmlns:r="http://schemas.openxmlformats.org/officeDocument/2006/relationships" type="roundRect" r:blip="" zOrderOff="-4" hideGeom="1">
                    <dgm:adjLst>
                      <dgm:adj idx="1" val="0.1"/>
                    </dgm:adjLst>
                  </dgm:shape>
                  <dgm:presOf axis="ch des" ptType="node node" st="3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22"/>
          </dgm:choose>
          <dgm:choose name="Name23">
            <dgm:if name="Name24" axis="ch ch" ptType="node node" st="4 1" cnt="1 0" func="cnt" op="gte" val="1">
              <dgm:layoutNode name="child4group">
                <dgm:alg type="composite">
                  <dgm:param type="horzAlign" val="none"/>
                  <dgm:param type="vertAlign" val="none"/>
                </dgm:alg>
                <dgm:shape xmlns:r="http://schemas.openxmlformats.org/officeDocument/2006/relationships" r:blip="">
                  <dgm:adjLst/>
                </dgm:shape>
                <dgm:presOf/>
                <dgm:choose name="Name25">
                  <dgm:if name="Name26" func="var" arg="dir" op="equ" val="norm">
                    <dgm:constrLst>
                      <dgm:constr type="w" for="ch" forName="child4" refType="w"/>
                      <dgm:constr type="h" for="ch" forName="child4" refType="h"/>
                      <dgm:constr type="b" for="ch" forName="child4" refType="h"/>
                      <dgm:constr type="l" for="ch" forName="child4"/>
                      <dgm:constr type="w" for="ch" forName="child4Text" refType="w" fact="0.7"/>
                      <dgm:constr type="h" for="ch" forName="child4Text" refType="h" fact="0.75"/>
                      <dgm:constr type="b" for="ch" forName="child4Text" refType="h"/>
                      <dgm:constr type="l" for="ch" forName="child4Text"/>
                    </dgm:constrLst>
                  </dgm:if>
                  <dgm:else name="Name27">
                    <dgm:constrLst>
                      <dgm:constr type="w" for="ch" forName="child4" refType="w"/>
                      <dgm:constr type="h" for="ch" forName="child4" refType="h"/>
                      <dgm:constr type="b" for="ch" forName="child4" refType="h"/>
                      <dgm:constr type="r" for="ch" forName="child4" refType="w"/>
                      <dgm:constr type="w" for="ch" forName="child4Text" refType="w" fact="0.7"/>
                      <dgm:constr type="h" for="ch" forName="child4Text" refType="h" fact="0.75"/>
                      <dgm:constr type="b" for="ch" forName="child4Text" refType="h"/>
                      <dgm:constr type="r" for="ch" forName="child4Text" refType="w"/>
                    </dgm:constrLst>
                  </dgm:else>
                </dgm:choose>
                <dgm:ruleLst/>
                <dgm:layoutNode name="child4" styleLbl="bgAcc1">
                  <dgm:alg type="sp"/>
                  <dgm:shape xmlns:r="http://schemas.openxmlformats.org/officeDocument/2006/relationships" type="roundRect" r:blip="" zOrderOff="-4">
                    <dgm:adjLst>
                      <dgm:adj idx="1" val="0.1"/>
                    </dgm:adjLst>
                  </dgm:shape>
                  <dgm:presOf axis="ch des" ptType="node node" st="4 1" cnt="1 0"/>
                  <dgm:constrLst/>
                  <dgm:ruleLst/>
                </dgm:layoutNode>
                <dgm:layoutNode name="child4Text" styleLbl="bgAcc1">
                  <dgm:varLst>
                    <dgm:bulletEnabled val="1"/>
                  </dgm:varLst>
                  <dgm:alg type="tx">
                    <dgm:param type="stBulletLvl" val="1"/>
                  </dgm:alg>
                  <dgm:shape xmlns:r="http://schemas.openxmlformats.org/officeDocument/2006/relationships" type="roundRect" r:blip="" zOrderOff="-4" hideGeom="1">
                    <dgm:adjLst>
                      <dgm:adj idx="1" val="0.1"/>
                    </dgm:adjLst>
                  </dgm:shape>
                  <dgm:presOf axis="ch des" ptType="node node" st="4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28"/>
          </dgm:choose>
          <dgm:layoutNode name="childPlaceholder">
            <dgm:alg type="sp"/>
            <dgm:shape xmlns:r="http://schemas.openxmlformats.org/officeDocument/2006/relationships" r:blip="">
              <dgm:adjLst/>
            </dgm:shape>
            <dgm:presOf/>
            <dgm:constrLst/>
            <dgm:ruleLst/>
          </dgm:layoutNode>
        </dgm:layoutNode>
        <dgm:layoutNode name="circle">
          <dgm:alg type="composite">
            <dgm:param type="ar" val="1"/>
          </dgm:alg>
          <dgm:shape xmlns:r="http://schemas.openxmlformats.org/officeDocument/2006/relationships" r:blip="">
            <dgm:adjLst/>
          </dgm:shape>
          <dgm:presOf/>
          <dgm:choose name="Name29">
            <dgm:if name="Name30" func="var" arg="dir" op="equ" val="norm">
              <dgm:constrLst>
                <dgm:constr type="primFontSz" for="ch" ptType="node" op="equ" val="65"/>
                <dgm:constr type="w" for="ch" forName="quadrant1" refType="w" fact="0.433"/>
                <dgm:constr type="h" for="ch" forName="quadrant1" refType="h" fact="0.433"/>
                <dgm:constr type="b" for="ch" forName="quadrant1" refType="h" fact="0.5"/>
                <dgm:constr type="bOff" for="ch" forName="quadrant1" refType="h" fact="-0.01"/>
                <dgm:constr type="r" for="ch" forName="quadrant1" refType="w" fact="0.5"/>
                <dgm:constr type="rOff" for="ch" forName="quadrant1" refType="w" fact="-0.01"/>
                <dgm:constr type="w" for="ch" forName="quadrant2" refType="w" fact="0.433"/>
                <dgm:constr type="h" for="ch" forName="quadrant2" refType="h" fact="0.433"/>
                <dgm:constr type="b" for="ch" forName="quadrant2" refType="h" fact="0.5"/>
                <dgm:constr type="bOff" for="ch" forName="quadrant2" refType="h" fact="-0.01"/>
                <dgm:constr type="l" for="ch" forName="quadrant2" refType="w" fact="0.5"/>
                <dgm:constr type="lOff" for="ch" forName="quadrant2" refType="w" fact="0.01"/>
                <dgm:constr type="w" for="ch" forName="quadrant3" refType="w" fact="0.433"/>
                <dgm:constr type="h" for="ch" forName="quadrant3" refType="h" fact="0.433"/>
                <dgm:constr type="t" for="ch" forName="quadrant3" refType="h" fact="0.5"/>
                <dgm:constr type="tOff" for="ch" forName="quadrant3" refType="h" fact="0.01"/>
                <dgm:constr type="l" for="ch" forName="quadrant3" refType="w" fact="0.5"/>
                <dgm:constr type="lOff" for="ch" forName="quadrant3" refType="w" fact="0.01"/>
                <dgm:constr type="w" for="ch" forName="quadrant4" refType="w" fact="0.433"/>
                <dgm:constr type="h" for="ch" forName="quadrant4" refType="h" fact="0.433"/>
                <dgm:constr type="t" for="ch" forName="quadrant4" refType="h" fact="0.5"/>
                <dgm:constr type="tOff" for="ch" forName="quadrant4" refType="h" fact="0.01"/>
                <dgm:constr type="r" for="ch" forName="quadrant4" refType="w" fact="0.5"/>
                <dgm:constr type="rOff" for="ch" forName="quadrant4" refType="w" fact="-0.01"/>
              </dgm:constrLst>
            </dgm:if>
            <dgm:else name="Name31">
              <dgm:constrLst>
                <dgm:constr type="primFontSz" for="ch" ptType="node" op="equ" val="65"/>
                <dgm:constr type="w" for="ch" forName="quadrant1" refType="w" fact="0.433"/>
                <dgm:constr type="h" for="ch" forName="quadrant1" refType="h" fact="0.433"/>
                <dgm:constr type="b" for="ch" forName="quadrant1" refType="h" fact="0.5"/>
                <dgm:constr type="bOff" for="ch" forName="quadrant1" refType="h" fact="-0.01"/>
                <dgm:constr type="l" for="ch" forName="quadrant1" refType="w" fact="0.5"/>
                <dgm:constr type="lOff" for="ch" forName="quadrant1" refType="w" fact="0.01"/>
                <dgm:constr type="w" for="ch" forName="quadrant2" refType="w" fact="0.433"/>
                <dgm:constr type="h" for="ch" forName="quadrant2" refType="h" fact="0.433"/>
                <dgm:constr type="b" for="ch" forName="quadrant2" refType="h" fact="0.5"/>
                <dgm:constr type="bOff" for="ch" forName="quadrant2" refType="h" fact="-0.01"/>
                <dgm:constr type="r" for="ch" forName="quadrant2" refType="w" fact="0.5"/>
                <dgm:constr type="rOff" for="ch" forName="quadrant2" refType="w" fact="-0.01"/>
                <dgm:constr type="w" for="ch" forName="quadrant3" refType="w" fact="0.433"/>
                <dgm:constr type="h" for="ch" forName="quadrant3" refType="h" fact="0.433"/>
                <dgm:constr type="t" for="ch" forName="quadrant3" refType="h" fact="0.5"/>
                <dgm:constr type="tOff" for="ch" forName="quadrant3" refType="h" fact="0.01"/>
                <dgm:constr type="r" for="ch" forName="quadrant3" refType="w" fact="0.5"/>
                <dgm:constr type="rOff" for="ch" forName="quadrant3" refType="w" fact="-0.01"/>
                <dgm:constr type="w" for="ch" forName="quadrant4" refType="w" fact="0.433"/>
                <dgm:constr type="h" for="ch" forName="quadrant4" refType="h" fact="0.433"/>
                <dgm:constr type="t" for="ch" forName="quadrant4" refType="h" fact="0.5"/>
                <dgm:constr type="tOff" for="ch" forName="quadrant4" refType="h" fact="0.01"/>
                <dgm:constr type="l" for="ch" forName="quadrant4" refType="w" fact="0.5"/>
                <dgm:constr type="lOff" for="ch" forName="quadrant4" refType="w" fact="0.01"/>
              </dgm:constrLst>
            </dgm:else>
          </dgm:choose>
          <dgm:ruleLst/>
          <dgm:layoutNode name="quadrant1" styleLbl="node1">
            <dgm:varLst>
              <dgm:chMax val="1"/>
              <dgm:bulletEnabled val="1"/>
            </dgm:varLst>
            <dgm:alg type="tx"/>
            <dgm:choose name="Name32">
              <dgm:if name="Name33" func="var" arg="dir" op="equ" val="norm">
                <dgm:shape xmlns:r="http://schemas.openxmlformats.org/officeDocument/2006/relationships" type="pieWedge" r:blip="">
                  <dgm:adjLst/>
                </dgm:shape>
              </dgm:if>
              <dgm:else name="Name34">
                <dgm:shape xmlns:r="http://schemas.openxmlformats.org/officeDocument/2006/relationships" rot="90" type="pieWedge" r:blip="">
                  <dgm:adjLst/>
                </dgm:shape>
              </dgm:else>
            </dgm:choose>
            <dgm:presOf axis="ch" ptType="node" cnt="1"/>
            <dgm:constrLst/>
            <dgm:ruleLst>
              <dgm:rule type="primFontSz" val="5" fact="NaN" max="NaN"/>
            </dgm:ruleLst>
          </dgm:layoutNode>
          <dgm:layoutNode name="quadrant2" styleLbl="node1">
            <dgm:varLst>
              <dgm:chMax val="1"/>
              <dgm:bulletEnabled val="1"/>
            </dgm:varLst>
            <dgm:alg type="tx"/>
            <dgm:choose name="Name35">
              <dgm:if name="Name36" func="var" arg="dir" op="equ" val="norm">
                <dgm:shape xmlns:r="http://schemas.openxmlformats.org/officeDocument/2006/relationships" rot="90" type="pieWedge" r:blip="">
                  <dgm:adjLst/>
                </dgm:shape>
              </dgm:if>
              <dgm:else name="Name37">
                <dgm:shape xmlns:r="http://schemas.openxmlformats.org/officeDocument/2006/relationships" type="pieWedge" r:blip="">
                  <dgm:adjLst/>
                </dgm:shape>
              </dgm:else>
            </dgm:choose>
            <dgm:presOf axis="ch" ptType="node" st="2" cnt="1"/>
            <dgm:constrLst/>
            <dgm:ruleLst>
              <dgm:rule type="primFontSz" val="5" fact="NaN" max="NaN"/>
            </dgm:ruleLst>
          </dgm:layoutNode>
          <dgm:layoutNode name="quadrant3" styleLbl="node1">
            <dgm:varLst>
              <dgm:chMax val="1"/>
              <dgm:bulletEnabled val="1"/>
            </dgm:varLst>
            <dgm:alg type="tx"/>
            <dgm:choose name="Name38">
              <dgm:if name="Name39" func="var" arg="dir" op="equ" val="norm">
                <dgm:shape xmlns:r="http://schemas.openxmlformats.org/officeDocument/2006/relationships" rot="180" type="pieWedge" r:blip="">
                  <dgm:adjLst/>
                </dgm:shape>
              </dgm:if>
              <dgm:else name="Name40">
                <dgm:shape xmlns:r="http://schemas.openxmlformats.org/officeDocument/2006/relationships" rot="270" type="pieWedge" r:blip="">
                  <dgm:adjLst/>
                </dgm:shape>
              </dgm:else>
            </dgm:choose>
            <dgm:presOf axis="ch" ptType="node" st="3" cnt="1"/>
            <dgm:constrLst/>
            <dgm:ruleLst>
              <dgm:rule type="primFontSz" val="5" fact="NaN" max="NaN"/>
            </dgm:ruleLst>
          </dgm:layoutNode>
          <dgm:layoutNode name="quadrant4" styleLbl="node1">
            <dgm:varLst>
              <dgm:chMax val="1"/>
              <dgm:bulletEnabled val="1"/>
            </dgm:varLst>
            <dgm:alg type="tx"/>
            <dgm:choose name="Name41">
              <dgm:if name="Name42" func="var" arg="dir" op="equ" val="norm">
                <dgm:shape xmlns:r="http://schemas.openxmlformats.org/officeDocument/2006/relationships" rot="270" type="pieWedge" r:blip="">
                  <dgm:adjLst/>
                </dgm:shape>
              </dgm:if>
              <dgm:else name="Name43">
                <dgm:shape xmlns:r="http://schemas.openxmlformats.org/officeDocument/2006/relationships" rot="180" type="pieWedge" r:blip="">
                  <dgm:adjLst/>
                </dgm:shape>
              </dgm:else>
            </dgm:choose>
            <dgm:presOf axis="ch" ptType="node" st="4" cnt="1"/>
            <dgm:constrLst/>
            <dgm:ruleLst>
              <dgm:rule type="primFontSz" val="5" fact="NaN" max="NaN"/>
            </dgm:ruleLst>
          </dgm:layoutNode>
          <dgm:layoutNode name="quadrantPlaceholder">
            <dgm:alg type="sp"/>
            <dgm:shape xmlns:r="http://schemas.openxmlformats.org/officeDocument/2006/relationships" r:blip="">
              <dgm:adjLst/>
            </dgm:shape>
            <dgm:presOf/>
            <dgm:constrLst/>
            <dgm:ruleLst/>
          </dgm:layoutNode>
        </dgm:layoutNode>
        <dgm:layoutNode name="center1" styleLbl="fgShp">
          <dgm:alg type="sp"/>
          <dgm:choose name="Name44">
            <dgm:if name="Name45" func="var" arg="dir" op="equ" val="norm">
              <dgm:shape xmlns:r="http://schemas.openxmlformats.org/officeDocument/2006/relationships" type="circularArrow" r:blip="" zOrderOff="16">
                <dgm:adjLst/>
              </dgm:shape>
            </dgm:if>
            <dgm:else name="Name46">
              <dgm:shape xmlns:r="http://schemas.openxmlformats.org/officeDocument/2006/relationships" rot="180" type="leftCircularArrow" r:blip="" zOrderOff="16">
                <dgm:adjLst/>
              </dgm:shape>
            </dgm:else>
          </dgm:choose>
          <dgm:presOf/>
          <dgm:constrLst/>
          <dgm:ruleLst/>
        </dgm:layoutNode>
        <dgm:layoutNode name="center2" styleLbl="fgShp">
          <dgm:alg type="sp"/>
          <dgm:choose name="Name47">
            <dgm:if name="Name48" func="var" arg="dir" op="equ" val="norm">
              <dgm:shape xmlns:r="http://schemas.openxmlformats.org/officeDocument/2006/relationships" rot="180" type="circularArrow" r:blip="" zOrderOff="16">
                <dgm:adjLst/>
              </dgm:shape>
            </dgm:if>
            <dgm:else name="Name49">
              <dgm:shape xmlns:r="http://schemas.openxmlformats.org/officeDocument/2006/relationships" type="leftCircularArrow" r:blip="" zOrderOff="16">
                <dgm:adjLst/>
              </dgm:shape>
            </dgm:else>
          </dgm:choose>
          <dgm:presOf/>
          <dgm:constrLst/>
          <dgm:ruleLst/>
        </dgm:layoutNode>
      </dgm:if>
      <dgm:else name="Name50"/>
    </dgm:choose>
  </dgm:layoutNode>
</dgm:layoutDef>
</file>

<file path=word/diagrams/layout3.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9/3/layout/HorizontalOrganizationChart">
  <dgm:title val=""/>
  <dgm:desc val=""/>
  <dgm:catLst>
    <dgm:cat type="hierarchy" pri="43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305"/>
      <dgm:constr type="w" for="des" forName="rootComposite" refType="w" fact="10"/>
      <dgm:constr type="h" for="des" forName="rootComposite" refType="w" refFor="des" refForName="rootComposite1" fact="0.305"/>
      <dgm:constr type="w" for="des" forName="rootComposite3" refType="w" fact="10"/>
      <dgm:constr type="h" for="des" forName="rootComposite3" refType="w" refFor="des" refForName="rootComposite1" fact="0.305"/>
      <dgm:constr type="primFontSz" for="des" ptType="node" op="equ"/>
      <dgm:constr type="sp" for="des" op="equ"/>
      <dgm:constr type="sp" for="des" forName="hierRoot1" refType="w" refFor="des" refForName="rootComposite1" fact="0.2"/>
      <dgm:constr type="sp" for="des" forName="hierRoot2" refType="sp" refFor="des" refForName="hierRoot1"/>
      <dgm:constr type="sp" for="des" forName="hierRoot3" refType="sp" refFor="des" refForName="hierRoot1"/>
      <dgm:constr type="sibSp" refType="w" refFor="des" refForName="rootComposite1" fact="0.125"/>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125"/>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func="var" arg="dir" op="equ" val="norm">
                  <dgm:alg type="hierRoot">
                    <dgm:param type="hierAlign" val="lT"/>
                  </dgm:alg>
                  <dgm:constrLst>
                    <dgm:constr type="alignOff" val="0.75"/>
                  </dgm:constrLst>
                </dgm:if>
                <dgm:else name="Name9">
                  <dgm:alg type="hierRoot">
                    <dgm:param type="hierAlign" val="rT"/>
                  </dgm:alg>
                  <dgm:constrLst>
                    <dgm:constr type="alignOff" val="0.75"/>
                  </dgm:constrLst>
                </dgm:else>
              </dgm:choose>
            </dgm:if>
            <dgm:if name="Name10" func="var" arg="hierBranch" op="equ" val="r">
              <dgm:choose name="Name11">
                <dgm:if name="Name12" func="var" arg="dir" op="equ" val="norm">
                  <dgm:alg type="hierRoot">
                    <dgm:param type="hierAlign" val="lB"/>
                  </dgm:alg>
                  <dgm:constrLst>
                    <dgm:constr type="alignOff" val="0.75"/>
                  </dgm:constrLst>
                </dgm:if>
                <dgm:else name="Name13">
                  <dgm:alg type="hierRoot">
                    <dgm:param type="hierAlign" val="rB"/>
                  </dgm:alg>
                  <dgm:constrLst>
                    <dgm:constr type="alignOff" val="0.75"/>
                  </dgm:constrLst>
                </dgm:else>
              </dgm:choose>
            </dgm:if>
            <dgm:if name="Name14" func="var" arg="hierBranch" op="equ" val="hang">
              <dgm:choose name="Name15">
                <dgm:if name="Name16" func="var" arg="dir" op="equ" val="norm">
                  <dgm:alg type="hierRoot">
                    <dgm:param type="hierAlign" val="lCtrCh"/>
                  </dgm:alg>
                  <dgm:constrLst>
                    <dgm:constr type="alignOff" val="0.65"/>
                  </dgm:constrLst>
                </dgm:if>
                <dgm:else name="Name17">
                  <dgm:alg type="hierRoot">
                    <dgm:param type="hierAlign" val="rCtrCh"/>
                  </dgm:alg>
                  <dgm:constrLst>
                    <dgm:constr type="alignOff" val="0.65"/>
                  </dgm:constrLst>
                </dgm:else>
              </dgm:choose>
            </dgm:if>
            <dgm:else name="Name18">
              <dgm:choose name="Name19">
                <dgm:if name="Name20" func="var" arg="dir" op="equ" val="norm">
                  <dgm:alg type="hierRoot">
                    <dgm:param type="hierAlign" val="lCtrCh"/>
                  </dgm:alg>
                  <dgm:constrLst>
                    <dgm:constr type="alignOff"/>
                    <dgm:constr type="bendDist" for="des" ptType="parTrans" refType="sp" fact="0.5"/>
                  </dgm:constrLst>
                </dgm:if>
                <dgm:else name="Name21">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22">
              <dgm:if name="Name23"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24"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25"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6">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7">
              <dgm:if name="Name28" func="var" arg="hierBranch" op="equ" val="l">
                <dgm:choose name="Name29">
                  <dgm:if name="Name30" func="var" arg="dir" op="equ" val="norm">
                    <dgm:alg type="hierChild">
                      <dgm:param type="chAlign" val="t"/>
                      <dgm:param type="linDir" val="fromL"/>
                    </dgm:alg>
                  </dgm:if>
                  <dgm:else name="Name31">
                    <dgm:alg type="hierChild">
                      <dgm:param type="chAlign" val="t"/>
                      <dgm:param type="linDir" val="fromR"/>
                    </dgm:alg>
                  </dgm:else>
                </dgm:choose>
              </dgm:if>
              <dgm:if name="Name32" func="var" arg="hierBranch" op="equ" val="r">
                <dgm:choose name="Name33">
                  <dgm:if name="Name34" func="var" arg="dir" op="equ" val="norm">
                    <dgm:alg type="hierChild">
                      <dgm:param type="chAlign" val="b"/>
                      <dgm:param type="linDir" val="fromL"/>
                    </dgm:alg>
                  </dgm:if>
                  <dgm:else name="Name35">
                    <dgm:alg type="hierChild">
                      <dgm:param type="chAlign" val="b"/>
                      <dgm:param type="linDir" val="fromR"/>
                    </dgm:alg>
                  </dgm:else>
                </dgm:choose>
              </dgm:if>
              <dgm:if name="Name36" func="var" arg="hierBranch" op="equ" val="hang">
                <dgm:choose name="Name37">
                  <dgm:if name="Name38" func="var" arg="dir" op="equ" val="norm">
                    <dgm:alg type="hierChild">
                      <dgm:param type="chAlign" val="l"/>
                      <dgm:param type="linDir" val="fromT"/>
                      <dgm:param type="secChAlign" val="t"/>
                      <dgm:param type="secLinDir" val="fromL"/>
                    </dgm:alg>
                  </dgm:if>
                  <dgm:else name="Name39">
                    <dgm:alg type="hierChild">
                      <dgm:param type="chAlign" val="r"/>
                      <dgm:param type="linDir" val="fromT"/>
                      <dgm:param type="secChAlign" val="t"/>
                      <dgm:param type="secLinDir" val="fromR"/>
                    </dgm:alg>
                  </dgm:else>
                </dgm:choose>
              </dgm:if>
              <dgm:else name="Name40">
                <dgm:choose name="Name41">
                  <dgm:if name="Name42" func="var" arg="dir" op="equ" val="norm">
                    <dgm:alg type="hierChild">
                      <dgm:param type="linDir" val="fromT"/>
                      <dgm:param type="chAlign" val="l"/>
                    </dgm:alg>
                  </dgm:if>
                  <dgm:else name="Name43">
                    <dgm:alg type="hierChild">
                      <dgm:param type="linDir" val="fromT"/>
                      <dgm:param type="chAlign" val="r"/>
                    </dgm:alg>
                  </dgm:else>
                </dgm:choose>
              </dgm:else>
            </dgm:choose>
            <dgm:shape xmlns:r="http://schemas.openxmlformats.org/officeDocument/2006/relationships" r:blip="">
              <dgm:adjLst/>
            </dgm:shape>
            <dgm:presOf/>
            <dgm:constrLst/>
            <dgm:ruleLst/>
            <dgm:forEach name="rep2a" axis="ch" ptType="nonAsst">
              <dgm:forEach name="Name44" axis="precedSib" ptType="parTrans" st="-1" cnt="1">
                <dgm:choose name="Name45">
                  <dgm:if name="Name46" func="var" arg="hierBranch" op="equ" val="hang">
                    <dgm:layoutNode name="Name47">
                      <dgm:choose name="Name48">
                        <dgm:if name="Name49" func="var" arg="dir" op="equ" val="norm">
                          <dgm:alg type="conn">
                            <dgm:param type="connRout" val="bend"/>
                            <dgm:param type="dim" val="1D"/>
                            <dgm:param type="endSty" val="noArr"/>
                            <dgm:param type="begPts" val="midR"/>
                            <dgm:param type="endPts" val="bCtr tCtr"/>
                          </dgm:alg>
                        </dgm:if>
                        <dgm:else name="Name50">
                          <dgm:alg type="conn">
                            <dgm:param type="connRout" val="bend"/>
                            <dgm:param type="dim" val="1D"/>
                            <dgm:param type="endSty" val="noArr"/>
                            <dgm:param type="begPts" val="midL"/>
                            <dgm:param type="endPts" val="bCtr tCtr"/>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51" func="var" arg="hierBranch" op="equ" val="l">
                    <dgm:layoutNode name="Name52">
                      <dgm:choose name="Name53">
                        <dgm:if name="Name54" func="var" arg="dir" op="equ" val="norm">
                          <dgm:alg type="conn">
                            <dgm:param type="connRout" val="bend"/>
                            <dgm:param type="dim" val="1D"/>
                            <dgm:param type="endSty" val="noArr"/>
                            <dgm:param type="begPts" val="midR"/>
                            <dgm:param type="endPts" val="tCtr"/>
                          </dgm:alg>
                        </dgm:if>
                        <dgm:else name="Name55">
                          <dgm:alg type="conn">
                            <dgm:param type="connRout" val="bend"/>
                            <dgm:param type="dim" val="1D"/>
                            <dgm:param type="endSty" val="noArr"/>
                            <dgm:param type="begPts" val="midL"/>
                            <dgm:param type="endPts" val="tCtr"/>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56" func="var" arg="hierBranch" op="equ" val="r">
                    <dgm:layoutNode name="Name57">
                      <dgm:choose name="Name58">
                        <dgm:if name="Name59" func="var" arg="dir" op="equ" val="norm">
                          <dgm:alg type="conn">
                            <dgm:param type="connRout" val="bend"/>
                            <dgm:param type="dim" val="1D"/>
                            <dgm:param type="endSty" val="noArr"/>
                            <dgm:param type="begPts" val="midR"/>
                            <dgm:param type="endPts" val="bCtr"/>
                          </dgm:alg>
                        </dgm:if>
                        <dgm:else name="Name60">
                          <dgm:alg type="conn">
                            <dgm:param type="connRout" val="bend"/>
                            <dgm:param type="dim" val="1D"/>
                            <dgm:param type="endSty" val="noArr"/>
                            <dgm:param type="begPts" val="midL"/>
                            <dgm:param type="endPts" val="bCtr"/>
                          </dgm:alg>
                        </dgm:else>
                      </dgm:choose>
                      <dgm:shape xmlns:r="http://schemas.openxmlformats.org/officeDocument/2006/relationships" type="conn" r:blip="" zOrderOff="-99999">
                        <dgm:adjLst/>
                      </dgm:shape>
                      <dgm:presOf axis="self"/>
                      <dgm:constrLst>
                        <dgm:constr type="begPad"/>
                        <dgm:constr type="endPad"/>
                      </dgm:constrLst>
                      <dgm:ruleLst/>
                    </dgm:layoutNode>
                  </dgm:if>
                  <dgm:else name="Name61">
                    <dgm:choose name="Name62">
                      <dgm:if name="Name63" func="var" arg="dir" op="equ" val="norm">
                        <dgm:layoutNode name="Name64">
                          <dgm:alg type="conn">
                            <dgm:param type="connRout" val="bend"/>
                            <dgm:param type="dim" val="1D"/>
                            <dgm:param type="endSty" val="noArr"/>
                            <dgm:param type="begPts" val="midR"/>
                            <dgm:param type="endPts" val="midL"/>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else name="Name65">
                        <dgm:layoutNode name="Name66">
                          <dgm:alg type="conn">
                            <dgm:param type="connRout" val="bend"/>
                            <dgm:param type="dim" val="1D"/>
                            <dgm:param type="endSty" val="noArr"/>
                            <dgm:param type="begPts" val="midL"/>
                            <dgm:param type="endPts" val="midR"/>
                            <dgm:param type="bendPt" val="end"/>
                          </dgm:alg>
                          <dgm:shape xmlns:r="http://schemas.openxmlformats.org/officeDocument/2006/relationships" type="conn" r:blip="" zOrderOff="-99999">
                            <dgm:adjLst/>
                          </dgm:shape>
                          <dgm:presOf axis="self"/>
                          <dgm:constrLst>
                            <dgm:constr type="begPad"/>
                            <dgm:constr type="endPad"/>
                          </dgm:constrLst>
                          <dgm:ruleLst/>
                        </dgm:layoutNode>
                      </dgm:else>
                    </dgm:choose>
                  </dgm:else>
                </dgm:choose>
              </dgm:forEach>
              <dgm:layoutNode name="hierRoot2">
                <dgm:varLst>
                  <dgm:hierBranch val="init"/>
                </dgm:varLst>
                <dgm:choose name="Name67">
                  <dgm:if name="Name68" func="var" arg="hierBranch" op="equ" val="l">
                    <dgm:choose name="Name69">
                      <dgm:if name="Name70" func="var" arg="dir" op="equ" val="norm">
                        <dgm:alg type="hierRoot">
                          <dgm:param type="hierAlign" val="lT"/>
                        </dgm:alg>
                        <dgm:constrLst>
                          <dgm:constr type="alignOff" val="0.75"/>
                        </dgm:constrLst>
                      </dgm:if>
                      <dgm:else name="Name71">
                        <dgm:alg type="hierRoot">
                          <dgm:param type="hierAlign" val="rT"/>
                        </dgm:alg>
                        <dgm:constrLst>
                          <dgm:constr type="alignOff" val="0.75"/>
                        </dgm:constrLst>
                      </dgm:else>
                    </dgm:choose>
                  </dgm:if>
                  <dgm:if name="Name72" func="var" arg="hierBranch" op="equ" val="r">
                    <dgm:choose name="Name73">
                      <dgm:if name="Name74" func="var" arg="dir" op="equ" val="norm">
                        <dgm:alg type="hierRoot">
                          <dgm:param type="hierAlign" val="lB"/>
                        </dgm:alg>
                        <dgm:constrLst>
                          <dgm:constr type="alignOff" val="0.75"/>
                        </dgm:constrLst>
                      </dgm:if>
                      <dgm:else name="Name75">
                        <dgm:alg type="hierRoot">
                          <dgm:param type="hierAlign" val="rB"/>
                        </dgm:alg>
                        <dgm:constrLst>
                          <dgm:constr type="alignOff" val="0.75"/>
                        </dgm:constrLst>
                      </dgm:else>
                    </dgm:choose>
                  </dgm:if>
                  <dgm:if name="Name76" func="var" arg="hierBranch" op="equ" val="hang">
                    <dgm:choose name="Name77">
                      <dgm:if name="Name78" func="var" arg="dir" op="equ" val="norm">
                        <dgm:alg type="hierRoot">
                          <dgm:param type="hierAlign" val="lCtrCh"/>
                        </dgm:alg>
                        <dgm:constrLst>
                          <dgm:constr type="alignOff" val="0.65"/>
                        </dgm:constrLst>
                      </dgm:if>
                      <dgm:else name="Name79">
                        <dgm:alg type="hierRoot">
                          <dgm:param type="hierAlign" val="rCtrCh"/>
                        </dgm:alg>
                        <dgm:constrLst>
                          <dgm:constr type="alignOff" val="0.65"/>
                        </dgm:constrLst>
                      </dgm:else>
                    </dgm:choose>
                  </dgm:if>
                  <dgm:else name="Name80">
                    <dgm:choose name="Name81">
                      <dgm:if name="Name82" func="var" arg="dir" op="equ" val="norm">
                        <dgm:alg type="hierRoot">
                          <dgm:param type="hierAlign" val="lCtrCh"/>
                        </dgm:alg>
                        <dgm:constrLst>
                          <dgm:constr type="alignOff"/>
                          <dgm:constr type="bendDist" for="des" ptType="parTrans" refType="sp" fact="0.5"/>
                        </dgm:constrLst>
                      </dgm:if>
                      <dgm:else name="Name83">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
                  <dgm:alg type="composite"/>
                  <dgm:shape xmlns:r="http://schemas.openxmlformats.org/officeDocument/2006/relationships" r:blip="">
                    <dgm:adjLst/>
                  </dgm:shape>
                  <dgm:presOf axis="self" ptType="node" cnt="1"/>
                  <dgm:choose name="Name84">
                    <dgm:if name="Name85"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6"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7"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8">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9">
                    <dgm:if name="Name90" func="var" arg="hierBranch" op="equ" val="l">
                      <dgm:choose name="Name91">
                        <dgm:if name="Name92" func="var" arg="dir" op="equ" val="norm">
                          <dgm:alg type="hierChild">
                            <dgm:param type="chAlign" val="t"/>
                            <dgm:param type="linDir" val="fromL"/>
                          </dgm:alg>
                        </dgm:if>
                        <dgm:else name="Name93">
                          <dgm:alg type="hierChild">
                            <dgm:param type="chAlign" val="t"/>
                            <dgm:param type="linDir" val="fromR"/>
                          </dgm:alg>
                        </dgm:else>
                      </dgm:choose>
                    </dgm:if>
                    <dgm:if name="Name94" func="var" arg="hierBranch" op="equ" val="r">
                      <dgm:choose name="Name95">
                        <dgm:if name="Name96" func="var" arg="dir" op="equ" val="norm">
                          <dgm:alg type="hierChild">
                            <dgm:param type="chAlign" val="b"/>
                            <dgm:param type="linDir" val="fromL"/>
                          </dgm:alg>
                        </dgm:if>
                        <dgm:else name="Name97">
                          <dgm:alg type="hierChild">
                            <dgm:param type="chAlign" val="b"/>
                            <dgm:param type="linDir" val="fromR"/>
                          </dgm:alg>
                        </dgm:else>
                      </dgm:choose>
                    </dgm:if>
                    <dgm:if name="Name98" func="var" arg="hierBranch" op="equ" val="hang">
                      <dgm:choose name="Name99">
                        <dgm:if name="Name100" func="var" arg="dir" op="equ" val="norm">
                          <dgm:alg type="hierChild">
                            <dgm:param type="chAlign" val="l"/>
                            <dgm:param type="linDir" val="fromT"/>
                            <dgm:param type="secChAlign" val="t"/>
                            <dgm:param type="secLinDir" val="fromL"/>
                          </dgm:alg>
                        </dgm:if>
                        <dgm:else name="Name101">
                          <dgm:alg type="hierChild">
                            <dgm:param type="chAlign" val="r"/>
                            <dgm:param type="linDir" val="fromT"/>
                            <dgm:param type="secChAlign" val="t"/>
                            <dgm:param type="secLinDir" val="fromR"/>
                          </dgm:alg>
                        </dgm:else>
                      </dgm:choose>
                    </dgm:if>
                    <dgm:else name="Name102">
                      <dgm:choose name="Name103">
                        <dgm:if name="Name104" func="var" arg="dir" op="equ" val="norm">
                          <dgm:alg type="hierChild">
                            <dgm:param type="linDir" val="fromT"/>
                            <dgm:param type="chAlign" val="l"/>
                          </dgm:alg>
                        </dgm:if>
                        <dgm:else name="Name105">
                          <dgm:alg type="hierChild">
                            <dgm:param type="linDir" val="fromT"/>
                            <dgm:param type="chAlign" val="r"/>
                          </dgm:alg>
                        </dgm:else>
                      </dgm:choose>
                    </dgm:else>
                  </dgm:choose>
                  <dgm:shape xmlns:r="http://schemas.openxmlformats.org/officeDocument/2006/relationships" r:blip="">
                    <dgm:adjLst/>
                  </dgm:shape>
                  <dgm:presOf/>
                  <dgm:constrLst/>
                  <dgm:ruleLst/>
                  <dgm:forEach name="Name106" ref="rep2a"/>
                </dgm:layoutNode>
                <dgm:layoutNode name="hierChild5">
                  <dgm:choose name="Name107">
                    <dgm:if name="Name108" func="var" arg="dir" op="equ" val="norm">
                      <dgm:alg type="hierChild">
                        <dgm:param type="chAlign" val="l"/>
                        <dgm:param type="linDir" val="fromT"/>
                        <dgm:param type="secChAlign" val="t"/>
                        <dgm:param type="secLinDir" val="fromL"/>
                      </dgm:alg>
                    </dgm:if>
                    <dgm:else name="Name109">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Name110" ref="rep2b"/>
                </dgm:layoutNode>
              </dgm:layoutNode>
            </dgm:forEach>
          </dgm:layoutNode>
          <dgm:layoutNode name="hierChild3">
            <dgm:choose name="Name111">
              <dgm:if name="Name112" func="var" arg="dir" op="equ" val="norm">
                <dgm:alg type="hierChild">
                  <dgm:param type="chAlign" val="l"/>
                  <dgm:param type="linDir" val="fromT"/>
                  <dgm:param type="secChAlign" val="t"/>
                  <dgm:param type="secLinDir" val="fromL"/>
                </dgm:alg>
              </dgm:if>
              <dgm:else name="Name113">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rep2b" axis="ch" ptType="asst">
              <dgm:forEach name="Name114" axis="precedSib" ptType="parTrans" st="-1" cnt="1">
                <dgm:layoutNode name="Name115">
                  <dgm:choose name="Name116">
                    <dgm:if name="Name117" func="var" arg="dir" op="equ" val="norm">
                      <dgm:alg type="conn">
                        <dgm:param type="connRout" val="bend"/>
                        <dgm:param type="dim" val="1D"/>
                        <dgm:param type="endSty" val="noArr"/>
                        <dgm:param type="begPts" val="midR"/>
                        <dgm:param type="endPts" val="bCtr tCtr"/>
                      </dgm:alg>
                    </dgm:if>
                    <dgm:else name="Name118">
                      <dgm:alg type="conn">
                        <dgm:param type="connRout" val="bend"/>
                        <dgm:param type="dim" val="1D"/>
                        <dgm:param type="endSty" val="noArr"/>
                        <dgm:param type="begPts" val="midL"/>
                        <dgm:param type="endPts" val="bCtr tCtr"/>
                      </dgm:alg>
                    </dgm:else>
                  </dgm:choose>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9">
                  <dgm:if name="Name120" func="var" arg="hierBranch" op="equ" val="l">
                    <dgm:choose name="Name121">
                      <dgm:if name="Name122" func="var" arg="dir" op="equ" val="norm">
                        <dgm:alg type="hierRoot">
                          <dgm:param type="hierAlign" val="lT"/>
                        </dgm:alg>
                        <dgm:constrLst>
                          <dgm:constr type="alignOff" val="0.75"/>
                        </dgm:constrLst>
                      </dgm:if>
                      <dgm:else name="Name123">
                        <dgm:alg type="hierRoot">
                          <dgm:param type="hierAlign" val="rT"/>
                        </dgm:alg>
                        <dgm:constrLst>
                          <dgm:constr type="alignOff" val="0.75"/>
                        </dgm:constrLst>
                      </dgm:else>
                    </dgm:choose>
                  </dgm:if>
                  <dgm:if name="Name124" func="var" arg="hierBranch" op="equ" val="r">
                    <dgm:choose name="Name125">
                      <dgm:if name="Name126" func="var" arg="dir" op="equ" val="norm">
                        <dgm:alg type="hierRoot">
                          <dgm:param type="hierAlign" val="lB"/>
                        </dgm:alg>
                        <dgm:constrLst>
                          <dgm:constr type="alignOff" val="0.75"/>
                        </dgm:constrLst>
                      </dgm:if>
                      <dgm:else name="Name127">
                        <dgm:alg type="hierRoot">
                          <dgm:param type="hierAlign" val="rB"/>
                        </dgm:alg>
                        <dgm:constrLst>
                          <dgm:constr type="alignOff" val="0.75"/>
                        </dgm:constrLst>
                      </dgm:else>
                    </dgm:choose>
                  </dgm:if>
                  <dgm:if name="Name128" func="var" arg="hierBranch" op="equ" val="hang">
                    <dgm:choose name="Name129">
                      <dgm:if name="Name130" func="var" arg="dir" op="equ" val="norm">
                        <dgm:alg type="hierRoot">
                          <dgm:param type="hierAlign" val="lCtrCh"/>
                        </dgm:alg>
                        <dgm:constrLst>
                          <dgm:constr type="alignOff" val="0.65"/>
                        </dgm:constrLst>
                      </dgm:if>
                      <dgm:else name="Name131">
                        <dgm:alg type="hierRoot">
                          <dgm:param type="hierAlign" val="rCtrCh"/>
                        </dgm:alg>
                        <dgm:constrLst>
                          <dgm:constr type="alignOff" val="0.65"/>
                        </dgm:constrLst>
                      </dgm:else>
                    </dgm:choose>
                  </dgm:if>
                  <dgm:else name="Name132">
                    <dgm:choose name="Name133">
                      <dgm:if name="Name134" func="var" arg="dir" op="equ" val="norm">
                        <dgm:alg type="hierRoot">
                          <dgm:param type="hierAlign" val="lCtrCh"/>
                        </dgm:alg>
                        <dgm:constrLst>
                          <dgm:constr type="alignOff"/>
                          <dgm:constr type="bendDist" for="des" ptType="parTrans" refType="sp" fact="0.5"/>
                        </dgm:constrLst>
                      </dgm:if>
                      <dgm:else name="Name135">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3">
                  <dgm:alg type="composite"/>
                  <dgm:shape xmlns:r="http://schemas.openxmlformats.org/officeDocument/2006/relationships" r:blip="">
                    <dgm:adjLst/>
                  </dgm:shape>
                  <dgm:presOf axis="self" ptType="node" cnt="1"/>
                  <dgm:choose name="Name136">
                    <dgm:if name="Name137"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38"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39"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40">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41">
                    <dgm:if name="Name142" func="var" arg="hierBranch" op="equ" val="l">
                      <dgm:choose name="Name143">
                        <dgm:if name="Name144" func="var" arg="dir" op="equ" val="norm">
                          <dgm:alg type="hierChild">
                            <dgm:param type="chAlign" val="t"/>
                            <dgm:param type="linDir" val="fromL"/>
                          </dgm:alg>
                        </dgm:if>
                        <dgm:else name="Name145">
                          <dgm:alg type="hierChild">
                            <dgm:param type="chAlign" val="t"/>
                            <dgm:param type="linDir" val="fromR"/>
                          </dgm:alg>
                        </dgm:else>
                      </dgm:choose>
                    </dgm:if>
                    <dgm:if name="Name146" func="var" arg="hierBranch" op="equ" val="r">
                      <dgm:choose name="Name147">
                        <dgm:if name="Name148" func="var" arg="dir" op="equ" val="norm">
                          <dgm:alg type="hierChild">
                            <dgm:param type="chAlign" val="b"/>
                            <dgm:param type="linDir" val="fromL"/>
                          </dgm:alg>
                        </dgm:if>
                        <dgm:else name="Name149">
                          <dgm:alg type="hierChild">
                            <dgm:param type="chAlign" val="b"/>
                            <dgm:param type="linDir" val="fromR"/>
                          </dgm:alg>
                        </dgm:else>
                      </dgm:choose>
                    </dgm:if>
                    <dgm:if name="Name150" func="var" arg="hierBranch" op="equ" val="hang">
                      <dgm:choose name="Name151">
                        <dgm:if name="Name152" func="var" arg="dir" op="equ" val="norm">
                          <dgm:alg type="hierChild">
                            <dgm:param type="chAlign" val="l"/>
                            <dgm:param type="linDir" val="fromT"/>
                            <dgm:param type="secChAlign" val="t"/>
                            <dgm:param type="secLinDir" val="fromL"/>
                          </dgm:alg>
                        </dgm:if>
                        <dgm:else name="Name153">
                          <dgm:alg type="hierChild">
                            <dgm:param type="chAlign" val="r"/>
                            <dgm:param type="linDir" val="fromT"/>
                            <dgm:param type="secChAlign" val="t"/>
                            <dgm:param type="secLinDir" val="fromR"/>
                          </dgm:alg>
                        </dgm:else>
                      </dgm:choose>
                    </dgm:if>
                    <dgm:else name="Name154">
                      <dgm:choose name="Name155">
                        <dgm:if name="Name156" func="var" arg="dir" op="equ" val="norm">
                          <dgm:alg type="hierChild">
                            <dgm:param type="linDir" val="fromT"/>
                            <dgm:param type="chAlign" val="l"/>
                          </dgm:alg>
                        </dgm:if>
                        <dgm:else name="Name157">
                          <dgm:alg type="hierChild">
                            <dgm:param type="linDir" val="fromT"/>
                            <dgm:param type="chAlign" val="r"/>
                          </dgm:alg>
                        </dgm:else>
                      </dgm:choose>
                    </dgm:else>
                  </dgm:choose>
                  <dgm:shape xmlns:r="http://schemas.openxmlformats.org/officeDocument/2006/relationships" r:blip="">
                    <dgm:adjLst/>
                  </dgm:shape>
                  <dgm:presOf/>
                  <dgm:constrLst/>
                  <dgm:ruleLst/>
                  <dgm:forEach name="Name158" ref="rep2a"/>
                </dgm:layoutNode>
                <dgm:layoutNode name="hierChild7">
                  <dgm:choose name="Name159">
                    <dgm:if name="Name160" func="var" arg="dir" op="equ" val="norm">
                      <dgm:alg type="hierChild">
                        <dgm:param type="chAlign" val="l"/>
                        <dgm:param type="linDir" val="fromT"/>
                        <dgm:param type="secChAlign" val="t"/>
                        <dgm:param type="secLinDir" val="fromL"/>
                      </dgm:alg>
                    </dgm:if>
                    <dgm:else name="Name161">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Name162"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3CC0E3CE2A54B54BB22D466FF976E0CA" ma:contentTypeVersion="13" ma:contentTypeDescription="Utwórz nowy dokument." ma:contentTypeScope="" ma:versionID="e5f7e11382fa34814b1571dc35112743">
  <xsd:schema xmlns:xsd="http://www.w3.org/2001/XMLSchema" xmlns:xs="http://www.w3.org/2001/XMLSchema" xmlns:p="http://schemas.microsoft.com/office/2006/metadata/properties" xmlns:ns3="797f1dc2-8d94-4174-b000-101e7575fb6c" xmlns:ns4="cc04306a-7e29-4598-8bc0-52e63436a2cf" targetNamespace="http://schemas.microsoft.com/office/2006/metadata/properties" ma:root="true" ma:fieldsID="29c4767a7a87bb00b52f556ca3b32523" ns3:_="" ns4:_="">
    <xsd:import namespace="797f1dc2-8d94-4174-b000-101e7575fb6c"/>
    <xsd:import namespace="cc04306a-7e29-4598-8bc0-52e63436a2cf"/>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DateTaken" minOccurs="0"/>
                <xsd:element ref="ns3:MediaServiceAutoTags" minOccurs="0"/>
                <xsd:element ref="ns3:MediaServiceOCR" minOccurs="0"/>
                <xsd:element ref="ns3:MediaServiceGenerationTime" minOccurs="0"/>
                <xsd:element ref="ns3:MediaServiceEventHashCode" minOccurs="0"/>
                <xsd:element ref="ns3:MediaServiceLocation"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97f1dc2-8d94-4174-b000-101e7575fb6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cc04306a-7e29-4598-8bc0-52e63436a2cf" elementFormDefault="qualified">
    <xsd:import namespace="http://schemas.microsoft.com/office/2006/documentManagement/types"/>
    <xsd:import namespace="http://schemas.microsoft.com/office/infopath/2007/PartnerControls"/>
    <xsd:element name="SharedWithUsers" ma:index="10" nillable="true" ma:displayName="Udostępniani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Udostępnione dla — szczegóły" ma:internalName="SharedWithDetails" ma:readOnly="true">
      <xsd:simpleType>
        <xsd:restriction base="dms:Note">
          <xsd:maxLength value="255"/>
        </xsd:restriction>
      </xsd:simpleType>
    </xsd:element>
    <xsd:element name="SharingHintHash" ma:index="12" nillable="true" ma:displayName="Skrót wskazówki dotyczącej udostępniania"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zawartości"/>
        <xsd:element ref="dc:title" minOccurs="0" maxOccurs="1" ma:index="4" ma:displayName="Tytu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BD98FE65-0126-4BB4-BC3D-EF27A4613CA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97f1dc2-8d94-4174-b000-101e7575fb6c"/>
    <ds:schemaRef ds:uri="cc04306a-7e29-4598-8bc0-52e63436a2c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09D0E620-ED7B-48BE-B8C7-44A71D392427}">
  <ds:schemaRefs>
    <ds:schemaRef ds:uri="http://schemas.openxmlformats.org/officeDocument/2006/bibliography"/>
  </ds:schemaRefs>
</ds:datastoreItem>
</file>

<file path=customXml/itemProps3.xml><?xml version="1.0" encoding="utf-8"?>
<ds:datastoreItem xmlns:ds="http://schemas.openxmlformats.org/officeDocument/2006/customXml" ds:itemID="{10939822-EC63-4F9C-A82B-F622E988B834}">
  <ds:schemaRefs>
    <ds:schemaRef ds:uri="http://schemas.microsoft.com/sharepoint/v3/contenttype/forms"/>
  </ds:schemaRefs>
</ds:datastoreItem>
</file>

<file path=customXml/itemProps4.xml><?xml version="1.0" encoding="utf-8"?>
<ds:datastoreItem xmlns:ds="http://schemas.openxmlformats.org/officeDocument/2006/customXml" ds:itemID="{BC7EBC8B-2580-4256-A7BC-4EA69309F1CB}">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CWD_wzornik_WORD (2)</Template>
  <TotalTime>4</TotalTime>
  <Pages>78</Pages>
  <Words>33902</Words>
  <Characters>203416</Characters>
  <Application>Microsoft Office Word</Application>
  <DocSecurity>0</DocSecurity>
  <Lines>1695</Lines>
  <Paragraphs>473</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236845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Joanna Ćwiklinska-Ziomek</dc:creator>
  <cp:keywords/>
  <dc:description/>
  <cp:lastModifiedBy>Joanna Ćwiklinska-Ziomek</cp:lastModifiedBy>
  <cp:revision>4</cp:revision>
  <cp:lastPrinted>2021-04-19T09:51:00Z</cp:lastPrinted>
  <dcterms:created xsi:type="dcterms:W3CDTF">2021-04-19T09:49:00Z</dcterms:created>
  <dcterms:modified xsi:type="dcterms:W3CDTF">2021-04-19T09:51:00Z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0x0101003CC0E3CE2A54B54BB22D466FF976E0CA</vt:lpwstr>
  </property>
</Properties>
</file>